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EB9" w:rsidRPr="00EA4D87" w:rsidRDefault="008E0EB9" w:rsidP="00C3182E">
      <w:pPr>
        <w:rPr>
          <w:sz w:val="24"/>
          <w:szCs w:val="24"/>
        </w:rPr>
      </w:pPr>
      <w:r w:rsidRPr="00EA4D87">
        <w:rPr>
          <w:sz w:val="24"/>
          <w:szCs w:val="24"/>
        </w:rPr>
        <w:t>FREQUENTLY ASKED QUESTIONS</w:t>
      </w:r>
    </w:p>
    <w:p w:rsidR="008E0EB9" w:rsidRPr="00EA4D87" w:rsidRDefault="008E0EB9" w:rsidP="00C3182E">
      <w:pPr>
        <w:rPr>
          <w:b w:val="0"/>
          <w:sz w:val="24"/>
          <w:szCs w:val="24"/>
        </w:rPr>
      </w:pPr>
      <w:r w:rsidRPr="00EA4D87">
        <w:rPr>
          <w:b w:val="0"/>
          <w:sz w:val="24"/>
          <w:szCs w:val="24"/>
        </w:rPr>
        <w:t>Environmental Protection Performance Standards at Oil and Gas Well Sites</w:t>
      </w:r>
    </w:p>
    <w:p w:rsidR="00851CE0" w:rsidRPr="00EA4D87" w:rsidRDefault="00F4183E" w:rsidP="00C3182E">
      <w:pPr>
        <w:rPr>
          <w:b w:val="0"/>
          <w:sz w:val="24"/>
          <w:szCs w:val="24"/>
        </w:rPr>
      </w:pPr>
      <w:r w:rsidRPr="00EA4D87">
        <w:rPr>
          <w:b w:val="0"/>
          <w:sz w:val="24"/>
          <w:szCs w:val="24"/>
        </w:rPr>
        <w:t xml:space="preserve">Requirements for Pulling Uncemented Surface Casing on Pre-Act </w:t>
      </w:r>
      <w:r w:rsidR="00EA4D87" w:rsidRPr="00EA4D87">
        <w:rPr>
          <w:b w:val="0"/>
          <w:sz w:val="24"/>
          <w:szCs w:val="24"/>
        </w:rPr>
        <w:t xml:space="preserve">Wells </w:t>
      </w:r>
      <w:r w:rsidRPr="00EA4D87">
        <w:rPr>
          <w:b w:val="0"/>
          <w:sz w:val="24"/>
          <w:szCs w:val="24"/>
        </w:rPr>
        <w:t>(Pennsylvania’</w:t>
      </w:r>
      <w:r w:rsidR="00851CE0" w:rsidRPr="00EA4D87">
        <w:rPr>
          <w:b w:val="0"/>
          <w:sz w:val="24"/>
          <w:szCs w:val="24"/>
        </w:rPr>
        <w:t xml:space="preserve">s Oil and Gas Act of 1984 – Act 223) During Well Plugging </w:t>
      </w:r>
    </w:p>
    <w:p w:rsidR="00851CE0" w:rsidRPr="00EA4D87" w:rsidRDefault="00851CE0" w:rsidP="00851CE0">
      <w:pPr>
        <w:rPr>
          <w:rFonts w:eastAsia="Times New Roman"/>
          <w:b w:val="0"/>
          <w:sz w:val="24"/>
          <w:szCs w:val="24"/>
        </w:rPr>
      </w:pPr>
      <w:r w:rsidRPr="00EA4D87">
        <w:rPr>
          <w:b w:val="0"/>
          <w:sz w:val="24"/>
          <w:szCs w:val="24"/>
        </w:rPr>
        <w:t>25 Pa</w:t>
      </w:r>
      <w:r w:rsidR="00EA4D87" w:rsidRPr="00EA4D87">
        <w:rPr>
          <w:b w:val="0"/>
          <w:sz w:val="24"/>
          <w:szCs w:val="24"/>
        </w:rPr>
        <w:t>.</w:t>
      </w:r>
      <w:r w:rsidRPr="00EA4D87">
        <w:rPr>
          <w:b w:val="0"/>
          <w:sz w:val="24"/>
          <w:szCs w:val="24"/>
        </w:rPr>
        <w:t>Code § 78.93(a)(3)-(4) and § 78.94(a)(3)</w:t>
      </w:r>
      <w:r w:rsidRPr="00EA4D87">
        <w:rPr>
          <w:rFonts w:eastAsia="Times New Roman"/>
          <w:b w:val="0"/>
          <w:sz w:val="24"/>
          <w:szCs w:val="24"/>
        </w:rPr>
        <w:t xml:space="preserve">. </w:t>
      </w:r>
      <w:r w:rsidRPr="00EA4D87">
        <w:rPr>
          <w:rFonts w:eastAsia="Times New Roman"/>
          <w:b w:val="0"/>
          <w:sz w:val="24"/>
          <w:szCs w:val="24"/>
        </w:rPr>
        <w:br/>
        <w:t>Environmental Protection. Chapter 78. Oil and Gas Wells.</w:t>
      </w:r>
    </w:p>
    <w:p w:rsidR="008E0EB9" w:rsidRPr="00EA4D87" w:rsidRDefault="008E0EB9" w:rsidP="00C3182E">
      <w:pPr>
        <w:rPr>
          <w:b w:val="0"/>
          <w:sz w:val="24"/>
          <w:szCs w:val="24"/>
        </w:rPr>
      </w:pPr>
    </w:p>
    <w:p w:rsidR="00691701" w:rsidRPr="00EA4D87" w:rsidRDefault="00691701" w:rsidP="00691701">
      <w:pPr>
        <w:spacing w:after="0"/>
        <w:ind w:left="0" w:right="0"/>
        <w:jc w:val="left"/>
        <w:rPr>
          <w:rFonts w:eastAsia="Calibri"/>
          <w:b w:val="0"/>
          <w:sz w:val="24"/>
          <w:szCs w:val="24"/>
        </w:rPr>
      </w:pPr>
    </w:p>
    <w:p w:rsidR="00691701" w:rsidRPr="00EA4D87" w:rsidRDefault="00691701" w:rsidP="00691701">
      <w:pPr>
        <w:ind w:left="0" w:right="0"/>
        <w:jc w:val="left"/>
        <w:rPr>
          <w:rFonts w:eastAsia="Calibri"/>
          <w:b w:val="0"/>
          <w:i/>
          <w:iCs/>
          <w:color w:val="0A0A0A"/>
          <w:sz w:val="24"/>
          <w:szCs w:val="24"/>
        </w:rPr>
      </w:pPr>
      <w:r w:rsidRPr="00EA4D87">
        <w:rPr>
          <w:rFonts w:eastAsia="Calibri"/>
          <w:b w:val="0"/>
          <w:i/>
          <w:iCs/>
          <w:color w:val="0A0A0A"/>
          <w:sz w:val="24"/>
          <w:szCs w:val="24"/>
        </w:rPr>
        <w:t xml:space="preserve">The purpose of this Frequently Asked Questions (FAQ) document is to highlight changes in and address questions about the new regulations. </w:t>
      </w:r>
      <w:r w:rsidR="00EA4D87" w:rsidRPr="00EA4D87">
        <w:rPr>
          <w:rFonts w:eastAsia="Calibri"/>
          <w:b w:val="0"/>
          <w:i/>
          <w:iCs/>
          <w:color w:val="0A0A0A"/>
          <w:sz w:val="24"/>
          <w:szCs w:val="24"/>
        </w:rPr>
        <w:t>This FAQ should not be used in lieu of reference to the 2012 Oil and Gas Act, 25 Pa.Code Chapter 78 and other applicable laws and regulations.</w:t>
      </w:r>
      <w:r w:rsidRPr="00EA4D87">
        <w:rPr>
          <w:rFonts w:eastAsia="Calibri"/>
          <w:b w:val="0"/>
          <w:i/>
          <w:iCs/>
          <w:color w:val="0A0A0A"/>
          <w:sz w:val="24"/>
          <w:szCs w:val="24"/>
        </w:rPr>
        <w:t xml:space="preserve"> The answers outlined in this FAQ are intended to supplement existing requirements. Nothing in this document shall affect statutory or regulatory requirements.</w:t>
      </w:r>
    </w:p>
    <w:p w:rsidR="00691701" w:rsidRPr="00EA4D87" w:rsidRDefault="00691701" w:rsidP="00A66B9F">
      <w:pPr>
        <w:spacing w:after="0"/>
        <w:ind w:left="0" w:right="0"/>
        <w:jc w:val="left"/>
        <w:rPr>
          <w:rFonts w:eastAsia="Calibri"/>
          <w:b w:val="0"/>
          <w:i/>
          <w:iCs/>
          <w:color w:val="0A0A0A"/>
          <w:sz w:val="24"/>
          <w:szCs w:val="24"/>
        </w:rPr>
      </w:pPr>
      <w:r w:rsidRPr="00EA4D87">
        <w:rPr>
          <w:rFonts w:eastAsia="Calibri"/>
          <w:b w:val="0"/>
          <w:i/>
          <w:iCs/>
          <w:color w:val="0A0A0A"/>
          <w:sz w:val="24"/>
          <w:szCs w:val="24"/>
        </w:rPr>
        <w:t>This document is not an adjudication or a regulation. There is no intent on the part of the Department to give this document that weight or deference. The Department may supplement or amend this document at any time as necessary without notice.</w:t>
      </w:r>
    </w:p>
    <w:p w:rsidR="008D60B7" w:rsidRPr="00EA4D87" w:rsidRDefault="008D60B7" w:rsidP="00A66B9F">
      <w:pPr>
        <w:spacing w:after="0"/>
        <w:ind w:left="0" w:right="0"/>
        <w:jc w:val="left"/>
        <w:rPr>
          <w:rFonts w:eastAsia="Calibri"/>
          <w:b w:val="0"/>
          <w:i/>
          <w:iCs/>
          <w:color w:val="0A0A0A"/>
          <w:sz w:val="24"/>
          <w:szCs w:val="24"/>
        </w:rPr>
      </w:pPr>
    </w:p>
    <w:p w:rsidR="008D60B7" w:rsidRPr="00EA4D87" w:rsidRDefault="008D60B7" w:rsidP="008D60B7">
      <w:pPr>
        <w:pStyle w:val="ListParagraph"/>
        <w:numPr>
          <w:ilvl w:val="0"/>
          <w:numId w:val="24"/>
        </w:numPr>
        <w:spacing w:after="0"/>
        <w:ind w:right="0"/>
        <w:jc w:val="left"/>
        <w:rPr>
          <w:rFonts w:ascii="Arial" w:hAnsi="Arial" w:cs="Arial"/>
          <w:b w:val="0"/>
          <w:sz w:val="24"/>
          <w:szCs w:val="24"/>
        </w:rPr>
      </w:pPr>
      <w:r w:rsidRPr="00EA4D87">
        <w:rPr>
          <w:rFonts w:ascii="Arial" w:hAnsi="Arial" w:cs="Arial"/>
          <w:b w:val="0"/>
          <w:sz w:val="24"/>
          <w:szCs w:val="24"/>
        </w:rPr>
        <w:t xml:space="preserve">What is the requirement for pulling uncemented surface casing for pre-Act wells </w:t>
      </w:r>
      <w:r w:rsidR="00EA4D87" w:rsidRPr="00EA4D87">
        <w:rPr>
          <w:rFonts w:ascii="Arial" w:hAnsi="Arial" w:cs="Arial"/>
          <w:b w:val="0"/>
          <w:sz w:val="24"/>
          <w:szCs w:val="24"/>
        </w:rPr>
        <w:t xml:space="preserve">(that is, wells drilled prior to the passage of Act 223 of 1984) </w:t>
      </w:r>
      <w:r w:rsidRPr="00EA4D87">
        <w:rPr>
          <w:rFonts w:ascii="Arial" w:hAnsi="Arial" w:cs="Arial"/>
          <w:b w:val="0"/>
          <w:sz w:val="24"/>
          <w:szCs w:val="24"/>
        </w:rPr>
        <w:t xml:space="preserve">during plugging? </w:t>
      </w:r>
    </w:p>
    <w:p w:rsidR="000608B5" w:rsidRPr="00EA4D87" w:rsidRDefault="000608B5" w:rsidP="00A66B9F">
      <w:pPr>
        <w:spacing w:after="0"/>
        <w:rPr>
          <w:b w:val="0"/>
          <w:sz w:val="24"/>
          <w:szCs w:val="24"/>
        </w:rPr>
      </w:pPr>
    </w:p>
    <w:p w:rsidR="00C87140" w:rsidRPr="00EA4D87" w:rsidRDefault="00D03871" w:rsidP="00A66B9F">
      <w:pPr>
        <w:pStyle w:val="BodyText"/>
      </w:pPr>
      <w:r w:rsidRPr="00EA4D87">
        <w:t>§ 78.93</w:t>
      </w:r>
      <w:r w:rsidR="00C87140" w:rsidRPr="00EA4D87">
        <w:t xml:space="preserve"> </w:t>
      </w:r>
      <w:r w:rsidRPr="00EA4D87">
        <w:t xml:space="preserve">Wells in Coal Areas – Surface or Coal Protective Casing Anchored With </w:t>
      </w:r>
      <w:r w:rsidR="008D60B7" w:rsidRPr="00EA4D87">
        <w:br/>
        <w:t xml:space="preserve">                  </w:t>
      </w:r>
      <w:r w:rsidR="007542C0" w:rsidRPr="00EA4D87">
        <w:t>A Packer o</w:t>
      </w:r>
      <w:r w:rsidRPr="00EA4D87">
        <w:t>r Cement</w:t>
      </w:r>
    </w:p>
    <w:p w:rsidR="008D60B7" w:rsidRPr="00EA4D87" w:rsidRDefault="008D60B7" w:rsidP="008D60B7">
      <w:pPr>
        <w:spacing w:before="100" w:beforeAutospacing="1" w:after="100" w:afterAutospacing="1"/>
        <w:ind w:left="0" w:right="0"/>
        <w:jc w:val="left"/>
        <w:rPr>
          <w:rFonts w:eastAsia="Times New Roman"/>
          <w:b w:val="0"/>
          <w:sz w:val="24"/>
          <w:szCs w:val="24"/>
        </w:rPr>
      </w:pPr>
      <w:r w:rsidRPr="00EA4D87">
        <w:rPr>
          <w:rFonts w:eastAsia="Times New Roman"/>
          <w:b w:val="0"/>
          <w:sz w:val="24"/>
          <w:szCs w:val="24"/>
        </w:rPr>
        <w:t xml:space="preserve">(a)  In a well where the surface casing or coal protective casing and production casing are anchored with a packer or cement, the owner or operator shall plug the well as follows: </w:t>
      </w:r>
    </w:p>
    <w:p w:rsidR="008D60B7" w:rsidRPr="00EA4D87" w:rsidRDefault="008D60B7" w:rsidP="008D60B7">
      <w:pPr>
        <w:spacing w:before="100" w:beforeAutospacing="1" w:after="100" w:afterAutospacing="1"/>
        <w:ind w:left="0" w:right="0"/>
        <w:rPr>
          <w:rFonts w:eastAsia="Times New Roman"/>
          <w:b w:val="0"/>
          <w:sz w:val="24"/>
          <w:szCs w:val="24"/>
        </w:rPr>
      </w:pPr>
      <w:r w:rsidRPr="00EA4D87">
        <w:rPr>
          <w:rFonts w:eastAsia="Times New Roman"/>
          <w:b w:val="0"/>
          <w:sz w:val="24"/>
          <w:szCs w:val="24"/>
        </w:rPr>
        <w:t>*</w:t>
      </w:r>
      <w:r w:rsidRPr="00EA4D87">
        <w:rPr>
          <w:rFonts w:eastAsia="Times New Roman"/>
          <w:b w:val="0"/>
          <w:sz w:val="24"/>
          <w:szCs w:val="24"/>
        </w:rPr>
        <w:tab/>
        <w:t>*</w:t>
      </w:r>
      <w:r w:rsidRPr="00EA4D87">
        <w:rPr>
          <w:rFonts w:eastAsia="Times New Roman"/>
          <w:b w:val="0"/>
          <w:sz w:val="24"/>
          <w:szCs w:val="24"/>
        </w:rPr>
        <w:tab/>
        <w:t>*</w:t>
      </w:r>
      <w:r w:rsidRPr="00EA4D87">
        <w:rPr>
          <w:rFonts w:eastAsia="Times New Roman"/>
          <w:b w:val="0"/>
          <w:sz w:val="24"/>
          <w:szCs w:val="24"/>
        </w:rPr>
        <w:tab/>
        <w:t>*</w:t>
      </w:r>
    </w:p>
    <w:p w:rsidR="008D60B7" w:rsidRPr="00EA4D87" w:rsidRDefault="008D60B7" w:rsidP="008D60B7">
      <w:pPr>
        <w:spacing w:after="0"/>
        <w:ind w:left="0" w:right="0"/>
        <w:jc w:val="both"/>
        <w:rPr>
          <w:b w:val="0"/>
          <w:sz w:val="24"/>
          <w:szCs w:val="24"/>
        </w:rPr>
      </w:pPr>
      <w:r w:rsidRPr="00EA4D87">
        <w:rPr>
          <w:b w:val="0"/>
          <w:sz w:val="24"/>
          <w:szCs w:val="24"/>
        </w:rPr>
        <w:t>(3)  After it has been established that the surface casing or coal protective casing is free and can be retrieved, the surface or coal protective casing shall be retrieved by applying a pulling force at least equal to the casing weight plus 5,000 pounds or 120% whichever is greater. If this fails, an attempt shall be made to separate the casing by cutting, ripping, shooting or other method approved by the Department, and making a second attempt to remove the casing by exerting a pulling force equal to the casing weight plus 5,000 pounds or 120% of the casing weight, whichever is greater. . . .</w:t>
      </w:r>
    </w:p>
    <w:p w:rsidR="008D60B7" w:rsidRPr="00EA4D87" w:rsidRDefault="008D60B7" w:rsidP="008D60B7">
      <w:pPr>
        <w:spacing w:after="0"/>
        <w:ind w:left="0" w:right="0"/>
        <w:jc w:val="both"/>
        <w:rPr>
          <w:b w:val="0"/>
          <w:sz w:val="24"/>
          <w:szCs w:val="24"/>
        </w:rPr>
      </w:pPr>
    </w:p>
    <w:p w:rsidR="008D60B7" w:rsidRPr="00EA4D87" w:rsidRDefault="008D60B7" w:rsidP="008D60B7">
      <w:pPr>
        <w:spacing w:after="0"/>
        <w:ind w:left="0" w:right="0"/>
        <w:jc w:val="both"/>
        <w:rPr>
          <w:b w:val="0"/>
          <w:color w:val="FF0000"/>
          <w:sz w:val="24"/>
          <w:szCs w:val="24"/>
        </w:rPr>
      </w:pPr>
      <w:r w:rsidRPr="00EA4D87">
        <w:rPr>
          <w:b w:val="0"/>
          <w:sz w:val="24"/>
          <w:szCs w:val="24"/>
        </w:rPr>
        <w:t xml:space="preserve">(4)  If the surface or coal protective string is not free and cannot be retrieved, it shall be perforated or cut below the lowest workable coal to allow the cement used to cement the casing(s) to communicate between the surface casing or coal protective casing, or both, and the well bore. . . </w:t>
      </w:r>
      <w:r w:rsidRPr="00EA4D87">
        <w:rPr>
          <w:b w:val="0"/>
          <w:color w:val="FF0000"/>
          <w:sz w:val="24"/>
          <w:szCs w:val="24"/>
        </w:rPr>
        <w:t xml:space="preserve">.  </w:t>
      </w:r>
    </w:p>
    <w:p w:rsidR="008D60B7" w:rsidRPr="00EA4D87" w:rsidRDefault="008D60B7" w:rsidP="008D60B7">
      <w:pPr>
        <w:spacing w:after="0"/>
        <w:ind w:left="0" w:right="0"/>
        <w:jc w:val="left"/>
        <w:rPr>
          <w:sz w:val="24"/>
          <w:szCs w:val="24"/>
        </w:rPr>
      </w:pPr>
      <w:r w:rsidRPr="00EA4D87">
        <w:rPr>
          <w:sz w:val="24"/>
          <w:szCs w:val="24"/>
        </w:rPr>
        <w:lastRenderedPageBreak/>
        <w:t xml:space="preserve">§ 78.94 Wells in Noncoal Areas – Surface Casing Is Not Cemented Or Not Present. </w:t>
      </w:r>
      <w:r w:rsidRPr="00EA4D87">
        <w:rPr>
          <w:sz w:val="24"/>
          <w:szCs w:val="24"/>
        </w:rPr>
        <w:br/>
      </w:r>
    </w:p>
    <w:p w:rsidR="0053533E" w:rsidRPr="00EA4D87" w:rsidRDefault="0053533E" w:rsidP="0053533E">
      <w:pPr>
        <w:spacing w:before="100" w:beforeAutospacing="1" w:after="0" w:afterAutospacing="1"/>
        <w:ind w:left="0" w:right="0"/>
        <w:jc w:val="left"/>
        <w:rPr>
          <w:rFonts w:eastAsia="Times New Roman"/>
          <w:b w:val="0"/>
          <w:sz w:val="24"/>
          <w:szCs w:val="24"/>
        </w:rPr>
      </w:pPr>
      <w:r w:rsidRPr="00EA4D87">
        <w:rPr>
          <w:rFonts w:eastAsia="Times New Roman"/>
          <w:b w:val="0"/>
          <w:sz w:val="24"/>
          <w:szCs w:val="24"/>
        </w:rPr>
        <w:t xml:space="preserve">(a)  The owner or operator shall plug a noncoal well, where the surface casing and production casing are not cemented, or is not present as follows: </w:t>
      </w:r>
    </w:p>
    <w:p w:rsidR="0053533E" w:rsidRPr="00EA4D87" w:rsidRDefault="0053533E" w:rsidP="0053533E">
      <w:pPr>
        <w:spacing w:before="100" w:beforeAutospacing="1" w:after="0" w:afterAutospacing="1"/>
        <w:ind w:left="0" w:right="0"/>
        <w:rPr>
          <w:rFonts w:eastAsia="Times New Roman"/>
          <w:b w:val="0"/>
          <w:sz w:val="24"/>
          <w:szCs w:val="24"/>
        </w:rPr>
      </w:pPr>
      <w:r w:rsidRPr="00EA4D87">
        <w:rPr>
          <w:rFonts w:eastAsia="Times New Roman"/>
          <w:b w:val="0"/>
          <w:sz w:val="24"/>
          <w:szCs w:val="24"/>
        </w:rPr>
        <w:t>*</w:t>
      </w:r>
      <w:r w:rsidRPr="00EA4D87">
        <w:rPr>
          <w:rFonts w:eastAsia="Times New Roman"/>
          <w:b w:val="0"/>
          <w:sz w:val="24"/>
          <w:szCs w:val="24"/>
        </w:rPr>
        <w:tab/>
        <w:t>*</w:t>
      </w:r>
      <w:r w:rsidRPr="00EA4D87">
        <w:rPr>
          <w:rFonts w:eastAsia="Times New Roman"/>
          <w:b w:val="0"/>
          <w:sz w:val="24"/>
          <w:szCs w:val="24"/>
        </w:rPr>
        <w:tab/>
        <w:t>*</w:t>
      </w:r>
      <w:r w:rsidRPr="00EA4D87">
        <w:rPr>
          <w:rFonts w:eastAsia="Times New Roman"/>
          <w:b w:val="0"/>
          <w:sz w:val="24"/>
          <w:szCs w:val="24"/>
        </w:rPr>
        <w:tab/>
        <w:t>*</w:t>
      </w:r>
    </w:p>
    <w:p w:rsidR="0053533E" w:rsidRPr="00EA4D87" w:rsidRDefault="0053533E" w:rsidP="0053533E">
      <w:pPr>
        <w:spacing w:after="0"/>
        <w:ind w:left="0" w:right="0"/>
        <w:jc w:val="both"/>
        <w:rPr>
          <w:b w:val="0"/>
          <w:sz w:val="24"/>
          <w:szCs w:val="24"/>
        </w:rPr>
      </w:pPr>
      <w:r w:rsidRPr="00EA4D87">
        <w:rPr>
          <w:b w:val="0"/>
          <w:sz w:val="24"/>
          <w:szCs w:val="24"/>
        </w:rPr>
        <w:t>(3)  After setting the uppermost 50-foot plug, the retrievable surface casing shall be removed by applying a pulling force at least equal to the casing weight plus 5,000 pounds or 120% whichever is greater. If this fails, an attempt shall be made to separate the casing by cutting, ripping, shooting or other method approved by the Department, and making a second attempt to remove the casing by exerting a pulling force equal to the casing weight plus 5,000 pounds or 120% of the casing weight, whichever is greater. . . .</w:t>
      </w:r>
    </w:p>
    <w:p w:rsidR="00EA4D87" w:rsidRPr="00EA4D87" w:rsidRDefault="00EA4D87" w:rsidP="0053533E">
      <w:pPr>
        <w:spacing w:after="0"/>
        <w:ind w:left="0" w:right="0"/>
        <w:rPr>
          <w:b w:val="0"/>
          <w:sz w:val="24"/>
          <w:szCs w:val="24"/>
        </w:rPr>
      </w:pPr>
    </w:p>
    <w:p w:rsidR="0053533E" w:rsidRPr="00EA4D87" w:rsidRDefault="0053533E" w:rsidP="0053533E">
      <w:pPr>
        <w:spacing w:after="0"/>
        <w:ind w:left="0" w:right="0"/>
        <w:rPr>
          <w:b w:val="0"/>
          <w:sz w:val="24"/>
          <w:szCs w:val="24"/>
        </w:rPr>
      </w:pPr>
      <w:r w:rsidRPr="00EA4D87">
        <w:rPr>
          <w:b w:val="0"/>
          <w:sz w:val="24"/>
          <w:szCs w:val="24"/>
        </w:rPr>
        <w:t>*</w:t>
      </w:r>
      <w:r w:rsidRPr="00EA4D87">
        <w:rPr>
          <w:b w:val="0"/>
          <w:sz w:val="24"/>
          <w:szCs w:val="24"/>
        </w:rPr>
        <w:tab/>
        <w:t>*</w:t>
      </w:r>
      <w:r w:rsidRPr="00EA4D87">
        <w:rPr>
          <w:b w:val="0"/>
          <w:sz w:val="24"/>
          <w:szCs w:val="24"/>
        </w:rPr>
        <w:tab/>
        <w:t>*</w:t>
      </w:r>
      <w:r w:rsidRPr="00EA4D87">
        <w:rPr>
          <w:b w:val="0"/>
          <w:sz w:val="24"/>
          <w:szCs w:val="24"/>
        </w:rPr>
        <w:tab/>
        <w:t>*</w:t>
      </w:r>
    </w:p>
    <w:p w:rsidR="00EA4D87" w:rsidRPr="00EA4D87" w:rsidRDefault="00EA4D87" w:rsidP="0053533E">
      <w:pPr>
        <w:spacing w:after="0"/>
        <w:ind w:left="0" w:right="0"/>
        <w:jc w:val="both"/>
        <w:rPr>
          <w:sz w:val="24"/>
          <w:szCs w:val="24"/>
          <w:u w:val="single"/>
        </w:rPr>
      </w:pPr>
    </w:p>
    <w:p w:rsidR="0053533E" w:rsidRPr="00EA4D87" w:rsidRDefault="0053533E" w:rsidP="0053533E">
      <w:pPr>
        <w:spacing w:after="0"/>
        <w:ind w:left="0" w:right="0"/>
        <w:jc w:val="both"/>
        <w:rPr>
          <w:sz w:val="24"/>
          <w:szCs w:val="24"/>
          <w:u w:val="single"/>
        </w:rPr>
      </w:pPr>
      <w:r w:rsidRPr="00EA4D87">
        <w:rPr>
          <w:sz w:val="24"/>
          <w:szCs w:val="24"/>
          <w:u w:val="single"/>
        </w:rPr>
        <w:t>Answer:</w:t>
      </w:r>
    </w:p>
    <w:p w:rsidR="0053533E" w:rsidRPr="00EA4D87" w:rsidRDefault="0053533E" w:rsidP="0053533E">
      <w:pPr>
        <w:spacing w:after="0"/>
        <w:ind w:left="0" w:right="0"/>
        <w:jc w:val="both"/>
        <w:rPr>
          <w:sz w:val="24"/>
          <w:szCs w:val="24"/>
          <w:u w:val="single"/>
        </w:rPr>
      </w:pPr>
    </w:p>
    <w:p w:rsidR="0053533E" w:rsidRPr="00EA4D87" w:rsidRDefault="0053533E" w:rsidP="0053533E">
      <w:pPr>
        <w:suppressAutoHyphens/>
        <w:spacing w:after="0"/>
        <w:ind w:left="0" w:right="18"/>
        <w:jc w:val="both"/>
        <w:rPr>
          <w:b w:val="0"/>
          <w:sz w:val="24"/>
          <w:szCs w:val="24"/>
        </w:rPr>
      </w:pPr>
      <w:r w:rsidRPr="00EA4D87">
        <w:rPr>
          <w:b w:val="0"/>
          <w:sz w:val="24"/>
          <w:szCs w:val="24"/>
        </w:rPr>
        <w:t>Many pre-Act wells were constructed using uncemented surface casing and, in some instances, this may be the only casing string associated with a well.  Although the regulatory framework above establishes a requirement for attempting to remove or perforate and cement uncemented surface casing strings during plugging, based on the Department’s experience there are circumstances when the procedure is not advisable.  The Department will review and consider for approval alternative methods for plugging under 25 Pa.Code §</w:t>
      </w:r>
      <w:r w:rsidR="00EA4D87" w:rsidRPr="00EA4D87">
        <w:rPr>
          <w:b w:val="0"/>
          <w:sz w:val="24"/>
          <w:szCs w:val="24"/>
        </w:rPr>
        <w:t> </w:t>
      </w:r>
      <w:r w:rsidRPr="00EA4D87">
        <w:rPr>
          <w:b w:val="0"/>
          <w:sz w:val="24"/>
          <w:szCs w:val="24"/>
        </w:rPr>
        <w:t>78.75 that do not include pulling or perforating and squeezing uncemented surface casing when the operator completes the following well assessment:</w:t>
      </w:r>
    </w:p>
    <w:p w:rsidR="0053533E" w:rsidRPr="00EA4D87" w:rsidRDefault="0053533E" w:rsidP="0053533E">
      <w:pPr>
        <w:suppressAutoHyphens/>
        <w:spacing w:after="0"/>
        <w:ind w:left="0" w:right="18"/>
        <w:jc w:val="both"/>
        <w:rPr>
          <w:b w:val="0"/>
          <w:sz w:val="24"/>
          <w:szCs w:val="24"/>
        </w:rPr>
      </w:pPr>
    </w:p>
    <w:p w:rsidR="0053533E" w:rsidRPr="00EA4D87" w:rsidRDefault="0053533E" w:rsidP="0053533E">
      <w:pPr>
        <w:numPr>
          <w:ilvl w:val="0"/>
          <w:numId w:val="25"/>
        </w:numPr>
        <w:suppressAutoHyphens/>
        <w:spacing w:after="0"/>
        <w:ind w:right="18"/>
        <w:contextualSpacing/>
        <w:jc w:val="both"/>
        <w:rPr>
          <w:rFonts w:ascii="Times New Roman" w:hAnsi="Times New Roman" w:cs="Times New Roman"/>
          <w:bCs/>
          <w:spacing w:val="-2"/>
          <w:sz w:val="24"/>
          <w:szCs w:val="24"/>
        </w:rPr>
      </w:pPr>
      <w:r w:rsidRPr="00EA4D87">
        <w:rPr>
          <w:b w:val="0"/>
          <w:sz w:val="24"/>
          <w:szCs w:val="24"/>
        </w:rPr>
        <w:t>Evaluation of the well to ensure that no brines, oil, or gas is flowing to the surface outside of the surface casing; and</w:t>
      </w:r>
    </w:p>
    <w:p w:rsidR="0053533E" w:rsidRPr="00EA4D87" w:rsidRDefault="0053533E" w:rsidP="0053533E">
      <w:pPr>
        <w:numPr>
          <w:ilvl w:val="0"/>
          <w:numId w:val="25"/>
        </w:numPr>
        <w:suppressAutoHyphens/>
        <w:spacing w:after="0"/>
        <w:ind w:right="18"/>
        <w:contextualSpacing/>
        <w:jc w:val="both"/>
        <w:rPr>
          <w:rFonts w:ascii="Times New Roman" w:hAnsi="Times New Roman" w:cs="Times New Roman"/>
          <w:bCs/>
          <w:spacing w:val="-2"/>
          <w:sz w:val="24"/>
          <w:szCs w:val="24"/>
        </w:rPr>
      </w:pPr>
      <w:r w:rsidRPr="00EA4D87">
        <w:rPr>
          <w:b w:val="0"/>
          <w:sz w:val="24"/>
          <w:szCs w:val="24"/>
        </w:rPr>
        <w:t>Evaluation of the well to ensure that the surface casing does not penetrate any brine-, oil-or gas-bearing zones.</w:t>
      </w:r>
    </w:p>
    <w:p w:rsidR="0053533E" w:rsidRPr="00EA4D87" w:rsidRDefault="0053533E" w:rsidP="0053533E">
      <w:pPr>
        <w:suppressAutoHyphens/>
        <w:spacing w:after="0"/>
        <w:ind w:left="0" w:right="18"/>
        <w:jc w:val="both"/>
        <w:rPr>
          <w:b w:val="0"/>
          <w:sz w:val="24"/>
          <w:szCs w:val="24"/>
        </w:rPr>
      </w:pPr>
    </w:p>
    <w:p w:rsidR="0053533E" w:rsidRPr="00EA4D87" w:rsidRDefault="0053533E" w:rsidP="0053533E">
      <w:pPr>
        <w:suppressAutoHyphens/>
        <w:spacing w:after="0"/>
        <w:ind w:left="0" w:right="18"/>
        <w:jc w:val="both"/>
        <w:rPr>
          <w:b w:val="0"/>
          <w:sz w:val="24"/>
          <w:szCs w:val="24"/>
        </w:rPr>
      </w:pPr>
      <w:r w:rsidRPr="00EA4D87">
        <w:rPr>
          <w:b w:val="0"/>
          <w:sz w:val="24"/>
          <w:szCs w:val="24"/>
        </w:rPr>
        <w:t xml:space="preserve">If the operator can ensure that and the assessments under (1) and (2) do not identify any vertical movement of fluids or the potential for the vertical movement of fluids, </w:t>
      </w:r>
      <w:r w:rsidRPr="00EA4D87">
        <w:rPr>
          <w:rFonts w:eastAsia="Times New Roman"/>
          <w:b w:val="0"/>
          <w:sz w:val="24"/>
          <w:szCs w:val="24"/>
        </w:rPr>
        <w:t>the operator may submit an alternative method</w:t>
      </w:r>
      <w:r w:rsidRPr="00EA4D87">
        <w:rPr>
          <w:b w:val="0"/>
          <w:sz w:val="24"/>
          <w:szCs w:val="24"/>
        </w:rPr>
        <w:t xml:space="preserve"> to the Department for review in advance of plugging activities.  </w:t>
      </w:r>
      <w:r w:rsidR="00EA4D87" w:rsidRPr="00EA4D87">
        <w:rPr>
          <w:b w:val="0"/>
          <w:sz w:val="24"/>
          <w:szCs w:val="24"/>
        </w:rPr>
        <w:t>A</w:t>
      </w:r>
      <w:r w:rsidRPr="00EA4D87">
        <w:rPr>
          <w:b w:val="0"/>
          <w:sz w:val="24"/>
          <w:szCs w:val="24"/>
        </w:rPr>
        <w:t>llowing the uncemented surface casing to remain affords the ability to re-enter the well if additional work is needed to re-plug or remediate a well.</w:t>
      </w:r>
    </w:p>
    <w:p w:rsidR="0053533E" w:rsidRPr="00EA4D87" w:rsidRDefault="0053533E" w:rsidP="0053533E">
      <w:pPr>
        <w:suppressAutoHyphens/>
        <w:spacing w:after="0"/>
        <w:ind w:left="0" w:right="18"/>
        <w:jc w:val="both"/>
        <w:rPr>
          <w:b w:val="0"/>
          <w:sz w:val="24"/>
          <w:szCs w:val="24"/>
        </w:rPr>
      </w:pPr>
    </w:p>
    <w:p w:rsidR="0053533E" w:rsidRPr="00EA4D87" w:rsidRDefault="0053533E" w:rsidP="0053533E">
      <w:pPr>
        <w:suppressAutoHyphens/>
        <w:spacing w:after="0"/>
        <w:ind w:left="0" w:right="18"/>
        <w:jc w:val="both"/>
        <w:rPr>
          <w:rFonts w:ascii="Times New Roman" w:hAnsi="Times New Roman" w:cs="Times New Roman"/>
          <w:bCs/>
          <w:spacing w:val="-2"/>
          <w:sz w:val="24"/>
          <w:szCs w:val="24"/>
        </w:rPr>
      </w:pPr>
      <w:r w:rsidRPr="00EA4D87">
        <w:rPr>
          <w:b w:val="0"/>
          <w:sz w:val="24"/>
          <w:szCs w:val="24"/>
        </w:rPr>
        <w:t>For wells penetrating a workable coal seam (as determined by current Department policy) that are equipped with a separate and distinct coal protective casing deeper than any shallower strings in the well, or for wells with a combined surface and coal-protective casing serving as the only shallow casing string other than the conductor pipe, an operator should comply with the provisions of 25 Pa.Code §</w:t>
      </w:r>
      <w:r w:rsidR="00EA4D87" w:rsidRPr="00EA4D87">
        <w:rPr>
          <w:b w:val="0"/>
          <w:sz w:val="24"/>
          <w:szCs w:val="24"/>
        </w:rPr>
        <w:t> </w:t>
      </w:r>
      <w:r w:rsidRPr="00EA4D87">
        <w:rPr>
          <w:b w:val="0"/>
          <w:sz w:val="24"/>
          <w:szCs w:val="24"/>
        </w:rPr>
        <w:t xml:space="preserve">78.93(a)(4), as written, when plugging the well. </w:t>
      </w:r>
      <w:r w:rsidR="00EA4D87" w:rsidRPr="00EA4D87">
        <w:rPr>
          <w:b w:val="0"/>
          <w:sz w:val="24"/>
          <w:szCs w:val="24"/>
        </w:rPr>
        <w:t>T</w:t>
      </w:r>
      <w:r w:rsidRPr="00EA4D87">
        <w:rPr>
          <w:b w:val="0"/>
          <w:sz w:val="24"/>
          <w:szCs w:val="24"/>
        </w:rPr>
        <w:t xml:space="preserve">he methodology the Department recommends above does not apply </w:t>
      </w:r>
      <w:r w:rsidRPr="00EA4D87">
        <w:rPr>
          <w:b w:val="0"/>
          <w:sz w:val="24"/>
          <w:szCs w:val="24"/>
        </w:rPr>
        <w:lastRenderedPageBreak/>
        <w:t>to those casing strings that, by virtue of position in the well, are ultimately critical for preventing deeper gas from entering workable coal seams.</w:t>
      </w:r>
    </w:p>
    <w:p w:rsidR="0053533E" w:rsidRPr="00EA4D87" w:rsidRDefault="0053533E" w:rsidP="0053533E">
      <w:pPr>
        <w:spacing w:after="0"/>
        <w:ind w:left="0" w:right="0"/>
        <w:jc w:val="both"/>
        <w:rPr>
          <w:sz w:val="24"/>
          <w:szCs w:val="24"/>
          <w:u w:val="single"/>
        </w:rPr>
      </w:pPr>
    </w:p>
    <w:p w:rsidR="007542C0" w:rsidRPr="00EA4D87" w:rsidRDefault="007542C0" w:rsidP="0053533E">
      <w:pPr>
        <w:spacing w:after="0"/>
        <w:ind w:left="0" w:right="0"/>
        <w:jc w:val="both"/>
        <w:rPr>
          <w:sz w:val="24"/>
          <w:szCs w:val="24"/>
          <w:u w:val="single"/>
        </w:rPr>
      </w:pPr>
    </w:p>
    <w:p w:rsidR="007542C0" w:rsidRPr="00EA4D87" w:rsidRDefault="007542C0" w:rsidP="0053533E">
      <w:pPr>
        <w:spacing w:after="0"/>
        <w:ind w:left="0" w:right="0"/>
        <w:jc w:val="both"/>
        <w:rPr>
          <w:sz w:val="24"/>
          <w:szCs w:val="24"/>
          <w:u w:val="single"/>
        </w:rPr>
      </w:pPr>
    </w:p>
    <w:p w:rsidR="0053533E" w:rsidRPr="00EA4D87" w:rsidRDefault="0053533E" w:rsidP="0053533E">
      <w:pPr>
        <w:autoSpaceDE w:val="0"/>
        <w:autoSpaceDN w:val="0"/>
        <w:adjustRightInd w:val="0"/>
        <w:spacing w:after="0"/>
        <w:ind w:left="0" w:right="0"/>
        <w:jc w:val="both"/>
        <w:rPr>
          <w:b w:val="0"/>
          <w:sz w:val="24"/>
          <w:szCs w:val="24"/>
        </w:rPr>
      </w:pPr>
      <w:r w:rsidRPr="00EA4D87">
        <w:rPr>
          <w:b w:val="0"/>
          <w:sz w:val="24"/>
          <w:szCs w:val="24"/>
        </w:rPr>
        <w:t>The Department recommends that the following standard language be used on the alternative method form:</w:t>
      </w:r>
    </w:p>
    <w:p w:rsidR="0053533E" w:rsidRPr="00EA4D87" w:rsidRDefault="0053533E" w:rsidP="0053533E">
      <w:pPr>
        <w:autoSpaceDE w:val="0"/>
        <w:autoSpaceDN w:val="0"/>
        <w:adjustRightInd w:val="0"/>
        <w:spacing w:after="0"/>
        <w:ind w:left="0" w:right="0"/>
        <w:jc w:val="both"/>
        <w:rPr>
          <w:b w:val="0"/>
          <w:sz w:val="24"/>
          <w:szCs w:val="24"/>
        </w:rPr>
      </w:pPr>
    </w:p>
    <w:p w:rsidR="0053533E" w:rsidRPr="00EA4D87" w:rsidRDefault="0053533E" w:rsidP="00EA4D87">
      <w:pPr>
        <w:autoSpaceDE w:val="0"/>
        <w:autoSpaceDN w:val="0"/>
        <w:adjustRightInd w:val="0"/>
        <w:spacing w:after="0"/>
        <w:ind w:left="360" w:right="0"/>
        <w:jc w:val="both"/>
        <w:rPr>
          <w:b w:val="0"/>
          <w:sz w:val="24"/>
          <w:szCs w:val="24"/>
        </w:rPr>
      </w:pPr>
      <w:r w:rsidRPr="00EA4D87">
        <w:rPr>
          <w:b w:val="0"/>
          <w:sz w:val="24"/>
          <w:szCs w:val="24"/>
        </w:rPr>
        <w:t>For the well that is the subject of this alternative method, the following observations have been made based on an assessment conducted by the operator, plugging contractor, or other responsible person:</w:t>
      </w:r>
    </w:p>
    <w:p w:rsidR="0053533E" w:rsidRPr="00EA4D87" w:rsidRDefault="0053533E" w:rsidP="00EA4D87">
      <w:pPr>
        <w:autoSpaceDE w:val="0"/>
        <w:autoSpaceDN w:val="0"/>
        <w:adjustRightInd w:val="0"/>
        <w:spacing w:after="0"/>
        <w:ind w:left="360" w:right="0"/>
        <w:jc w:val="both"/>
        <w:rPr>
          <w:b w:val="0"/>
          <w:sz w:val="24"/>
          <w:szCs w:val="24"/>
        </w:rPr>
      </w:pPr>
    </w:p>
    <w:p w:rsidR="0053533E" w:rsidRPr="00EA4D87" w:rsidRDefault="0053533E" w:rsidP="00EA4D87">
      <w:pPr>
        <w:numPr>
          <w:ilvl w:val="0"/>
          <w:numId w:val="26"/>
        </w:numPr>
        <w:autoSpaceDE w:val="0"/>
        <w:autoSpaceDN w:val="0"/>
        <w:adjustRightInd w:val="0"/>
        <w:spacing w:after="0"/>
        <w:ind w:left="1080" w:right="0"/>
        <w:contextualSpacing/>
        <w:jc w:val="both"/>
        <w:rPr>
          <w:b w:val="0"/>
          <w:sz w:val="24"/>
          <w:szCs w:val="24"/>
        </w:rPr>
      </w:pPr>
      <w:r w:rsidRPr="00EA4D87">
        <w:rPr>
          <w:b w:val="0"/>
          <w:sz w:val="24"/>
          <w:szCs w:val="24"/>
        </w:rPr>
        <w:t>There is no evidence of current movement of brines, oil, or gas outside of the uncemented surface casing.  This has been confirmed by (describe assessment procedure).</w:t>
      </w:r>
    </w:p>
    <w:p w:rsidR="0053533E" w:rsidRPr="00EA4D87" w:rsidRDefault="0053533E" w:rsidP="00EA4D87">
      <w:pPr>
        <w:numPr>
          <w:ilvl w:val="0"/>
          <w:numId w:val="26"/>
        </w:numPr>
        <w:autoSpaceDE w:val="0"/>
        <w:autoSpaceDN w:val="0"/>
        <w:adjustRightInd w:val="0"/>
        <w:spacing w:after="0"/>
        <w:ind w:left="1080" w:right="0"/>
        <w:contextualSpacing/>
        <w:jc w:val="both"/>
        <w:rPr>
          <w:b w:val="0"/>
          <w:sz w:val="24"/>
          <w:szCs w:val="24"/>
        </w:rPr>
      </w:pPr>
      <w:r w:rsidRPr="00EA4D87">
        <w:rPr>
          <w:b w:val="0"/>
          <w:sz w:val="24"/>
          <w:szCs w:val="24"/>
        </w:rPr>
        <w:t xml:space="preserve">The uncemented surface casing does not penetrate any brine-, oil-, or gas-bearing zones.  This has been confirmed by (describe assessment procedure). </w:t>
      </w:r>
    </w:p>
    <w:p w:rsidR="0053533E" w:rsidRPr="00EA4D87" w:rsidRDefault="0053533E" w:rsidP="00EA4D87">
      <w:pPr>
        <w:autoSpaceDE w:val="0"/>
        <w:autoSpaceDN w:val="0"/>
        <w:adjustRightInd w:val="0"/>
        <w:spacing w:after="0"/>
        <w:ind w:left="360" w:right="0"/>
        <w:jc w:val="both"/>
        <w:rPr>
          <w:b w:val="0"/>
          <w:sz w:val="24"/>
          <w:szCs w:val="24"/>
        </w:rPr>
      </w:pPr>
    </w:p>
    <w:p w:rsidR="00EA4D87" w:rsidRPr="00EA4D87" w:rsidRDefault="0053533E" w:rsidP="00EA4D87">
      <w:pPr>
        <w:autoSpaceDE w:val="0"/>
        <w:autoSpaceDN w:val="0"/>
        <w:adjustRightInd w:val="0"/>
        <w:spacing w:after="0"/>
        <w:ind w:left="360" w:right="0"/>
        <w:jc w:val="both"/>
        <w:rPr>
          <w:b w:val="0"/>
          <w:sz w:val="24"/>
          <w:szCs w:val="24"/>
        </w:rPr>
      </w:pPr>
      <w:r w:rsidRPr="00EA4D87">
        <w:rPr>
          <w:b w:val="0"/>
          <w:sz w:val="24"/>
          <w:szCs w:val="24"/>
        </w:rPr>
        <w:t xml:space="preserve">The uncemented surface casing will be left in place during the plugging and abandonment to improve the likelihood of maintaining hole stability and allow future re-entry, should the need arise for any reason.  The plugging procedure exceeds the plugging requirements of 25 Pa. Code </w:t>
      </w:r>
      <w:r w:rsidRPr="00EA4D87">
        <w:rPr>
          <w:sz w:val="24"/>
          <w:szCs w:val="24"/>
        </w:rPr>
        <w:t>[Section 78.93(a)(3) or Section 78.94(a)(3) – choose which section applies</w:t>
      </w:r>
      <w:r w:rsidRPr="00EA4D87">
        <w:rPr>
          <w:b w:val="0"/>
          <w:sz w:val="24"/>
          <w:szCs w:val="24"/>
        </w:rPr>
        <w:t>]</w:t>
      </w:r>
      <w:r w:rsidR="00EA4D87" w:rsidRPr="00EA4D87">
        <w:rPr>
          <w:b w:val="0"/>
          <w:sz w:val="24"/>
          <w:szCs w:val="24"/>
        </w:rPr>
        <w:t>.</w:t>
      </w:r>
      <w:r w:rsidR="007542C0" w:rsidRPr="00EA4D87">
        <w:rPr>
          <w:b w:val="0"/>
          <w:sz w:val="24"/>
          <w:szCs w:val="24"/>
        </w:rPr>
        <w:t xml:space="preserve"> </w:t>
      </w:r>
    </w:p>
    <w:p w:rsidR="00EA4D87" w:rsidRPr="00EA4D87" w:rsidRDefault="00EA4D87" w:rsidP="00EA4D87">
      <w:pPr>
        <w:autoSpaceDE w:val="0"/>
        <w:autoSpaceDN w:val="0"/>
        <w:adjustRightInd w:val="0"/>
        <w:spacing w:after="0"/>
        <w:ind w:left="360" w:right="0"/>
        <w:jc w:val="both"/>
        <w:rPr>
          <w:b w:val="0"/>
          <w:sz w:val="24"/>
          <w:szCs w:val="24"/>
        </w:rPr>
      </w:pPr>
    </w:p>
    <w:p w:rsidR="0053533E" w:rsidRPr="00EA4D87" w:rsidRDefault="00D7619D" w:rsidP="00EA4D87">
      <w:pPr>
        <w:autoSpaceDE w:val="0"/>
        <w:autoSpaceDN w:val="0"/>
        <w:adjustRightInd w:val="0"/>
        <w:spacing w:after="0"/>
        <w:ind w:left="0" w:right="0"/>
        <w:jc w:val="both"/>
        <w:rPr>
          <w:b w:val="0"/>
          <w:sz w:val="24"/>
          <w:szCs w:val="24"/>
        </w:rPr>
      </w:pPr>
      <w:r>
        <w:rPr>
          <w:b w:val="0"/>
          <w:sz w:val="24"/>
          <w:szCs w:val="24"/>
        </w:rPr>
        <w:t>(posted 02</w:t>
      </w:r>
      <w:bookmarkStart w:id="0" w:name="_GoBack"/>
      <w:bookmarkEnd w:id="0"/>
      <w:r>
        <w:rPr>
          <w:b w:val="0"/>
          <w:sz w:val="24"/>
          <w:szCs w:val="24"/>
        </w:rPr>
        <w:t>/15</w:t>
      </w:r>
      <w:r w:rsidR="007542C0" w:rsidRPr="00EA4D87">
        <w:rPr>
          <w:b w:val="0"/>
          <w:sz w:val="24"/>
          <w:szCs w:val="24"/>
        </w:rPr>
        <w:t>/201</w:t>
      </w:r>
      <w:r w:rsidR="00EA4D87" w:rsidRPr="00EA4D87">
        <w:rPr>
          <w:b w:val="0"/>
          <w:sz w:val="24"/>
          <w:szCs w:val="24"/>
        </w:rPr>
        <w:t>9</w:t>
      </w:r>
      <w:r w:rsidR="007542C0" w:rsidRPr="00EA4D87">
        <w:rPr>
          <w:b w:val="0"/>
          <w:sz w:val="24"/>
          <w:szCs w:val="24"/>
        </w:rPr>
        <w:t>)</w:t>
      </w:r>
      <w:r w:rsidR="0053533E" w:rsidRPr="00EA4D87">
        <w:rPr>
          <w:b w:val="0"/>
          <w:sz w:val="24"/>
          <w:szCs w:val="24"/>
        </w:rPr>
        <w:t>.</w:t>
      </w:r>
    </w:p>
    <w:p w:rsidR="0053533E" w:rsidRPr="00EA4D87" w:rsidRDefault="0053533E" w:rsidP="0053533E">
      <w:pPr>
        <w:autoSpaceDE w:val="0"/>
        <w:autoSpaceDN w:val="0"/>
        <w:adjustRightInd w:val="0"/>
        <w:spacing w:after="0"/>
        <w:ind w:left="0" w:right="0"/>
        <w:jc w:val="both"/>
        <w:rPr>
          <w:b w:val="0"/>
          <w:sz w:val="24"/>
          <w:szCs w:val="24"/>
        </w:rPr>
      </w:pPr>
    </w:p>
    <w:p w:rsidR="0053533E" w:rsidRPr="00EA4D87" w:rsidRDefault="0053533E" w:rsidP="0053533E">
      <w:pPr>
        <w:spacing w:after="0"/>
        <w:ind w:left="0" w:right="0"/>
        <w:jc w:val="both"/>
        <w:rPr>
          <w:b w:val="0"/>
          <w:sz w:val="24"/>
          <w:szCs w:val="24"/>
        </w:rPr>
      </w:pPr>
    </w:p>
    <w:sectPr w:rsidR="0053533E" w:rsidRPr="00EA4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FA3" w:rsidRDefault="00635FA3" w:rsidP="00C3182E">
      <w:r>
        <w:separator/>
      </w:r>
    </w:p>
  </w:endnote>
  <w:endnote w:type="continuationSeparator" w:id="0">
    <w:p w:rsidR="00635FA3" w:rsidRDefault="00635FA3" w:rsidP="00C3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FA3" w:rsidRDefault="00635FA3" w:rsidP="00C3182E">
      <w:r>
        <w:separator/>
      </w:r>
    </w:p>
  </w:footnote>
  <w:footnote w:type="continuationSeparator" w:id="0">
    <w:p w:rsidR="00635FA3" w:rsidRDefault="00635FA3" w:rsidP="00C31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617"/>
    <w:multiLevelType w:val="hybridMultilevel"/>
    <w:tmpl w:val="84B820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31299"/>
    <w:multiLevelType w:val="hybridMultilevel"/>
    <w:tmpl w:val="3E4C5F92"/>
    <w:lvl w:ilvl="0" w:tplc="9D0A3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21FCB"/>
    <w:multiLevelType w:val="hybridMultilevel"/>
    <w:tmpl w:val="46B87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22E87"/>
    <w:multiLevelType w:val="hybridMultilevel"/>
    <w:tmpl w:val="081EA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1FC"/>
    <w:multiLevelType w:val="hybridMultilevel"/>
    <w:tmpl w:val="56045BD2"/>
    <w:lvl w:ilvl="0" w:tplc="183409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5080F"/>
    <w:multiLevelType w:val="hybridMultilevel"/>
    <w:tmpl w:val="14382A44"/>
    <w:lvl w:ilvl="0" w:tplc="28DAB1E4">
      <w:start w:val="1"/>
      <w:numFmt w:val="decimal"/>
      <w:lvlText w:val="%1."/>
      <w:lvlJc w:val="left"/>
      <w:pPr>
        <w:ind w:left="720" w:hanging="360"/>
      </w:pPr>
      <w:rPr>
        <w:rFonts w:hint="default"/>
        <w:i/>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10DB"/>
    <w:multiLevelType w:val="hybridMultilevel"/>
    <w:tmpl w:val="05B0A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A62F2"/>
    <w:multiLevelType w:val="hybridMultilevel"/>
    <w:tmpl w:val="F3A21556"/>
    <w:lvl w:ilvl="0" w:tplc="5CAA45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170C50"/>
    <w:multiLevelType w:val="hybridMultilevel"/>
    <w:tmpl w:val="9148D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25A7B"/>
    <w:multiLevelType w:val="hybridMultilevel"/>
    <w:tmpl w:val="6E10F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F7021"/>
    <w:multiLevelType w:val="hybridMultilevel"/>
    <w:tmpl w:val="45D6B10A"/>
    <w:lvl w:ilvl="0" w:tplc="3CC60678">
      <w:start w:val="1"/>
      <w:numFmt w:val="decimal"/>
      <w:lvlText w:val="%1."/>
      <w:lvlJc w:val="left"/>
      <w:pPr>
        <w:ind w:left="1080" w:hanging="360"/>
      </w:pPr>
      <w:rPr>
        <w:rFonts w:hint="default"/>
      </w:rPr>
    </w:lvl>
    <w:lvl w:ilvl="1" w:tplc="0409000F">
      <w:start w:val="1"/>
      <w:numFmt w:val="decimal"/>
      <w:lvlText w:val="%2."/>
      <w:lvlJc w:val="left"/>
      <w:pPr>
        <w:ind w:left="5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667C89"/>
    <w:multiLevelType w:val="hybridMultilevel"/>
    <w:tmpl w:val="81809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F7F67"/>
    <w:multiLevelType w:val="hybridMultilevel"/>
    <w:tmpl w:val="94D64658"/>
    <w:lvl w:ilvl="0" w:tplc="C11E53A0">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E1C7F"/>
    <w:multiLevelType w:val="hybridMultilevel"/>
    <w:tmpl w:val="E440E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499A"/>
    <w:multiLevelType w:val="hybridMultilevel"/>
    <w:tmpl w:val="7E90C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4252C"/>
    <w:multiLevelType w:val="hybridMultilevel"/>
    <w:tmpl w:val="A0E88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B0036"/>
    <w:multiLevelType w:val="hybridMultilevel"/>
    <w:tmpl w:val="DE6EB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E3F7C"/>
    <w:multiLevelType w:val="hybridMultilevel"/>
    <w:tmpl w:val="AD841230"/>
    <w:lvl w:ilvl="0" w:tplc="B4A6E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1B2879"/>
    <w:multiLevelType w:val="hybridMultilevel"/>
    <w:tmpl w:val="A11C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B2EFC"/>
    <w:multiLevelType w:val="hybridMultilevel"/>
    <w:tmpl w:val="5F887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73BBE"/>
    <w:multiLevelType w:val="hybridMultilevel"/>
    <w:tmpl w:val="5CE4F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D810B1"/>
    <w:multiLevelType w:val="hybridMultilevel"/>
    <w:tmpl w:val="74DC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C6CA4"/>
    <w:multiLevelType w:val="hybridMultilevel"/>
    <w:tmpl w:val="1CC28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F1C22"/>
    <w:multiLevelType w:val="hybridMultilevel"/>
    <w:tmpl w:val="4D68F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02ECD"/>
    <w:multiLevelType w:val="hybridMultilevel"/>
    <w:tmpl w:val="D7F08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45C62"/>
    <w:multiLevelType w:val="hybridMultilevel"/>
    <w:tmpl w:val="62D4C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9"/>
  </w:num>
  <w:num w:numId="4">
    <w:abstractNumId w:val="17"/>
  </w:num>
  <w:num w:numId="5">
    <w:abstractNumId w:val="4"/>
  </w:num>
  <w:num w:numId="6">
    <w:abstractNumId w:val="2"/>
  </w:num>
  <w:num w:numId="7">
    <w:abstractNumId w:val="7"/>
  </w:num>
  <w:num w:numId="8">
    <w:abstractNumId w:val="6"/>
  </w:num>
  <w:num w:numId="9">
    <w:abstractNumId w:val="8"/>
  </w:num>
  <w:num w:numId="10">
    <w:abstractNumId w:val="13"/>
  </w:num>
  <w:num w:numId="11">
    <w:abstractNumId w:val="23"/>
  </w:num>
  <w:num w:numId="12">
    <w:abstractNumId w:val="16"/>
  </w:num>
  <w:num w:numId="13">
    <w:abstractNumId w:val="11"/>
  </w:num>
  <w:num w:numId="14">
    <w:abstractNumId w:val="0"/>
  </w:num>
  <w:num w:numId="15">
    <w:abstractNumId w:val="22"/>
  </w:num>
  <w:num w:numId="16">
    <w:abstractNumId w:val="24"/>
  </w:num>
  <w:num w:numId="17">
    <w:abstractNumId w:val="25"/>
  </w:num>
  <w:num w:numId="18">
    <w:abstractNumId w:val="18"/>
  </w:num>
  <w:num w:numId="19">
    <w:abstractNumId w:val="3"/>
  </w:num>
  <w:num w:numId="20">
    <w:abstractNumId w:val="9"/>
  </w:num>
  <w:num w:numId="21">
    <w:abstractNumId w:val="15"/>
  </w:num>
  <w:num w:numId="22">
    <w:abstractNumId w:val="14"/>
  </w:num>
  <w:num w:numId="23">
    <w:abstractNumId w:val="5"/>
  </w:num>
  <w:num w:numId="24">
    <w:abstractNumId w:val="2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5C"/>
    <w:rsid w:val="00015FB5"/>
    <w:rsid w:val="000249B0"/>
    <w:rsid w:val="00025B88"/>
    <w:rsid w:val="00032AAE"/>
    <w:rsid w:val="00040427"/>
    <w:rsid w:val="00042279"/>
    <w:rsid w:val="000608B5"/>
    <w:rsid w:val="0008013C"/>
    <w:rsid w:val="000874C0"/>
    <w:rsid w:val="00090D63"/>
    <w:rsid w:val="00091ABF"/>
    <w:rsid w:val="00093AAE"/>
    <w:rsid w:val="00094315"/>
    <w:rsid w:val="000B3C50"/>
    <w:rsid w:val="000B69A3"/>
    <w:rsid w:val="000C0C27"/>
    <w:rsid w:val="000E1592"/>
    <w:rsid w:val="000F5036"/>
    <w:rsid w:val="001076C9"/>
    <w:rsid w:val="0012101F"/>
    <w:rsid w:val="001317C2"/>
    <w:rsid w:val="00143B84"/>
    <w:rsid w:val="001617A8"/>
    <w:rsid w:val="00166075"/>
    <w:rsid w:val="00173176"/>
    <w:rsid w:val="0018754D"/>
    <w:rsid w:val="00197394"/>
    <w:rsid w:val="001A037F"/>
    <w:rsid w:val="001D163C"/>
    <w:rsid w:val="001E0880"/>
    <w:rsid w:val="001F12E4"/>
    <w:rsid w:val="001F4913"/>
    <w:rsid w:val="001F6948"/>
    <w:rsid w:val="00204422"/>
    <w:rsid w:val="00216020"/>
    <w:rsid w:val="002213C9"/>
    <w:rsid w:val="002303D8"/>
    <w:rsid w:val="00242F7F"/>
    <w:rsid w:val="00254521"/>
    <w:rsid w:val="002A1859"/>
    <w:rsid w:val="002B1010"/>
    <w:rsid w:val="002D07D1"/>
    <w:rsid w:val="002D6534"/>
    <w:rsid w:val="002E69AE"/>
    <w:rsid w:val="003139A3"/>
    <w:rsid w:val="00331D26"/>
    <w:rsid w:val="00335337"/>
    <w:rsid w:val="0033735C"/>
    <w:rsid w:val="00347E83"/>
    <w:rsid w:val="00356E9E"/>
    <w:rsid w:val="003622E9"/>
    <w:rsid w:val="00362ACE"/>
    <w:rsid w:val="00374D17"/>
    <w:rsid w:val="003810A4"/>
    <w:rsid w:val="00387513"/>
    <w:rsid w:val="003A7FD6"/>
    <w:rsid w:val="003B5A90"/>
    <w:rsid w:val="003C375A"/>
    <w:rsid w:val="003C5CD3"/>
    <w:rsid w:val="003D2315"/>
    <w:rsid w:val="00415D2A"/>
    <w:rsid w:val="00424C20"/>
    <w:rsid w:val="00444632"/>
    <w:rsid w:val="004501EB"/>
    <w:rsid w:val="0045092B"/>
    <w:rsid w:val="0045714B"/>
    <w:rsid w:val="00462629"/>
    <w:rsid w:val="00464EF2"/>
    <w:rsid w:val="00474DA5"/>
    <w:rsid w:val="00475E43"/>
    <w:rsid w:val="004847ED"/>
    <w:rsid w:val="004967DA"/>
    <w:rsid w:val="004968C1"/>
    <w:rsid w:val="004A032E"/>
    <w:rsid w:val="004A1661"/>
    <w:rsid w:val="004A4952"/>
    <w:rsid w:val="004E5C3D"/>
    <w:rsid w:val="0052227E"/>
    <w:rsid w:val="00525947"/>
    <w:rsid w:val="0052611E"/>
    <w:rsid w:val="0053533E"/>
    <w:rsid w:val="00541BDC"/>
    <w:rsid w:val="00564AF8"/>
    <w:rsid w:val="0057330E"/>
    <w:rsid w:val="00574A61"/>
    <w:rsid w:val="005B7286"/>
    <w:rsid w:val="005C6D2B"/>
    <w:rsid w:val="005C6D99"/>
    <w:rsid w:val="00600E0F"/>
    <w:rsid w:val="00613E80"/>
    <w:rsid w:val="00627650"/>
    <w:rsid w:val="00632A6A"/>
    <w:rsid w:val="006346F5"/>
    <w:rsid w:val="00635353"/>
    <w:rsid w:val="00635FA3"/>
    <w:rsid w:val="00652AFD"/>
    <w:rsid w:val="00671CA6"/>
    <w:rsid w:val="00680836"/>
    <w:rsid w:val="00686CEA"/>
    <w:rsid w:val="00691701"/>
    <w:rsid w:val="006D75DE"/>
    <w:rsid w:val="007047A6"/>
    <w:rsid w:val="00705A19"/>
    <w:rsid w:val="00744F31"/>
    <w:rsid w:val="007542C0"/>
    <w:rsid w:val="0075638B"/>
    <w:rsid w:val="00767842"/>
    <w:rsid w:val="007733B6"/>
    <w:rsid w:val="00774F2E"/>
    <w:rsid w:val="00791B01"/>
    <w:rsid w:val="0079560A"/>
    <w:rsid w:val="007B03E0"/>
    <w:rsid w:val="007B54BE"/>
    <w:rsid w:val="007B6636"/>
    <w:rsid w:val="007B7236"/>
    <w:rsid w:val="007E5342"/>
    <w:rsid w:val="007E56C8"/>
    <w:rsid w:val="00802685"/>
    <w:rsid w:val="00805D57"/>
    <w:rsid w:val="00810DBD"/>
    <w:rsid w:val="0081213A"/>
    <w:rsid w:val="00815FA2"/>
    <w:rsid w:val="00816DDE"/>
    <w:rsid w:val="008305DB"/>
    <w:rsid w:val="0084695C"/>
    <w:rsid w:val="008515F8"/>
    <w:rsid w:val="00851CE0"/>
    <w:rsid w:val="008523D2"/>
    <w:rsid w:val="00863A0A"/>
    <w:rsid w:val="00876692"/>
    <w:rsid w:val="0088281B"/>
    <w:rsid w:val="00883C66"/>
    <w:rsid w:val="008A6EE7"/>
    <w:rsid w:val="008A7145"/>
    <w:rsid w:val="008B0FC6"/>
    <w:rsid w:val="008B40B8"/>
    <w:rsid w:val="008D2923"/>
    <w:rsid w:val="008D2F10"/>
    <w:rsid w:val="008D5399"/>
    <w:rsid w:val="008D60B7"/>
    <w:rsid w:val="008E0EB9"/>
    <w:rsid w:val="008E544B"/>
    <w:rsid w:val="008E7BEA"/>
    <w:rsid w:val="0093273A"/>
    <w:rsid w:val="009361EB"/>
    <w:rsid w:val="00944621"/>
    <w:rsid w:val="009571FA"/>
    <w:rsid w:val="0097454A"/>
    <w:rsid w:val="009755CF"/>
    <w:rsid w:val="0099066E"/>
    <w:rsid w:val="009A557F"/>
    <w:rsid w:val="009A5945"/>
    <w:rsid w:val="009A73E3"/>
    <w:rsid w:val="009B2EA2"/>
    <w:rsid w:val="009C3374"/>
    <w:rsid w:val="009D3B0F"/>
    <w:rsid w:val="009D5BF7"/>
    <w:rsid w:val="009D6DBC"/>
    <w:rsid w:val="009D7D14"/>
    <w:rsid w:val="009F04AD"/>
    <w:rsid w:val="00A32774"/>
    <w:rsid w:val="00A46E74"/>
    <w:rsid w:val="00A57DC3"/>
    <w:rsid w:val="00A66B9F"/>
    <w:rsid w:val="00A71729"/>
    <w:rsid w:val="00A72B19"/>
    <w:rsid w:val="00A72F4F"/>
    <w:rsid w:val="00A87D22"/>
    <w:rsid w:val="00A97E42"/>
    <w:rsid w:val="00AB702C"/>
    <w:rsid w:val="00AC0EE0"/>
    <w:rsid w:val="00AC521A"/>
    <w:rsid w:val="00AD435E"/>
    <w:rsid w:val="00AF6425"/>
    <w:rsid w:val="00B2277A"/>
    <w:rsid w:val="00B568B2"/>
    <w:rsid w:val="00B607BC"/>
    <w:rsid w:val="00B67AF8"/>
    <w:rsid w:val="00B824B1"/>
    <w:rsid w:val="00B95BC4"/>
    <w:rsid w:val="00BA72C3"/>
    <w:rsid w:val="00BB6271"/>
    <w:rsid w:val="00BB6B4A"/>
    <w:rsid w:val="00BC437C"/>
    <w:rsid w:val="00BD04BE"/>
    <w:rsid w:val="00BE35FC"/>
    <w:rsid w:val="00BE4549"/>
    <w:rsid w:val="00BF1D26"/>
    <w:rsid w:val="00BF25DA"/>
    <w:rsid w:val="00C117DD"/>
    <w:rsid w:val="00C3182E"/>
    <w:rsid w:val="00C361DA"/>
    <w:rsid w:val="00C458AF"/>
    <w:rsid w:val="00C545DC"/>
    <w:rsid w:val="00C5716F"/>
    <w:rsid w:val="00C61BB2"/>
    <w:rsid w:val="00C70640"/>
    <w:rsid w:val="00C73CE0"/>
    <w:rsid w:val="00C82697"/>
    <w:rsid w:val="00C83E6F"/>
    <w:rsid w:val="00C86977"/>
    <w:rsid w:val="00C87140"/>
    <w:rsid w:val="00CD026F"/>
    <w:rsid w:val="00CE5E27"/>
    <w:rsid w:val="00CF6B73"/>
    <w:rsid w:val="00D022A4"/>
    <w:rsid w:val="00D03871"/>
    <w:rsid w:val="00D042D2"/>
    <w:rsid w:val="00D1400C"/>
    <w:rsid w:val="00D273FE"/>
    <w:rsid w:val="00D369EB"/>
    <w:rsid w:val="00D52830"/>
    <w:rsid w:val="00D53307"/>
    <w:rsid w:val="00D542A0"/>
    <w:rsid w:val="00D63400"/>
    <w:rsid w:val="00D7619D"/>
    <w:rsid w:val="00D77225"/>
    <w:rsid w:val="00D97B91"/>
    <w:rsid w:val="00DA0C5A"/>
    <w:rsid w:val="00DA56A9"/>
    <w:rsid w:val="00DA794A"/>
    <w:rsid w:val="00DB4331"/>
    <w:rsid w:val="00DD62EB"/>
    <w:rsid w:val="00E02A9F"/>
    <w:rsid w:val="00E16D1C"/>
    <w:rsid w:val="00E177C8"/>
    <w:rsid w:val="00E56807"/>
    <w:rsid w:val="00E911EA"/>
    <w:rsid w:val="00E960BF"/>
    <w:rsid w:val="00EA4D87"/>
    <w:rsid w:val="00EB0EF4"/>
    <w:rsid w:val="00EB625D"/>
    <w:rsid w:val="00EC1399"/>
    <w:rsid w:val="00ED3751"/>
    <w:rsid w:val="00F14546"/>
    <w:rsid w:val="00F2230A"/>
    <w:rsid w:val="00F26903"/>
    <w:rsid w:val="00F4183E"/>
    <w:rsid w:val="00F6257A"/>
    <w:rsid w:val="00F737FE"/>
    <w:rsid w:val="00F80E52"/>
    <w:rsid w:val="00F81AA7"/>
    <w:rsid w:val="00F85E56"/>
    <w:rsid w:val="00F905AF"/>
    <w:rsid w:val="00FB6A3D"/>
    <w:rsid w:val="00FC78FA"/>
    <w:rsid w:val="00FD4540"/>
    <w:rsid w:val="00FE00C1"/>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6A44"/>
  <w15:docId w15:val="{137427B5-04F7-4B47-93D8-973A49DB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C3182E"/>
    <w:pPr>
      <w:spacing w:after="120"/>
      <w:ind w:left="1440" w:right="1440"/>
      <w:jc w:val="center"/>
    </w:pPr>
    <w:rPr>
      <w:rFonts w:ascii="Arial" w:eastAsiaTheme="minorHAnsi" w:hAnsi="Arial" w:cs="Arial"/>
      <w:b/>
      <w:sz w:val="32"/>
      <w:szCs w:val="32"/>
    </w:rPr>
  </w:style>
  <w:style w:type="paragraph" w:styleId="Heading1">
    <w:name w:val="heading 1"/>
    <w:basedOn w:val="Normal"/>
    <w:next w:val="BodyText"/>
    <w:link w:val="Heading1Char"/>
    <w:uiPriority w:val="9"/>
    <w:qFormat/>
    <w:rsid w:val="004A4952"/>
    <w:pPr>
      <w:keepNext/>
      <w:spacing w:before="240" w:after="60"/>
      <w:outlineLvl w:val="0"/>
    </w:pPr>
    <w:rPr>
      <w:rFonts w:ascii="Cambria" w:eastAsia="Times New Roman" w:hAnsi="Cambria" w:cs="Times New Roman"/>
      <w:b w:val="0"/>
      <w:bCs/>
      <w:kern w:val="32"/>
    </w:rPr>
  </w:style>
  <w:style w:type="paragraph" w:styleId="Heading2">
    <w:name w:val="heading 2"/>
    <w:basedOn w:val="Normal"/>
    <w:next w:val="BodyText"/>
    <w:link w:val="Heading2Char"/>
    <w:autoRedefine/>
    <w:qFormat/>
    <w:rsid w:val="003C5CD3"/>
    <w:pPr>
      <w:keepNext/>
      <w:spacing w:before="240" w:after="60"/>
      <w:outlineLvl w:val="1"/>
    </w:pPr>
    <w:rPr>
      <w:b w:val="0"/>
      <w:sz w:val="28"/>
      <w:szCs w:val="28"/>
    </w:rPr>
  </w:style>
  <w:style w:type="paragraph" w:styleId="Heading3">
    <w:name w:val="heading 3"/>
    <w:basedOn w:val="Normal"/>
    <w:next w:val="BodyText"/>
    <w:link w:val="Heading3Char"/>
    <w:autoRedefine/>
    <w:qFormat/>
    <w:rsid w:val="003C5CD3"/>
    <w:pPr>
      <w:keepNext/>
      <w:spacing w:before="240" w:after="60"/>
      <w:outlineLvl w:val="2"/>
    </w:pPr>
    <w:rPr>
      <w:b w:val="0"/>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4952"/>
    <w:rPr>
      <w:rFonts w:ascii="Cambria" w:eastAsia="Times New Roman" w:hAnsi="Cambria" w:cs="Times New Roman"/>
      <w:b/>
      <w:bCs/>
      <w:kern w:val="32"/>
      <w:sz w:val="32"/>
      <w:szCs w:val="32"/>
    </w:rPr>
  </w:style>
  <w:style w:type="paragraph" w:styleId="BodyText">
    <w:name w:val="Body Text"/>
    <w:basedOn w:val="Normal"/>
    <w:link w:val="BodyTextChar"/>
    <w:autoRedefine/>
    <w:qFormat/>
    <w:rsid w:val="00254521"/>
    <w:pPr>
      <w:spacing w:after="0"/>
      <w:ind w:left="0" w:right="0"/>
      <w:jc w:val="left"/>
    </w:pPr>
    <w:rPr>
      <w:sz w:val="24"/>
      <w:szCs w:val="24"/>
    </w:rPr>
  </w:style>
  <w:style w:type="character" w:customStyle="1" w:styleId="BodyTextChar">
    <w:name w:val="Body Text Char"/>
    <w:link w:val="BodyText"/>
    <w:rsid w:val="00254521"/>
    <w:rPr>
      <w:rFonts w:ascii="Arial" w:eastAsiaTheme="minorHAnsi" w:hAnsi="Arial" w:cs="Arial"/>
      <w:b/>
      <w:sz w:val="24"/>
      <w:szCs w:val="24"/>
    </w:rPr>
  </w:style>
  <w:style w:type="character" w:customStyle="1" w:styleId="Heading2Char">
    <w:name w:val="Heading 2 Char"/>
    <w:link w:val="Heading2"/>
    <w:rsid w:val="003C5CD3"/>
    <w:rPr>
      <w:rFonts w:ascii="Verdana" w:eastAsia="Times New Roman" w:hAnsi="Verdana" w:cs="Times New Roman"/>
      <w:b/>
      <w:sz w:val="28"/>
      <w:szCs w:val="28"/>
    </w:rPr>
  </w:style>
  <w:style w:type="character" w:customStyle="1" w:styleId="Heading3Char">
    <w:name w:val="Heading 3 Char"/>
    <w:link w:val="Heading3"/>
    <w:rsid w:val="003C5CD3"/>
    <w:rPr>
      <w:rFonts w:ascii="Verdana" w:eastAsia="Times New Roman" w:hAnsi="Verdana" w:cs="Times New Roman"/>
      <w:b/>
      <w:i/>
      <w:sz w:val="24"/>
      <w:szCs w:val="26"/>
    </w:rPr>
  </w:style>
  <w:style w:type="paragraph" w:styleId="NormalWeb">
    <w:name w:val="Normal (Web)"/>
    <w:basedOn w:val="Normal"/>
    <w:uiPriority w:val="99"/>
    <w:unhideWhenUsed/>
    <w:rsid w:val="00FC78FA"/>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52611E"/>
    <w:pPr>
      <w:tabs>
        <w:tab w:val="center" w:pos="4680"/>
        <w:tab w:val="right" w:pos="9360"/>
      </w:tabs>
    </w:pPr>
  </w:style>
  <w:style w:type="character" w:customStyle="1" w:styleId="HeaderChar">
    <w:name w:val="Header Char"/>
    <w:link w:val="Header"/>
    <w:uiPriority w:val="99"/>
    <w:rsid w:val="0052611E"/>
    <w:rPr>
      <w:rFonts w:ascii="Verdana" w:hAnsi="Verdana"/>
      <w:color w:val="000000"/>
      <w:sz w:val="24"/>
      <w:szCs w:val="24"/>
    </w:rPr>
  </w:style>
  <w:style w:type="paragraph" w:styleId="Footer">
    <w:name w:val="footer"/>
    <w:basedOn w:val="Normal"/>
    <w:link w:val="FooterChar"/>
    <w:uiPriority w:val="99"/>
    <w:unhideWhenUsed/>
    <w:rsid w:val="0052611E"/>
    <w:pPr>
      <w:tabs>
        <w:tab w:val="center" w:pos="4680"/>
        <w:tab w:val="right" w:pos="9360"/>
      </w:tabs>
    </w:pPr>
  </w:style>
  <w:style w:type="character" w:customStyle="1" w:styleId="FooterChar">
    <w:name w:val="Footer Char"/>
    <w:link w:val="Footer"/>
    <w:uiPriority w:val="99"/>
    <w:rsid w:val="0052611E"/>
    <w:rPr>
      <w:rFonts w:ascii="Verdana" w:hAnsi="Verdana"/>
      <w:color w:val="000000"/>
      <w:sz w:val="24"/>
      <w:szCs w:val="24"/>
    </w:rPr>
  </w:style>
  <w:style w:type="paragraph" w:styleId="ListParagraph">
    <w:name w:val="List Paragraph"/>
    <w:basedOn w:val="Normal"/>
    <w:uiPriority w:val="34"/>
    <w:qFormat/>
    <w:rsid w:val="00CE5E27"/>
    <w:pPr>
      <w:ind w:left="720"/>
      <w:contextualSpacing/>
    </w:pPr>
    <w:rPr>
      <w:rFonts w:ascii="Calibri" w:eastAsia="Calibri" w:hAnsi="Calibri" w:cs="Times New Roman"/>
      <w:sz w:val="22"/>
      <w:szCs w:val="22"/>
    </w:rPr>
  </w:style>
  <w:style w:type="paragraph" w:styleId="NoSpacing">
    <w:name w:val="No Spacing"/>
    <w:uiPriority w:val="1"/>
    <w:qFormat/>
    <w:rsid w:val="00F26903"/>
    <w:pPr>
      <w:pBdr>
        <w:bottom w:val="single" w:sz="6" w:space="1" w:color="auto"/>
      </w:pBdr>
    </w:pPr>
    <w:rPr>
      <w:rFonts w:ascii="Verdana" w:hAnsi="Verdana"/>
      <w:sz w:val="24"/>
      <w:szCs w:val="24"/>
    </w:rPr>
  </w:style>
  <w:style w:type="character" w:styleId="Hyperlink">
    <w:name w:val="Hyperlink"/>
    <w:uiPriority w:val="99"/>
    <w:unhideWhenUsed/>
    <w:rsid w:val="00BC437C"/>
    <w:rPr>
      <w:color w:val="0000FF"/>
      <w:u w:val="single"/>
    </w:rPr>
  </w:style>
  <w:style w:type="paragraph" w:styleId="BalloonText">
    <w:name w:val="Balloon Text"/>
    <w:basedOn w:val="Normal"/>
    <w:link w:val="BalloonTextChar"/>
    <w:uiPriority w:val="99"/>
    <w:semiHidden/>
    <w:unhideWhenUsed/>
    <w:rsid w:val="00254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21"/>
    <w:rPr>
      <w:rFonts w:ascii="Tahoma" w:eastAsiaTheme="minorHAnsi"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6323">
      <w:bodyDiv w:val="1"/>
      <w:marLeft w:val="0"/>
      <w:marRight w:val="0"/>
      <w:marTop w:val="0"/>
      <w:marBottom w:val="0"/>
      <w:divBdr>
        <w:top w:val="none" w:sz="0" w:space="0" w:color="auto"/>
        <w:left w:val="none" w:sz="0" w:space="0" w:color="auto"/>
        <w:bottom w:val="none" w:sz="0" w:space="0" w:color="auto"/>
        <w:right w:val="none" w:sz="0" w:space="0" w:color="auto"/>
      </w:divBdr>
    </w:div>
    <w:div w:id="526138686">
      <w:bodyDiv w:val="1"/>
      <w:marLeft w:val="0"/>
      <w:marRight w:val="0"/>
      <w:marTop w:val="0"/>
      <w:marBottom w:val="0"/>
      <w:divBdr>
        <w:top w:val="none" w:sz="0" w:space="0" w:color="auto"/>
        <w:left w:val="none" w:sz="0" w:space="0" w:color="auto"/>
        <w:bottom w:val="none" w:sz="0" w:space="0" w:color="auto"/>
        <w:right w:val="none" w:sz="0" w:space="0" w:color="auto"/>
      </w:divBdr>
    </w:div>
    <w:div w:id="1163472370">
      <w:bodyDiv w:val="1"/>
      <w:marLeft w:val="0"/>
      <w:marRight w:val="0"/>
      <w:marTop w:val="0"/>
      <w:marBottom w:val="0"/>
      <w:divBdr>
        <w:top w:val="none" w:sz="0" w:space="0" w:color="auto"/>
        <w:left w:val="none" w:sz="0" w:space="0" w:color="auto"/>
        <w:bottom w:val="none" w:sz="0" w:space="0" w:color="auto"/>
        <w:right w:val="none" w:sz="0" w:space="0" w:color="auto"/>
      </w:divBdr>
    </w:div>
    <w:div w:id="1232622176">
      <w:bodyDiv w:val="1"/>
      <w:marLeft w:val="0"/>
      <w:marRight w:val="0"/>
      <w:marTop w:val="0"/>
      <w:marBottom w:val="0"/>
      <w:divBdr>
        <w:top w:val="none" w:sz="0" w:space="0" w:color="auto"/>
        <w:left w:val="none" w:sz="0" w:space="0" w:color="auto"/>
        <w:bottom w:val="none" w:sz="0" w:space="0" w:color="auto"/>
        <w:right w:val="none" w:sz="0" w:space="0" w:color="auto"/>
      </w:divBdr>
    </w:div>
    <w:div w:id="1279603424">
      <w:bodyDiv w:val="1"/>
      <w:marLeft w:val="0"/>
      <w:marRight w:val="0"/>
      <w:marTop w:val="0"/>
      <w:marBottom w:val="0"/>
      <w:divBdr>
        <w:top w:val="none" w:sz="0" w:space="0" w:color="auto"/>
        <w:left w:val="none" w:sz="0" w:space="0" w:color="auto"/>
        <w:bottom w:val="none" w:sz="0" w:space="0" w:color="auto"/>
        <w:right w:val="none" w:sz="0" w:space="0" w:color="auto"/>
      </w:divBdr>
      <w:divsChild>
        <w:div w:id="316151308">
          <w:marLeft w:val="0"/>
          <w:marRight w:val="0"/>
          <w:marTop w:val="0"/>
          <w:marBottom w:val="0"/>
          <w:divBdr>
            <w:top w:val="none" w:sz="0" w:space="0" w:color="auto"/>
            <w:left w:val="none" w:sz="0" w:space="0" w:color="auto"/>
            <w:bottom w:val="none" w:sz="0" w:space="0" w:color="auto"/>
            <w:right w:val="none" w:sz="0" w:space="0" w:color="auto"/>
          </w:divBdr>
        </w:div>
      </w:divsChild>
    </w:div>
    <w:div w:id="145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977B-E3BF-4360-B4F2-4C1CA2EF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Aimee</dc:creator>
  <cp:lastModifiedBy>Magon, Crystal</cp:lastModifiedBy>
  <cp:revision>2</cp:revision>
  <cp:lastPrinted>2016-09-26T14:02:00Z</cp:lastPrinted>
  <dcterms:created xsi:type="dcterms:W3CDTF">2019-02-14T18:20:00Z</dcterms:created>
  <dcterms:modified xsi:type="dcterms:W3CDTF">2019-02-14T18:20:00Z</dcterms:modified>
</cp:coreProperties>
</file>