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2A385" w14:textId="28B360F7" w:rsidR="007776C4" w:rsidRPr="007776C4" w:rsidRDefault="007776C4" w:rsidP="007776C4">
      <w:pPr>
        <w:spacing w:after="0"/>
        <w:rPr>
          <w:rFonts w:ascii="Times New Roman" w:hAnsi="Times New Roman" w:cs="Times New Roman"/>
          <w:b/>
          <w:bCs/>
          <w:sz w:val="24"/>
          <w:szCs w:val="24"/>
        </w:rPr>
      </w:pPr>
      <w:r w:rsidRPr="007776C4">
        <w:rPr>
          <w:rFonts w:ascii="Times New Roman" w:hAnsi="Times New Roman" w:cs="Times New Roman"/>
          <w:b/>
          <w:bCs/>
          <w:sz w:val="24"/>
          <w:szCs w:val="24"/>
        </w:rPr>
        <w:t>COMMONWEALTH OF PENNSYLVANIA</w:t>
      </w:r>
    </w:p>
    <w:p w14:paraId="049B99AF" w14:textId="34EB5639" w:rsidR="007776C4" w:rsidRPr="007776C4" w:rsidRDefault="007776C4" w:rsidP="007776C4">
      <w:pPr>
        <w:spacing w:after="0"/>
        <w:rPr>
          <w:rFonts w:ascii="Times New Roman" w:hAnsi="Times New Roman" w:cs="Times New Roman"/>
          <w:b/>
          <w:bCs/>
          <w:sz w:val="24"/>
          <w:szCs w:val="24"/>
        </w:rPr>
      </w:pPr>
      <w:r w:rsidRPr="007776C4">
        <w:rPr>
          <w:rFonts w:ascii="Times New Roman" w:hAnsi="Times New Roman" w:cs="Times New Roman"/>
          <w:b/>
          <w:bCs/>
          <w:sz w:val="24"/>
          <w:szCs w:val="24"/>
        </w:rPr>
        <w:t>Department of Environmental Protection</w:t>
      </w:r>
    </w:p>
    <w:p w14:paraId="43579176" w14:textId="2AB18F59" w:rsidR="007776C4" w:rsidRPr="007776C4" w:rsidRDefault="007776C4" w:rsidP="007776C4">
      <w:pPr>
        <w:spacing w:after="0"/>
        <w:rPr>
          <w:rFonts w:ascii="Times New Roman" w:hAnsi="Times New Roman" w:cs="Times New Roman"/>
          <w:b/>
          <w:bCs/>
          <w:sz w:val="24"/>
          <w:szCs w:val="24"/>
        </w:rPr>
      </w:pPr>
      <w:r w:rsidRPr="007776C4">
        <w:rPr>
          <w:rFonts w:ascii="Times New Roman" w:hAnsi="Times New Roman" w:cs="Times New Roman"/>
          <w:b/>
          <w:bCs/>
          <w:sz w:val="24"/>
          <w:szCs w:val="24"/>
        </w:rPr>
        <w:t xml:space="preserve">March </w:t>
      </w:r>
      <w:r w:rsidR="00A60351">
        <w:rPr>
          <w:rFonts w:ascii="Times New Roman" w:hAnsi="Times New Roman" w:cs="Times New Roman"/>
          <w:b/>
          <w:bCs/>
          <w:sz w:val="24"/>
          <w:szCs w:val="24"/>
        </w:rPr>
        <w:t>1</w:t>
      </w:r>
      <w:r w:rsidR="002F5440">
        <w:rPr>
          <w:rFonts w:ascii="Times New Roman" w:hAnsi="Times New Roman" w:cs="Times New Roman"/>
          <w:b/>
          <w:bCs/>
          <w:sz w:val="24"/>
          <w:szCs w:val="24"/>
        </w:rPr>
        <w:t>8</w:t>
      </w:r>
      <w:r w:rsidRPr="007776C4">
        <w:rPr>
          <w:rFonts w:ascii="Times New Roman" w:hAnsi="Times New Roman" w:cs="Times New Roman"/>
          <w:b/>
          <w:bCs/>
          <w:sz w:val="24"/>
          <w:szCs w:val="24"/>
        </w:rPr>
        <w:t>, 2020</w:t>
      </w:r>
    </w:p>
    <w:p w14:paraId="6F8ABFCF" w14:textId="38ED51C6" w:rsidR="007776C4" w:rsidRDefault="007776C4" w:rsidP="007776C4">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7776C4" w14:paraId="32B40AC5" w14:textId="77777777" w:rsidTr="000035DA">
        <w:tc>
          <w:tcPr>
            <w:tcW w:w="1795" w:type="dxa"/>
          </w:tcPr>
          <w:p w14:paraId="2F2BF973" w14:textId="7F0507AB" w:rsidR="007776C4" w:rsidRDefault="007776C4" w:rsidP="007776C4">
            <w:pPr>
              <w:rPr>
                <w:rFonts w:ascii="Times New Roman" w:hAnsi="Times New Roman" w:cs="Times New Roman"/>
                <w:sz w:val="24"/>
                <w:szCs w:val="24"/>
              </w:rPr>
            </w:pPr>
            <w:r w:rsidRPr="007776C4">
              <w:rPr>
                <w:rFonts w:ascii="Times New Roman" w:hAnsi="Times New Roman" w:cs="Times New Roman"/>
                <w:b/>
                <w:bCs/>
                <w:sz w:val="24"/>
                <w:szCs w:val="24"/>
              </w:rPr>
              <w:t>Subject</w:t>
            </w:r>
            <w:r>
              <w:rPr>
                <w:rFonts w:ascii="Times New Roman" w:hAnsi="Times New Roman" w:cs="Times New Roman"/>
                <w:sz w:val="24"/>
                <w:szCs w:val="24"/>
              </w:rPr>
              <w:t>:</w:t>
            </w:r>
          </w:p>
        </w:tc>
        <w:tc>
          <w:tcPr>
            <w:tcW w:w="7555" w:type="dxa"/>
          </w:tcPr>
          <w:p w14:paraId="6F76AA72" w14:textId="77777777" w:rsidR="007776C4" w:rsidRDefault="007776C4" w:rsidP="007776C4">
            <w:pPr>
              <w:rPr>
                <w:rFonts w:ascii="Times New Roman" w:hAnsi="Times New Roman" w:cs="Times New Roman"/>
                <w:sz w:val="24"/>
                <w:szCs w:val="24"/>
              </w:rPr>
            </w:pPr>
            <w:r>
              <w:rPr>
                <w:rFonts w:ascii="Times New Roman" w:hAnsi="Times New Roman" w:cs="Times New Roman"/>
                <w:sz w:val="24"/>
                <w:szCs w:val="24"/>
              </w:rPr>
              <w:t>Addendum to the Technical Review Memo for the Renewal of a Title V Operating Permit</w:t>
            </w:r>
          </w:p>
          <w:p w14:paraId="5922CCE8" w14:textId="77777777" w:rsidR="007776C4" w:rsidRDefault="007776C4" w:rsidP="007776C4">
            <w:pPr>
              <w:rPr>
                <w:rFonts w:ascii="Times New Roman" w:hAnsi="Times New Roman" w:cs="Times New Roman"/>
                <w:sz w:val="24"/>
                <w:szCs w:val="24"/>
              </w:rPr>
            </w:pPr>
            <w:r>
              <w:rPr>
                <w:rFonts w:ascii="Times New Roman" w:hAnsi="Times New Roman" w:cs="Times New Roman"/>
                <w:sz w:val="24"/>
                <w:szCs w:val="24"/>
              </w:rPr>
              <w:t>ArcelorMittal Plate, LLC</w:t>
            </w:r>
          </w:p>
          <w:p w14:paraId="789B4324" w14:textId="77777777" w:rsidR="007776C4" w:rsidRDefault="007776C4" w:rsidP="007776C4">
            <w:pPr>
              <w:rPr>
                <w:rFonts w:ascii="Times New Roman" w:hAnsi="Times New Roman" w:cs="Times New Roman"/>
                <w:sz w:val="24"/>
                <w:szCs w:val="24"/>
              </w:rPr>
            </w:pPr>
            <w:r>
              <w:rPr>
                <w:rFonts w:ascii="Times New Roman" w:hAnsi="Times New Roman" w:cs="Times New Roman"/>
                <w:sz w:val="24"/>
                <w:szCs w:val="24"/>
              </w:rPr>
              <w:t>File No. 15-00010</w:t>
            </w:r>
          </w:p>
          <w:p w14:paraId="74960304" w14:textId="1D3EE885" w:rsidR="007776C4" w:rsidRDefault="007776C4" w:rsidP="007776C4">
            <w:pPr>
              <w:rPr>
                <w:rFonts w:ascii="Times New Roman" w:hAnsi="Times New Roman" w:cs="Times New Roman"/>
                <w:sz w:val="24"/>
                <w:szCs w:val="24"/>
              </w:rPr>
            </w:pPr>
            <w:r>
              <w:rPr>
                <w:rFonts w:ascii="Times New Roman" w:hAnsi="Times New Roman" w:cs="Times New Roman"/>
                <w:sz w:val="24"/>
                <w:szCs w:val="24"/>
              </w:rPr>
              <w:t xml:space="preserve">APS No. 560025; </w:t>
            </w:r>
            <w:r w:rsidRPr="00BD39CA">
              <w:rPr>
                <w:rFonts w:ascii="Times New Roman" w:hAnsi="Times New Roman" w:cs="Times New Roman"/>
                <w:sz w:val="24"/>
                <w:szCs w:val="24"/>
              </w:rPr>
              <w:t>Authorization No.</w:t>
            </w:r>
            <w:r>
              <w:rPr>
                <w:rFonts w:ascii="Times New Roman" w:hAnsi="Times New Roman" w:cs="Times New Roman"/>
                <w:sz w:val="24"/>
                <w:szCs w:val="24"/>
              </w:rPr>
              <w:t xml:space="preserve"> </w:t>
            </w:r>
            <w:r w:rsidR="00BD39CA" w:rsidRPr="00BD39CA">
              <w:rPr>
                <w:rFonts w:ascii="Times New Roman" w:hAnsi="Times New Roman" w:cs="Times New Roman"/>
                <w:sz w:val="24"/>
                <w:szCs w:val="24"/>
              </w:rPr>
              <w:t>1307496</w:t>
            </w:r>
          </w:p>
          <w:p w14:paraId="34A4F6A5" w14:textId="77777777" w:rsidR="007776C4" w:rsidRDefault="007776C4" w:rsidP="007776C4">
            <w:pPr>
              <w:rPr>
                <w:rFonts w:ascii="Times New Roman" w:hAnsi="Times New Roman" w:cs="Times New Roman"/>
                <w:sz w:val="24"/>
                <w:szCs w:val="24"/>
              </w:rPr>
            </w:pPr>
            <w:r>
              <w:rPr>
                <w:rFonts w:ascii="Times New Roman" w:hAnsi="Times New Roman" w:cs="Times New Roman"/>
                <w:sz w:val="24"/>
                <w:szCs w:val="24"/>
              </w:rPr>
              <w:t>139 Modena Road</w:t>
            </w:r>
          </w:p>
          <w:p w14:paraId="2814105D" w14:textId="77777777" w:rsidR="007776C4" w:rsidRDefault="007776C4" w:rsidP="007776C4">
            <w:pPr>
              <w:rPr>
                <w:rFonts w:ascii="Times New Roman" w:hAnsi="Times New Roman" w:cs="Times New Roman"/>
                <w:sz w:val="24"/>
                <w:szCs w:val="24"/>
              </w:rPr>
            </w:pPr>
            <w:r>
              <w:rPr>
                <w:rFonts w:ascii="Times New Roman" w:hAnsi="Times New Roman" w:cs="Times New Roman"/>
                <w:sz w:val="24"/>
                <w:szCs w:val="24"/>
              </w:rPr>
              <w:t>Coatesville, PA  19320</w:t>
            </w:r>
          </w:p>
          <w:p w14:paraId="07E938A2" w14:textId="77777777" w:rsidR="007776C4" w:rsidRDefault="007776C4" w:rsidP="007776C4">
            <w:pPr>
              <w:rPr>
                <w:rFonts w:ascii="Times New Roman" w:hAnsi="Times New Roman" w:cs="Times New Roman"/>
                <w:sz w:val="24"/>
                <w:szCs w:val="24"/>
              </w:rPr>
            </w:pPr>
            <w:r>
              <w:rPr>
                <w:rFonts w:ascii="Times New Roman" w:hAnsi="Times New Roman" w:cs="Times New Roman"/>
                <w:sz w:val="24"/>
                <w:szCs w:val="24"/>
              </w:rPr>
              <w:t>City of Coatesville</w:t>
            </w:r>
          </w:p>
          <w:p w14:paraId="50E3A4CF" w14:textId="77777777" w:rsidR="007776C4" w:rsidRDefault="007776C4" w:rsidP="007776C4">
            <w:pPr>
              <w:rPr>
                <w:rFonts w:ascii="Times New Roman" w:hAnsi="Times New Roman" w:cs="Times New Roman"/>
                <w:sz w:val="24"/>
                <w:szCs w:val="24"/>
              </w:rPr>
            </w:pPr>
            <w:r>
              <w:rPr>
                <w:rFonts w:ascii="Times New Roman" w:hAnsi="Times New Roman" w:cs="Times New Roman"/>
                <w:sz w:val="24"/>
                <w:szCs w:val="24"/>
              </w:rPr>
              <w:t>Chester County</w:t>
            </w:r>
          </w:p>
          <w:p w14:paraId="450D84FF" w14:textId="4C2209ED" w:rsidR="007776C4" w:rsidRDefault="007776C4" w:rsidP="007776C4">
            <w:pPr>
              <w:rPr>
                <w:rFonts w:ascii="Times New Roman" w:hAnsi="Times New Roman" w:cs="Times New Roman"/>
                <w:sz w:val="24"/>
                <w:szCs w:val="24"/>
              </w:rPr>
            </w:pPr>
          </w:p>
        </w:tc>
      </w:tr>
      <w:tr w:rsidR="007776C4" w14:paraId="11142026" w14:textId="77777777" w:rsidTr="000035DA">
        <w:tc>
          <w:tcPr>
            <w:tcW w:w="1795" w:type="dxa"/>
          </w:tcPr>
          <w:p w14:paraId="613520D6" w14:textId="2CE175BA" w:rsidR="007776C4" w:rsidRPr="007776C4" w:rsidRDefault="007776C4" w:rsidP="007776C4">
            <w:pPr>
              <w:rPr>
                <w:rFonts w:ascii="Times New Roman" w:hAnsi="Times New Roman" w:cs="Times New Roman"/>
                <w:b/>
                <w:bCs/>
                <w:sz w:val="24"/>
                <w:szCs w:val="24"/>
              </w:rPr>
            </w:pPr>
            <w:r>
              <w:rPr>
                <w:rFonts w:ascii="Times New Roman" w:hAnsi="Times New Roman" w:cs="Times New Roman"/>
                <w:b/>
                <w:bCs/>
                <w:sz w:val="24"/>
                <w:szCs w:val="24"/>
              </w:rPr>
              <w:t>To:</w:t>
            </w:r>
          </w:p>
        </w:tc>
        <w:tc>
          <w:tcPr>
            <w:tcW w:w="7555" w:type="dxa"/>
          </w:tcPr>
          <w:p w14:paraId="027E34BA" w14:textId="77777777" w:rsidR="007776C4" w:rsidRDefault="007776C4" w:rsidP="007776C4">
            <w:pPr>
              <w:rPr>
                <w:rFonts w:ascii="Times New Roman" w:hAnsi="Times New Roman" w:cs="Times New Roman"/>
                <w:sz w:val="24"/>
                <w:szCs w:val="24"/>
              </w:rPr>
            </w:pPr>
            <w:r>
              <w:rPr>
                <w:rFonts w:ascii="Times New Roman" w:hAnsi="Times New Roman" w:cs="Times New Roman"/>
                <w:sz w:val="24"/>
                <w:szCs w:val="24"/>
              </w:rPr>
              <w:t>James D. Rebarchak</w:t>
            </w:r>
          </w:p>
          <w:p w14:paraId="15E3CA35" w14:textId="77777777" w:rsidR="007776C4" w:rsidRDefault="007776C4" w:rsidP="007776C4">
            <w:pPr>
              <w:rPr>
                <w:rFonts w:ascii="Times New Roman" w:hAnsi="Times New Roman" w:cs="Times New Roman"/>
                <w:sz w:val="24"/>
                <w:szCs w:val="24"/>
              </w:rPr>
            </w:pPr>
            <w:r>
              <w:rPr>
                <w:rFonts w:ascii="Times New Roman" w:hAnsi="Times New Roman" w:cs="Times New Roman"/>
                <w:sz w:val="24"/>
                <w:szCs w:val="24"/>
              </w:rPr>
              <w:t>Program Manager</w:t>
            </w:r>
          </w:p>
          <w:p w14:paraId="6F567321" w14:textId="77777777" w:rsidR="007776C4" w:rsidRDefault="007776C4" w:rsidP="007776C4">
            <w:pPr>
              <w:rPr>
                <w:rFonts w:ascii="Times New Roman" w:hAnsi="Times New Roman" w:cs="Times New Roman"/>
                <w:sz w:val="24"/>
                <w:szCs w:val="24"/>
              </w:rPr>
            </w:pPr>
            <w:r>
              <w:rPr>
                <w:rFonts w:ascii="Times New Roman" w:hAnsi="Times New Roman" w:cs="Times New Roman"/>
                <w:sz w:val="24"/>
                <w:szCs w:val="24"/>
              </w:rPr>
              <w:t>Air Quality Bureau</w:t>
            </w:r>
          </w:p>
          <w:p w14:paraId="4E398E47" w14:textId="4B1492F4" w:rsidR="007776C4" w:rsidRDefault="007776C4" w:rsidP="007776C4">
            <w:pPr>
              <w:rPr>
                <w:rFonts w:ascii="Times New Roman" w:hAnsi="Times New Roman" w:cs="Times New Roman"/>
                <w:sz w:val="24"/>
                <w:szCs w:val="24"/>
              </w:rPr>
            </w:pPr>
          </w:p>
        </w:tc>
      </w:tr>
      <w:tr w:rsidR="007776C4" w14:paraId="3D596A8F" w14:textId="77777777" w:rsidTr="000035DA">
        <w:tc>
          <w:tcPr>
            <w:tcW w:w="1795" w:type="dxa"/>
          </w:tcPr>
          <w:p w14:paraId="17E0F65B" w14:textId="1122F538" w:rsidR="007776C4" w:rsidRDefault="007776C4" w:rsidP="007776C4">
            <w:pPr>
              <w:rPr>
                <w:rFonts w:ascii="Times New Roman" w:hAnsi="Times New Roman" w:cs="Times New Roman"/>
                <w:b/>
                <w:bCs/>
                <w:sz w:val="24"/>
                <w:szCs w:val="24"/>
              </w:rPr>
            </w:pPr>
            <w:r>
              <w:rPr>
                <w:rFonts w:ascii="Times New Roman" w:hAnsi="Times New Roman" w:cs="Times New Roman"/>
                <w:b/>
                <w:bCs/>
                <w:sz w:val="24"/>
                <w:szCs w:val="24"/>
              </w:rPr>
              <w:t>From:</w:t>
            </w:r>
          </w:p>
        </w:tc>
        <w:tc>
          <w:tcPr>
            <w:tcW w:w="7555" w:type="dxa"/>
          </w:tcPr>
          <w:p w14:paraId="5CD0FC4E" w14:textId="77777777" w:rsidR="007776C4" w:rsidRDefault="007776C4" w:rsidP="007776C4">
            <w:pPr>
              <w:rPr>
                <w:rFonts w:ascii="Times New Roman" w:hAnsi="Times New Roman" w:cs="Times New Roman"/>
                <w:sz w:val="24"/>
                <w:szCs w:val="24"/>
              </w:rPr>
            </w:pPr>
            <w:r>
              <w:rPr>
                <w:rFonts w:ascii="Times New Roman" w:hAnsi="Times New Roman" w:cs="Times New Roman"/>
                <w:sz w:val="24"/>
                <w:szCs w:val="24"/>
              </w:rPr>
              <w:t>James A. Beach, P.E.</w:t>
            </w:r>
          </w:p>
          <w:p w14:paraId="59D225A9" w14:textId="77777777" w:rsidR="007776C4" w:rsidRDefault="007776C4" w:rsidP="007776C4">
            <w:pPr>
              <w:rPr>
                <w:rFonts w:ascii="Times New Roman" w:hAnsi="Times New Roman" w:cs="Times New Roman"/>
                <w:sz w:val="24"/>
                <w:szCs w:val="24"/>
              </w:rPr>
            </w:pPr>
            <w:r>
              <w:rPr>
                <w:rFonts w:ascii="Times New Roman" w:hAnsi="Times New Roman" w:cs="Times New Roman"/>
                <w:sz w:val="24"/>
                <w:szCs w:val="24"/>
              </w:rPr>
              <w:t>Environmental Engineer Manager</w:t>
            </w:r>
          </w:p>
          <w:p w14:paraId="61C07B1C" w14:textId="77777777" w:rsidR="007776C4" w:rsidRDefault="007776C4" w:rsidP="007776C4">
            <w:pPr>
              <w:rPr>
                <w:rFonts w:ascii="Times New Roman" w:hAnsi="Times New Roman" w:cs="Times New Roman"/>
                <w:sz w:val="24"/>
                <w:szCs w:val="24"/>
              </w:rPr>
            </w:pPr>
            <w:r>
              <w:rPr>
                <w:rFonts w:ascii="Times New Roman" w:hAnsi="Times New Roman" w:cs="Times New Roman"/>
                <w:sz w:val="24"/>
                <w:szCs w:val="24"/>
              </w:rPr>
              <w:t>Air Quality Bureau</w:t>
            </w:r>
          </w:p>
          <w:p w14:paraId="2C57BF7A" w14:textId="270E1175" w:rsidR="007776C4" w:rsidRDefault="007776C4" w:rsidP="007776C4">
            <w:pPr>
              <w:rPr>
                <w:rFonts w:ascii="Times New Roman" w:hAnsi="Times New Roman" w:cs="Times New Roman"/>
                <w:sz w:val="24"/>
                <w:szCs w:val="24"/>
              </w:rPr>
            </w:pPr>
          </w:p>
        </w:tc>
      </w:tr>
    </w:tbl>
    <w:p w14:paraId="0366F03A" w14:textId="1F736B12" w:rsidR="007776C4" w:rsidRDefault="007776C4" w:rsidP="007776C4">
      <w:pPr>
        <w:spacing w:after="0"/>
        <w:rPr>
          <w:rFonts w:ascii="Times New Roman" w:hAnsi="Times New Roman" w:cs="Times New Roman"/>
          <w:sz w:val="24"/>
          <w:szCs w:val="24"/>
        </w:rPr>
      </w:pPr>
    </w:p>
    <w:p w14:paraId="29DF5FC4" w14:textId="348B62A1" w:rsidR="000035DA" w:rsidRPr="00792044" w:rsidRDefault="000035DA" w:rsidP="00792044">
      <w:pPr>
        <w:pStyle w:val="ListParagraph"/>
        <w:numPr>
          <w:ilvl w:val="0"/>
          <w:numId w:val="1"/>
        </w:numPr>
        <w:spacing w:after="0"/>
        <w:rPr>
          <w:rFonts w:ascii="Times New Roman" w:hAnsi="Times New Roman" w:cs="Times New Roman"/>
          <w:b/>
          <w:bCs/>
          <w:sz w:val="24"/>
          <w:szCs w:val="24"/>
        </w:rPr>
      </w:pPr>
      <w:r w:rsidRPr="00792044">
        <w:rPr>
          <w:rFonts w:ascii="Times New Roman" w:hAnsi="Times New Roman" w:cs="Times New Roman"/>
          <w:b/>
          <w:bCs/>
          <w:sz w:val="24"/>
          <w:szCs w:val="24"/>
        </w:rPr>
        <w:t>Background</w:t>
      </w:r>
    </w:p>
    <w:p w14:paraId="27C6685E" w14:textId="373E8F05" w:rsidR="000035DA" w:rsidRDefault="000035DA" w:rsidP="007776C4">
      <w:pPr>
        <w:spacing w:after="0"/>
        <w:rPr>
          <w:rFonts w:ascii="Times New Roman" w:hAnsi="Times New Roman" w:cs="Times New Roman"/>
          <w:sz w:val="24"/>
          <w:szCs w:val="24"/>
        </w:rPr>
      </w:pPr>
    </w:p>
    <w:p w14:paraId="76018084" w14:textId="5A6B27D4" w:rsidR="000035DA" w:rsidRDefault="2316C18D" w:rsidP="000035DA">
      <w:pPr>
        <w:spacing w:after="0"/>
        <w:ind w:firstLine="720"/>
        <w:rPr>
          <w:rFonts w:ascii="Times New Roman" w:hAnsi="Times New Roman" w:cs="Times New Roman"/>
          <w:sz w:val="24"/>
          <w:szCs w:val="24"/>
        </w:rPr>
      </w:pPr>
      <w:r w:rsidRPr="2316C18D">
        <w:rPr>
          <w:rFonts w:ascii="Times New Roman" w:hAnsi="Times New Roman" w:cs="Times New Roman"/>
          <w:sz w:val="24"/>
          <w:szCs w:val="24"/>
        </w:rPr>
        <w:t>The Department of Environmental Protection (DEP) issued a Title V Operating Permit renewal on October 3, 2019 to ArcelorMittal Plate, LLC (ArcelorMittal).  The final permit included conditions for the case-by-case compliance with the requirements of 25 Pa. Code §§ 129.96 – 129.100 for Reasonably Available Control Technology (RACT II).  On November 4, 2019, ArcelorMittal filed an appeal of the renewal of their Title V Operating Permit.</w:t>
      </w:r>
    </w:p>
    <w:p w14:paraId="217B7C8D" w14:textId="1965E7D2" w:rsidR="00482873" w:rsidRDefault="00482873" w:rsidP="000035DA">
      <w:pPr>
        <w:spacing w:after="0"/>
        <w:ind w:firstLine="720"/>
        <w:rPr>
          <w:rFonts w:ascii="Times New Roman" w:hAnsi="Times New Roman" w:cs="Times New Roman"/>
          <w:sz w:val="24"/>
          <w:szCs w:val="24"/>
        </w:rPr>
      </w:pPr>
    </w:p>
    <w:p w14:paraId="2F5857C0" w14:textId="5BE3D0F9" w:rsidR="00901318" w:rsidRDefault="2316C18D" w:rsidP="009B6762">
      <w:pPr>
        <w:spacing w:after="0"/>
        <w:ind w:firstLine="720"/>
        <w:rPr>
          <w:rFonts w:ascii="Times New Roman" w:hAnsi="Times New Roman" w:cs="Times New Roman"/>
          <w:sz w:val="24"/>
          <w:szCs w:val="24"/>
        </w:rPr>
      </w:pPr>
      <w:r w:rsidRPr="2316C18D">
        <w:rPr>
          <w:rFonts w:ascii="Times New Roman" w:hAnsi="Times New Roman" w:cs="Times New Roman"/>
          <w:sz w:val="24"/>
          <w:szCs w:val="24"/>
        </w:rPr>
        <w:t>DEP met with ArcelorMittal on November 21, 2019 to learn more about their processes and why they had issues with certain terms and conditions that were added to the renewal permit issued on October 3, 2019.  After careful consideration of all facts concerning the sources operating at the facility and the regulations and policies that apply to a case-by-case RACT II determination, DEP has revised the Title V Operating Permit for ArcelorMittal.  The revisions made in the Title V Operating Permit are described in the next section.</w:t>
      </w:r>
    </w:p>
    <w:p w14:paraId="0CEA3E80" w14:textId="599A037F" w:rsidR="00CC6166" w:rsidRDefault="00CC6166" w:rsidP="00CC6166">
      <w:pPr>
        <w:spacing w:after="0"/>
        <w:rPr>
          <w:rFonts w:ascii="Times New Roman" w:hAnsi="Times New Roman" w:cs="Times New Roman"/>
          <w:sz w:val="24"/>
          <w:szCs w:val="24"/>
        </w:rPr>
      </w:pPr>
    </w:p>
    <w:p w14:paraId="0485063E" w14:textId="7E4D2999" w:rsidR="00C61791" w:rsidRDefault="00C61791" w:rsidP="00CC6166">
      <w:pPr>
        <w:spacing w:after="0"/>
        <w:rPr>
          <w:rFonts w:ascii="Times New Roman" w:hAnsi="Times New Roman" w:cs="Times New Roman"/>
          <w:sz w:val="24"/>
          <w:szCs w:val="24"/>
        </w:rPr>
      </w:pPr>
    </w:p>
    <w:p w14:paraId="7141D1CF" w14:textId="051ADC87" w:rsidR="00C61791" w:rsidRDefault="00C61791" w:rsidP="00CC6166">
      <w:pPr>
        <w:spacing w:after="0"/>
        <w:rPr>
          <w:rFonts w:ascii="Times New Roman" w:hAnsi="Times New Roman" w:cs="Times New Roman"/>
          <w:sz w:val="24"/>
          <w:szCs w:val="24"/>
        </w:rPr>
      </w:pPr>
    </w:p>
    <w:p w14:paraId="728AD0ED" w14:textId="3B2FB110" w:rsidR="00C61791" w:rsidRDefault="00C61791" w:rsidP="00CC6166">
      <w:pPr>
        <w:spacing w:after="0"/>
        <w:rPr>
          <w:rFonts w:ascii="Times New Roman" w:hAnsi="Times New Roman" w:cs="Times New Roman"/>
          <w:sz w:val="24"/>
          <w:szCs w:val="24"/>
        </w:rPr>
      </w:pPr>
    </w:p>
    <w:p w14:paraId="2FA88349" w14:textId="77777777" w:rsidR="00764CAE" w:rsidRDefault="00764CAE" w:rsidP="00CC6166">
      <w:pPr>
        <w:spacing w:after="0"/>
        <w:rPr>
          <w:rFonts w:ascii="Times New Roman" w:hAnsi="Times New Roman" w:cs="Times New Roman"/>
          <w:sz w:val="24"/>
          <w:szCs w:val="24"/>
        </w:rPr>
      </w:pPr>
    </w:p>
    <w:p w14:paraId="47345E72" w14:textId="3F180DFC" w:rsidR="00C61791" w:rsidRDefault="00C61791" w:rsidP="00CC6166">
      <w:pPr>
        <w:spacing w:after="0"/>
        <w:rPr>
          <w:rFonts w:ascii="Times New Roman" w:hAnsi="Times New Roman" w:cs="Times New Roman"/>
          <w:sz w:val="24"/>
          <w:szCs w:val="24"/>
        </w:rPr>
      </w:pPr>
    </w:p>
    <w:p w14:paraId="18DD5CD5" w14:textId="77777777" w:rsidR="00C61791" w:rsidRDefault="00C61791" w:rsidP="00CC6166">
      <w:pPr>
        <w:spacing w:after="0"/>
        <w:rPr>
          <w:rFonts w:ascii="Times New Roman" w:hAnsi="Times New Roman" w:cs="Times New Roman"/>
          <w:sz w:val="24"/>
          <w:szCs w:val="24"/>
        </w:rPr>
      </w:pPr>
    </w:p>
    <w:p w14:paraId="44A2D488" w14:textId="756905AA" w:rsidR="00792044" w:rsidRPr="00792044" w:rsidRDefault="00DC2070" w:rsidP="00792044">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lastRenderedPageBreak/>
        <w:t>Revisions</w:t>
      </w:r>
    </w:p>
    <w:p w14:paraId="60A3D875" w14:textId="720DBE42" w:rsidR="00792044" w:rsidRDefault="00792044" w:rsidP="00792044">
      <w:pPr>
        <w:spacing w:after="0"/>
        <w:rPr>
          <w:rFonts w:ascii="Times New Roman" w:hAnsi="Times New Roman" w:cs="Times New Roman"/>
          <w:sz w:val="24"/>
          <w:szCs w:val="24"/>
        </w:rPr>
      </w:pPr>
    </w:p>
    <w:p w14:paraId="3B3D096A" w14:textId="28790D7D" w:rsidR="00792044" w:rsidRPr="00DF54C6" w:rsidRDefault="00792044" w:rsidP="00DF54C6">
      <w:pPr>
        <w:pStyle w:val="ListParagraph"/>
        <w:numPr>
          <w:ilvl w:val="0"/>
          <w:numId w:val="9"/>
        </w:numPr>
        <w:rPr>
          <w:rFonts w:ascii="Times New Roman" w:hAnsi="Times New Roman" w:cs="Times New Roman"/>
          <w:sz w:val="24"/>
          <w:szCs w:val="24"/>
          <w:u w:val="single"/>
        </w:rPr>
      </w:pPr>
      <w:r w:rsidRPr="00DF54C6">
        <w:rPr>
          <w:rFonts w:ascii="Times New Roman" w:hAnsi="Times New Roman" w:cs="Times New Roman"/>
          <w:sz w:val="24"/>
          <w:szCs w:val="24"/>
          <w:u w:val="single"/>
        </w:rPr>
        <w:t>Electric Melt Shop Boiler (Source ID No. 055)</w:t>
      </w:r>
    </w:p>
    <w:p w14:paraId="580786BA" w14:textId="7BD11707" w:rsidR="0029758D" w:rsidRDefault="2316C18D" w:rsidP="0029758D">
      <w:pPr>
        <w:ind w:firstLine="720"/>
        <w:rPr>
          <w:rFonts w:ascii="Times New Roman" w:hAnsi="Times New Roman" w:cs="Times New Roman"/>
          <w:sz w:val="24"/>
          <w:szCs w:val="24"/>
        </w:rPr>
      </w:pPr>
      <w:r w:rsidRPr="2316C18D">
        <w:rPr>
          <w:rFonts w:ascii="Times New Roman" w:hAnsi="Times New Roman" w:cs="Times New Roman"/>
          <w:sz w:val="24"/>
          <w:szCs w:val="24"/>
        </w:rPr>
        <w:t>In this TVOP amendment, DEP removed the instantaneous limit of 0.147 lb NOx/Mcf for this source, which was originally added  in the Title V Operating Permit renewal that was issued on October 3, 2019.  DEP determined the instantaneous limit of 0.147 lb NOx/Mcf is inappropriate for this source because of the following reasons:</w:t>
      </w:r>
    </w:p>
    <w:p w14:paraId="31A3419E" w14:textId="00BB0121" w:rsidR="0042269D" w:rsidRDefault="00601F43" w:rsidP="00117E5E">
      <w:pPr>
        <w:pStyle w:val="ListParagraph"/>
        <w:numPr>
          <w:ilvl w:val="0"/>
          <w:numId w:val="8"/>
        </w:numPr>
        <w:rPr>
          <w:rFonts w:ascii="Times New Roman" w:hAnsi="Times New Roman" w:cs="Times New Roman"/>
          <w:sz w:val="24"/>
          <w:szCs w:val="24"/>
        </w:rPr>
      </w:pPr>
      <w:r w:rsidRPr="00117E5E">
        <w:rPr>
          <w:rFonts w:ascii="Times New Roman" w:hAnsi="Times New Roman" w:cs="Times New Roman"/>
          <w:sz w:val="24"/>
          <w:szCs w:val="24"/>
        </w:rPr>
        <w:t xml:space="preserve">This boiler operates between a standby mode and production mode.  The steam generated by the boiler during the production mode is used to de-gas molten steel in ladles and other vessels by forming a vacuum on the vessel.  This practice keeps the steel from having bubbles that may affect the integrity and strength of the steel.  ArcelorMittal keeps the boiler running on standby </w:t>
      </w:r>
      <w:r w:rsidR="00D17E57" w:rsidRPr="00117E5E">
        <w:rPr>
          <w:rFonts w:ascii="Times New Roman" w:hAnsi="Times New Roman" w:cs="Times New Roman"/>
          <w:sz w:val="24"/>
          <w:szCs w:val="24"/>
        </w:rPr>
        <w:t xml:space="preserve">to have it ready to run </w:t>
      </w:r>
      <w:r w:rsidR="000208DF" w:rsidRPr="00117E5E">
        <w:rPr>
          <w:rFonts w:ascii="Times New Roman" w:hAnsi="Times New Roman" w:cs="Times New Roman"/>
          <w:sz w:val="24"/>
          <w:szCs w:val="24"/>
        </w:rPr>
        <w:t>on</w:t>
      </w:r>
      <w:r w:rsidR="00D17E57" w:rsidRPr="00117E5E">
        <w:rPr>
          <w:rFonts w:ascii="Times New Roman" w:hAnsi="Times New Roman" w:cs="Times New Roman"/>
          <w:sz w:val="24"/>
          <w:szCs w:val="24"/>
        </w:rPr>
        <w:t xml:space="preserve"> production </w:t>
      </w:r>
      <w:r w:rsidR="000208DF" w:rsidRPr="00117E5E">
        <w:rPr>
          <w:rFonts w:ascii="Times New Roman" w:hAnsi="Times New Roman" w:cs="Times New Roman"/>
          <w:sz w:val="24"/>
          <w:szCs w:val="24"/>
        </w:rPr>
        <w:t xml:space="preserve">mode </w:t>
      </w:r>
      <w:r w:rsidR="00D17E57" w:rsidRPr="00117E5E">
        <w:rPr>
          <w:rFonts w:ascii="Times New Roman" w:hAnsi="Times New Roman" w:cs="Times New Roman"/>
          <w:sz w:val="24"/>
          <w:szCs w:val="24"/>
        </w:rPr>
        <w:t xml:space="preserve">when the need arises for the de-gassing process.  This boiler </w:t>
      </w:r>
      <w:r w:rsidR="00FE227E" w:rsidRPr="00117E5E">
        <w:rPr>
          <w:rFonts w:ascii="Times New Roman" w:hAnsi="Times New Roman" w:cs="Times New Roman"/>
          <w:sz w:val="24"/>
          <w:szCs w:val="24"/>
        </w:rPr>
        <w:t>does not operate</w:t>
      </w:r>
      <w:r w:rsidR="00D17E57" w:rsidRPr="00117E5E">
        <w:rPr>
          <w:rFonts w:ascii="Times New Roman" w:hAnsi="Times New Roman" w:cs="Times New Roman"/>
          <w:sz w:val="24"/>
          <w:szCs w:val="24"/>
        </w:rPr>
        <w:t xml:space="preserve"> at steady-state, and it may be difficult to tune to both standby and production modes in a manner that establishes appropriate </w:t>
      </w:r>
      <w:r w:rsidR="008A5810">
        <w:rPr>
          <w:rFonts w:ascii="Times New Roman" w:hAnsi="Times New Roman" w:cs="Times New Roman"/>
          <w:sz w:val="24"/>
          <w:szCs w:val="24"/>
        </w:rPr>
        <w:t>instantaneous</w:t>
      </w:r>
      <w:r w:rsidR="00D17E57" w:rsidRPr="00117E5E">
        <w:rPr>
          <w:rFonts w:ascii="Times New Roman" w:hAnsi="Times New Roman" w:cs="Times New Roman"/>
          <w:sz w:val="24"/>
          <w:szCs w:val="24"/>
        </w:rPr>
        <w:t xml:space="preserve"> limits for NOx.</w:t>
      </w:r>
    </w:p>
    <w:p w14:paraId="3363924E" w14:textId="77777777" w:rsidR="00117E5E" w:rsidRPr="00117E5E" w:rsidRDefault="00117E5E" w:rsidP="00117E5E">
      <w:pPr>
        <w:pStyle w:val="ListParagraph"/>
        <w:ind w:left="1440"/>
        <w:rPr>
          <w:rFonts w:ascii="Times New Roman" w:hAnsi="Times New Roman" w:cs="Times New Roman"/>
          <w:sz w:val="24"/>
          <w:szCs w:val="24"/>
        </w:rPr>
      </w:pPr>
    </w:p>
    <w:p w14:paraId="18175961" w14:textId="2D5F5387" w:rsidR="00C56EB2" w:rsidRDefault="00D17E57" w:rsidP="0013033A">
      <w:pPr>
        <w:pStyle w:val="ListParagraph"/>
        <w:numPr>
          <w:ilvl w:val="0"/>
          <w:numId w:val="8"/>
        </w:numPr>
        <w:rPr>
          <w:rFonts w:ascii="Times New Roman" w:hAnsi="Times New Roman" w:cs="Times New Roman"/>
          <w:sz w:val="24"/>
          <w:szCs w:val="24"/>
        </w:rPr>
      </w:pPr>
      <w:r w:rsidRPr="00C56EB2">
        <w:rPr>
          <w:rFonts w:ascii="Times New Roman" w:hAnsi="Times New Roman" w:cs="Times New Roman"/>
          <w:sz w:val="24"/>
          <w:szCs w:val="24"/>
        </w:rPr>
        <w:t>The</w:t>
      </w:r>
      <w:r w:rsidR="00C56EB2">
        <w:rPr>
          <w:rFonts w:ascii="Times New Roman" w:hAnsi="Times New Roman" w:cs="Times New Roman"/>
          <w:sz w:val="24"/>
          <w:szCs w:val="24"/>
        </w:rPr>
        <w:t>re is an</w:t>
      </w:r>
      <w:r w:rsidRPr="00C56EB2">
        <w:rPr>
          <w:rFonts w:ascii="Times New Roman" w:hAnsi="Times New Roman" w:cs="Times New Roman"/>
          <w:sz w:val="24"/>
          <w:szCs w:val="24"/>
        </w:rPr>
        <w:t xml:space="preserve"> existing limit of 267 million cubic feet of natural gas per 12-month rolling period </w:t>
      </w:r>
      <w:r w:rsidR="00F41B3A">
        <w:rPr>
          <w:rFonts w:ascii="Times New Roman" w:hAnsi="Times New Roman" w:cs="Times New Roman"/>
          <w:sz w:val="24"/>
          <w:szCs w:val="24"/>
        </w:rPr>
        <w:t xml:space="preserve">that </w:t>
      </w:r>
      <w:r w:rsidRPr="00C56EB2">
        <w:rPr>
          <w:rFonts w:ascii="Times New Roman" w:hAnsi="Times New Roman" w:cs="Times New Roman"/>
          <w:sz w:val="24"/>
          <w:szCs w:val="24"/>
        </w:rPr>
        <w:t>is approximately 49.9% of the maximum capacity for this boiler (See Attach</w:t>
      </w:r>
      <w:r w:rsidR="000E0A8A" w:rsidRPr="00C56EB2">
        <w:rPr>
          <w:rFonts w:ascii="Times New Roman" w:hAnsi="Times New Roman" w:cs="Times New Roman"/>
          <w:sz w:val="24"/>
          <w:szCs w:val="24"/>
        </w:rPr>
        <w:t>ment 1 for Calculations</w:t>
      </w:r>
      <w:r w:rsidRPr="00C56EB2">
        <w:rPr>
          <w:rFonts w:ascii="Times New Roman" w:hAnsi="Times New Roman" w:cs="Times New Roman"/>
          <w:sz w:val="24"/>
          <w:szCs w:val="24"/>
        </w:rPr>
        <w:t>).  This combined with stack testing once every five years to determine the emission factor that will be used for this boiler until the next stack test and the annual limit on NOx that was applied to this source should be sufficient to limit the NOx produced on a monthly basis</w:t>
      </w:r>
      <w:r w:rsidR="00B07C80">
        <w:rPr>
          <w:rFonts w:ascii="Times New Roman" w:hAnsi="Times New Roman" w:cs="Times New Roman"/>
          <w:sz w:val="24"/>
          <w:szCs w:val="24"/>
        </w:rPr>
        <w:t xml:space="preserve"> and demonstrate compliance with RACT II Case-by-case requirements</w:t>
      </w:r>
      <w:r w:rsidRPr="00C56EB2">
        <w:rPr>
          <w:rFonts w:ascii="Times New Roman" w:hAnsi="Times New Roman" w:cs="Times New Roman"/>
          <w:sz w:val="24"/>
          <w:szCs w:val="24"/>
        </w:rPr>
        <w:t>.</w:t>
      </w:r>
      <w:r w:rsidR="00250FEB" w:rsidRPr="00C56EB2">
        <w:rPr>
          <w:rFonts w:ascii="Times New Roman" w:hAnsi="Times New Roman" w:cs="Times New Roman"/>
          <w:sz w:val="24"/>
          <w:szCs w:val="24"/>
        </w:rPr>
        <w:t xml:space="preserve">  </w:t>
      </w:r>
    </w:p>
    <w:p w14:paraId="3D3EF1CA" w14:textId="088F4A17" w:rsidR="00BA11CD" w:rsidRPr="000A505E" w:rsidRDefault="2316C18D" w:rsidP="007B77CE">
      <w:pPr>
        <w:ind w:firstLine="720"/>
        <w:rPr>
          <w:rFonts w:ascii="Times New Roman" w:hAnsi="Times New Roman" w:cs="Times New Roman"/>
          <w:sz w:val="24"/>
          <w:szCs w:val="24"/>
        </w:rPr>
      </w:pPr>
      <w:r w:rsidRPr="2316C18D">
        <w:rPr>
          <w:rFonts w:ascii="Times New Roman" w:hAnsi="Times New Roman" w:cs="Times New Roman"/>
          <w:sz w:val="24"/>
          <w:szCs w:val="24"/>
        </w:rPr>
        <w:t xml:space="preserve">DEP has determined that the annual NOx emission limit of 19.92 tons per 12-month rolling period, combined with an annual throughput limit for fuel usage, and a stack testing requirement is sufficient to comply with RACT II Case-by-case. </w:t>
      </w:r>
    </w:p>
    <w:p w14:paraId="50C1EFC1" w14:textId="64524DC4" w:rsidR="00792044" w:rsidRPr="00DF54C6" w:rsidRDefault="00792044" w:rsidP="00DF54C6">
      <w:pPr>
        <w:pStyle w:val="ListParagraph"/>
        <w:numPr>
          <w:ilvl w:val="0"/>
          <w:numId w:val="9"/>
        </w:numPr>
        <w:rPr>
          <w:rFonts w:ascii="Times New Roman" w:hAnsi="Times New Roman" w:cs="Times New Roman"/>
          <w:sz w:val="24"/>
          <w:szCs w:val="24"/>
          <w:u w:val="single"/>
        </w:rPr>
      </w:pPr>
      <w:r w:rsidRPr="00DF54C6">
        <w:rPr>
          <w:rFonts w:ascii="Times New Roman" w:hAnsi="Times New Roman" w:cs="Times New Roman"/>
          <w:sz w:val="24"/>
          <w:szCs w:val="24"/>
          <w:u w:val="single"/>
        </w:rPr>
        <w:t>Electric Arc Furnace (Source ID No. 104)</w:t>
      </w:r>
    </w:p>
    <w:p w14:paraId="3C6E7701" w14:textId="30333998" w:rsidR="005125FB" w:rsidRDefault="2316C18D" w:rsidP="2316C18D">
      <w:pPr>
        <w:ind w:firstLine="720"/>
        <w:rPr>
          <w:rFonts w:ascii="Times New Roman" w:hAnsi="Times New Roman" w:cs="Times New Roman"/>
          <w:sz w:val="24"/>
          <w:szCs w:val="24"/>
        </w:rPr>
      </w:pPr>
      <w:r w:rsidRPr="2316C18D">
        <w:rPr>
          <w:rFonts w:ascii="Times New Roman" w:hAnsi="Times New Roman" w:cs="Times New Roman"/>
          <w:sz w:val="24"/>
          <w:szCs w:val="24"/>
        </w:rPr>
        <w:t xml:space="preserve">As part of this amendment to ArcelorMittal’s TVOP, DEP removed the 0.440 lbs NOx/ton steel produced and 0.636 lbs VOC/ton steel produced emission limits that were originally offered as part of ArcelorMittal’s compliance with RACT II case-by-case.  DEP determined that monthly limits for NOx and VOC emissions are more appropriate for this source for the following reasons: </w:t>
      </w:r>
    </w:p>
    <w:p w14:paraId="538DDE25" w14:textId="488BF623" w:rsidR="0074354E" w:rsidRDefault="00D214BA" w:rsidP="00967592">
      <w:pPr>
        <w:ind w:firstLine="720"/>
        <w:rPr>
          <w:rFonts w:ascii="Times New Roman" w:hAnsi="Times New Roman" w:cs="Times New Roman"/>
          <w:sz w:val="24"/>
          <w:szCs w:val="24"/>
        </w:rPr>
      </w:pPr>
      <w:r w:rsidRPr="004D7E1A">
        <w:rPr>
          <w:rFonts w:ascii="Times New Roman" w:hAnsi="Times New Roman" w:cs="Times New Roman"/>
          <w:sz w:val="24"/>
          <w:szCs w:val="24"/>
        </w:rPr>
        <w:t xml:space="preserve">A diagram representing Source ID No. 104 (taken from the source test report submitted to DEP on </w:t>
      </w:r>
      <w:r w:rsidR="001E409A">
        <w:rPr>
          <w:rFonts w:ascii="Times New Roman" w:hAnsi="Times New Roman" w:cs="Times New Roman"/>
          <w:sz w:val="24"/>
          <w:szCs w:val="24"/>
        </w:rPr>
        <w:t>August 22, 2017 by LCH Consulting Associat</w:t>
      </w:r>
      <w:r w:rsidR="007317BF">
        <w:rPr>
          <w:rFonts w:ascii="Times New Roman" w:hAnsi="Times New Roman" w:cs="Times New Roman"/>
          <w:sz w:val="24"/>
          <w:szCs w:val="24"/>
        </w:rPr>
        <w:t>es</w:t>
      </w:r>
      <w:r w:rsidRPr="004D7E1A">
        <w:rPr>
          <w:rFonts w:ascii="Times New Roman" w:hAnsi="Times New Roman" w:cs="Times New Roman"/>
          <w:sz w:val="24"/>
          <w:szCs w:val="24"/>
        </w:rPr>
        <w:t>) is presented in Attachment 2.  Source ID No. 104 contains two individual sources, the Electric Arc Furnace and the Ladle</w:t>
      </w:r>
      <w:r w:rsidR="00CB4476">
        <w:rPr>
          <w:rFonts w:ascii="Times New Roman" w:hAnsi="Times New Roman" w:cs="Times New Roman"/>
          <w:sz w:val="24"/>
          <w:szCs w:val="24"/>
        </w:rPr>
        <w:t xml:space="preserve"> Refining Furnace</w:t>
      </w:r>
      <w:r w:rsidRPr="004D7E1A">
        <w:rPr>
          <w:rFonts w:ascii="Times New Roman" w:hAnsi="Times New Roman" w:cs="Times New Roman"/>
          <w:sz w:val="24"/>
          <w:szCs w:val="24"/>
        </w:rPr>
        <w:t xml:space="preserve">.  The Electric Arc Furnace emits fugitive emissions and vents to </w:t>
      </w:r>
      <w:r w:rsidR="007317BF">
        <w:rPr>
          <w:rFonts w:ascii="Times New Roman" w:hAnsi="Times New Roman" w:cs="Times New Roman"/>
          <w:sz w:val="24"/>
          <w:szCs w:val="24"/>
        </w:rPr>
        <w:t>the DEC System Hood with three</w:t>
      </w:r>
      <w:r w:rsidRPr="004D7E1A">
        <w:rPr>
          <w:rFonts w:ascii="Times New Roman" w:hAnsi="Times New Roman" w:cs="Times New Roman"/>
          <w:sz w:val="24"/>
          <w:szCs w:val="24"/>
        </w:rPr>
        <w:t xml:space="preserve"> baghouses.  The ladle has fugitive emissions and vents to</w:t>
      </w:r>
      <w:r w:rsidR="004B733C">
        <w:rPr>
          <w:rFonts w:ascii="Times New Roman" w:hAnsi="Times New Roman" w:cs="Times New Roman"/>
          <w:sz w:val="24"/>
          <w:szCs w:val="24"/>
        </w:rPr>
        <w:t xml:space="preserve"> a</w:t>
      </w:r>
      <w:r w:rsidRPr="004D7E1A">
        <w:rPr>
          <w:rFonts w:ascii="Times New Roman" w:hAnsi="Times New Roman" w:cs="Times New Roman"/>
          <w:sz w:val="24"/>
          <w:szCs w:val="24"/>
        </w:rPr>
        <w:t xml:space="preserve"> baghouse.  </w:t>
      </w:r>
      <w:r w:rsidR="00266610">
        <w:rPr>
          <w:rFonts w:ascii="Times New Roman" w:hAnsi="Times New Roman" w:cs="Times New Roman"/>
          <w:sz w:val="24"/>
          <w:szCs w:val="24"/>
        </w:rPr>
        <w:t xml:space="preserve">There is also a Building Evacuation Canopy that </w:t>
      </w:r>
      <w:r w:rsidR="000A24A2">
        <w:rPr>
          <w:rFonts w:ascii="Times New Roman" w:hAnsi="Times New Roman" w:cs="Times New Roman"/>
          <w:sz w:val="24"/>
          <w:szCs w:val="24"/>
        </w:rPr>
        <w:t xml:space="preserve">collects emissions from the Electric Arc Furnace and Ladle Refining Furnace that </w:t>
      </w:r>
      <w:r w:rsidR="00CB4476">
        <w:rPr>
          <w:rFonts w:ascii="Times New Roman" w:hAnsi="Times New Roman" w:cs="Times New Roman"/>
          <w:sz w:val="24"/>
          <w:szCs w:val="24"/>
        </w:rPr>
        <w:t xml:space="preserve">vents to a baghouse.  </w:t>
      </w:r>
      <w:r w:rsidR="00FF4BB5">
        <w:rPr>
          <w:rFonts w:ascii="Times New Roman" w:hAnsi="Times New Roman" w:cs="Times New Roman"/>
          <w:sz w:val="24"/>
          <w:szCs w:val="24"/>
        </w:rPr>
        <w:t xml:space="preserve">The scrap steel is molten in </w:t>
      </w:r>
      <w:r w:rsidR="00FF4BB5">
        <w:rPr>
          <w:rFonts w:ascii="Times New Roman" w:hAnsi="Times New Roman" w:cs="Times New Roman"/>
          <w:sz w:val="24"/>
          <w:szCs w:val="24"/>
        </w:rPr>
        <w:lastRenderedPageBreak/>
        <w:t xml:space="preserve">batches called heats.  </w:t>
      </w:r>
      <w:r w:rsidR="00315DB1">
        <w:rPr>
          <w:rFonts w:ascii="Times New Roman" w:hAnsi="Times New Roman" w:cs="Times New Roman"/>
          <w:sz w:val="24"/>
          <w:szCs w:val="24"/>
        </w:rPr>
        <w:t>This is a semi</w:t>
      </w:r>
      <w:r w:rsidR="00076302">
        <w:rPr>
          <w:rFonts w:ascii="Times New Roman" w:hAnsi="Times New Roman" w:cs="Times New Roman"/>
          <w:sz w:val="24"/>
          <w:szCs w:val="24"/>
        </w:rPr>
        <w:t xml:space="preserve">-batch process </w:t>
      </w:r>
      <w:r w:rsidR="00D315C5">
        <w:rPr>
          <w:rFonts w:ascii="Times New Roman" w:hAnsi="Times New Roman" w:cs="Times New Roman"/>
          <w:sz w:val="24"/>
          <w:szCs w:val="24"/>
        </w:rPr>
        <w:t xml:space="preserve">in which the scrap steel is added to </w:t>
      </w:r>
      <w:r w:rsidR="003D1C37">
        <w:rPr>
          <w:rFonts w:ascii="Times New Roman" w:hAnsi="Times New Roman" w:cs="Times New Roman"/>
          <w:sz w:val="24"/>
          <w:szCs w:val="24"/>
        </w:rPr>
        <w:t xml:space="preserve">the </w:t>
      </w:r>
      <w:r w:rsidRPr="004D7E1A">
        <w:rPr>
          <w:rFonts w:ascii="Times New Roman" w:hAnsi="Times New Roman" w:cs="Times New Roman"/>
          <w:sz w:val="24"/>
          <w:szCs w:val="24"/>
        </w:rPr>
        <w:t xml:space="preserve">Electric Arc Furnace and the cover with the electrodes </w:t>
      </w:r>
      <w:r w:rsidR="00C5447C" w:rsidRPr="004D7E1A">
        <w:rPr>
          <w:rFonts w:ascii="Times New Roman" w:hAnsi="Times New Roman" w:cs="Times New Roman"/>
          <w:sz w:val="24"/>
          <w:szCs w:val="24"/>
        </w:rPr>
        <w:t>is applied to the steel.  The steel is melted as the cover slowly clamps down on the furnace.  The cover is removed, and more scrap steel is added.  The process repeats until the furnace is full enough to tap off the slag and the molten steel from the Electric Arc Furnace.  The tapped molten steel goes to the ladle for further refining.</w:t>
      </w:r>
    </w:p>
    <w:p w14:paraId="2604576A" w14:textId="38354593" w:rsidR="00D214BA" w:rsidRPr="004D7E1A" w:rsidRDefault="2316C18D" w:rsidP="00967592">
      <w:pPr>
        <w:ind w:firstLine="720"/>
        <w:rPr>
          <w:rFonts w:ascii="Times New Roman" w:hAnsi="Times New Roman" w:cs="Times New Roman"/>
          <w:sz w:val="24"/>
          <w:szCs w:val="24"/>
        </w:rPr>
      </w:pPr>
      <w:r w:rsidRPr="2316C18D">
        <w:rPr>
          <w:rFonts w:ascii="Times New Roman" w:hAnsi="Times New Roman" w:cs="Times New Roman"/>
          <w:sz w:val="24"/>
          <w:szCs w:val="24"/>
        </w:rPr>
        <w:t>VOCs are generated by the paints and other coatings that were applied to the scrap steel.  NOx is generated thermally from the contact of air with the heat from the molten steel.  The emissions of NOx and VOC are variable because they are dependent on the amount of coatings on the scrap steel or how much contact the heated steel has with air.  AP-42, Volume 1, 5</w:t>
      </w:r>
      <w:r w:rsidRPr="2316C18D">
        <w:rPr>
          <w:rFonts w:ascii="Times New Roman" w:hAnsi="Times New Roman" w:cs="Times New Roman"/>
          <w:sz w:val="24"/>
          <w:szCs w:val="24"/>
          <w:vertAlign w:val="superscript"/>
        </w:rPr>
        <w:t>th</w:t>
      </w:r>
      <w:r w:rsidRPr="2316C18D">
        <w:rPr>
          <w:rFonts w:ascii="Times New Roman" w:hAnsi="Times New Roman" w:cs="Times New Roman"/>
          <w:sz w:val="24"/>
          <w:szCs w:val="24"/>
        </w:rPr>
        <w:t xml:space="preserve"> Edition, Chapter 12.10 (1995) for Iron Foundries has ranges of emission factors for NOx and VOC (0.04 to 0.6 lbs NOx/ton steel produced; and 0.06 to 0.3 lbs VOC/ton steel produced).  The rating for the emission factors is E, which means that not much data was collected for this type of source to create the emission factor.  Not much stack testing has been done with Source ID No. 104 at ArcelorMittal either, so the application of an instantaneous emission limit to the Electric Arc Furnace is difficult to establish.    </w:t>
      </w:r>
    </w:p>
    <w:p w14:paraId="77D86C8E" w14:textId="0C9FF415" w:rsidR="00792044" w:rsidRPr="004D7E1A" w:rsidRDefault="2316C18D" w:rsidP="006B1653">
      <w:pPr>
        <w:ind w:firstLine="720"/>
        <w:rPr>
          <w:rFonts w:ascii="Times New Roman" w:hAnsi="Times New Roman" w:cs="Times New Roman"/>
          <w:sz w:val="24"/>
          <w:szCs w:val="24"/>
        </w:rPr>
      </w:pPr>
      <w:r w:rsidRPr="2316C18D">
        <w:rPr>
          <w:rFonts w:ascii="Times New Roman" w:hAnsi="Times New Roman" w:cs="Times New Roman"/>
          <w:sz w:val="24"/>
          <w:szCs w:val="24"/>
        </w:rPr>
        <w:t xml:space="preserve">Because of the variability of the emissions for this semi-batch process, DEP determined </w:t>
      </w:r>
      <w:bookmarkStart w:id="0" w:name="_GoBack"/>
      <w:bookmarkEnd w:id="0"/>
      <w:r w:rsidRPr="2316C18D">
        <w:rPr>
          <w:rFonts w:ascii="Times New Roman" w:hAnsi="Times New Roman" w:cs="Times New Roman"/>
          <w:sz w:val="24"/>
          <w:szCs w:val="24"/>
        </w:rPr>
        <w:t>monthly limits on NOx and VOC (34.1 tons/month NOx; 49.3 tons/month VOC) are appropriate.   These proposed limits will be considered the maximum allowable monthly emissions for NOx and VOC.  DEP will retain the annual limits of 340.6 tons NOx/12-month rolling period and 492.29 tons VOC/12-month rolling period that cannot be exceeded at any time.  DEP will also continue to limit the amount of steel processed through Source ID No. 104 to less than 1.55 million tons per 12-month rolling period.  Testing will only be performed to determine the effective emission factor that will be used to determine monthly and annual emissions of NOx and VOC.</w:t>
      </w:r>
    </w:p>
    <w:p w14:paraId="7E95D35F" w14:textId="5BFCE2B8" w:rsidR="00792044" w:rsidRPr="00DF54C6" w:rsidRDefault="00792044" w:rsidP="00DF54C6">
      <w:pPr>
        <w:pStyle w:val="ListParagraph"/>
        <w:numPr>
          <w:ilvl w:val="0"/>
          <w:numId w:val="9"/>
        </w:numPr>
        <w:rPr>
          <w:rFonts w:ascii="Times New Roman" w:hAnsi="Times New Roman" w:cs="Times New Roman"/>
          <w:sz w:val="24"/>
          <w:szCs w:val="24"/>
          <w:u w:val="single"/>
        </w:rPr>
      </w:pPr>
      <w:r w:rsidRPr="00DF54C6">
        <w:rPr>
          <w:rFonts w:ascii="Times New Roman" w:hAnsi="Times New Roman" w:cs="Times New Roman"/>
          <w:sz w:val="24"/>
          <w:szCs w:val="24"/>
          <w:u w:val="single"/>
        </w:rPr>
        <w:t xml:space="preserve">Source ID Nos. 055, 104, 136, 146A, 146B, 151, 250, and 270 </w:t>
      </w:r>
    </w:p>
    <w:p w14:paraId="700F41DC" w14:textId="17A2A7B4" w:rsidR="005E0724" w:rsidRDefault="00323333" w:rsidP="00323333">
      <w:pPr>
        <w:ind w:firstLine="720"/>
        <w:rPr>
          <w:rFonts w:ascii="Times New Roman" w:hAnsi="Times New Roman" w:cs="Times New Roman"/>
          <w:sz w:val="24"/>
          <w:szCs w:val="24"/>
        </w:rPr>
      </w:pPr>
      <w:r w:rsidRPr="00323333">
        <w:rPr>
          <w:rFonts w:ascii="Times New Roman" w:hAnsi="Times New Roman" w:cs="Times New Roman"/>
          <w:sz w:val="24"/>
          <w:szCs w:val="24"/>
        </w:rPr>
        <w:t xml:space="preserve">A condition </w:t>
      </w:r>
      <w:r w:rsidR="00792044" w:rsidRPr="00323333">
        <w:rPr>
          <w:rFonts w:ascii="Times New Roman" w:hAnsi="Times New Roman" w:cs="Times New Roman"/>
          <w:sz w:val="24"/>
          <w:szCs w:val="24"/>
        </w:rPr>
        <w:t>to maintain and operate these sources in accordance with manufacture’s specifications and with good operating practices or in a manner consistent with safety and good air pollution control practices</w:t>
      </w:r>
      <w:r w:rsidRPr="00323333">
        <w:rPr>
          <w:rFonts w:ascii="Times New Roman" w:hAnsi="Times New Roman" w:cs="Times New Roman"/>
          <w:sz w:val="24"/>
          <w:szCs w:val="24"/>
        </w:rPr>
        <w:t xml:space="preserve"> was added to each of the listed sources in the renewal permit issued on October 3, 2019. </w:t>
      </w:r>
      <w:r>
        <w:rPr>
          <w:rFonts w:ascii="Times New Roman" w:hAnsi="Times New Roman" w:cs="Times New Roman"/>
          <w:sz w:val="24"/>
          <w:szCs w:val="24"/>
        </w:rPr>
        <w:t xml:space="preserve"> This condition was in </w:t>
      </w:r>
      <w:r w:rsidR="00FB7008">
        <w:rPr>
          <w:rFonts w:ascii="Times New Roman" w:hAnsi="Times New Roman" w:cs="Times New Roman"/>
          <w:sz w:val="24"/>
          <w:szCs w:val="24"/>
        </w:rPr>
        <w:t xml:space="preserve">Section C of </w:t>
      </w:r>
      <w:r>
        <w:rPr>
          <w:rFonts w:ascii="Times New Roman" w:hAnsi="Times New Roman" w:cs="Times New Roman"/>
          <w:sz w:val="24"/>
          <w:szCs w:val="24"/>
        </w:rPr>
        <w:t xml:space="preserve">the </w:t>
      </w:r>
      <w:r w:rsidR="005712F1">
        <w:rPr>
          <w:rFonts w:ascii="Times New Roman" w:hAnsi="Times New Roman" w:cs="Times New Roman"/>
          <w:sz w:val="24"/>
          <w:szCs w:val="24"/>
        </w:rPr>
        <w:t>Title V Operating Permit</w:t>
      </w:r>
      <w:r>
        <w:rPr>
          <w:rFonts w:ascii="Times New Roman" w:hAnsi="Times New Roman" w:cs="Times New Roman"/>
          <w:sz w:val="24"/>
          <w:szCs w:val="24"/>
        </w:rPr>
        <w:t xml:space="preserve"> </w:t>
      </w:r>
      <w:r w:rsidR="005712F1">
        <w:rPr>
          <w:rFonts w:ascii="Times New Roman" w:hAnsi="Times New Roman" w:cs="Times New Roman"/>
          <w:sz w:val="24"/>
          <w:szCs w:val="24"/>
        </w:rPr>
        <w:t>and applied to all the sources listed in the permit.</w:t>
      </w:r>
    </w:p>
    <w:p w14:paraId="46079273" w14:textId="77777777" w:rsidR="004107A1" w:rsidRDefault="004107A1" w:rsidP="004107A1">
      <w:pPr>
        <w:rPr>
          <w:rFonts w:ascii="Times New Roman" w:hAnsi="Times New Roman" w:cs="Times New Roman"/>
          <w:sz w:val="24"/>
          <w:szCs w:val="24"/>
        </w:rPr>
      </w:pPr>
      <w:r>
        <w:rPr>
          <w:rFonts w:ascii="Times New Roman" w:hAnsi="Times New Roman" w:cs="Times New Roman"/>
          <w:sz w:val="24"/>
          <w:szCs w:val="24"/>
        </w:rPr>
        <w:tab/>
        <w:t xml:space="preserve">Source ID Nos. </w:t>
      </w:r>
      <w:r w:rsidRPr="004D7E1A">
        <w:rPr>
          <w:rFonts w:ascii="Times New Roman" w:hAnsi="Times New Roman" w:cs="Times New Roman"/>
          <w:sz w:val="24"/>
          <w:szCs w:val="24"/>
        </w:rPr>
        <w:t xml:space="preserve">055, 104, </w:t>
      </w:r>
      <w:r>
        <w:rPr>
          <w:rFonts w:ascii="Times New Roman" w:hAnsi="Times New Roman" w:cs="Times New Roman"/>
          <w:sz w:val="24"/>
          <w:szCs w:val="24"/>
        </w:rPr>
        <w:t>136, 146A, 146B, and 151 were not subject to Presumptive RACT I or RACT II requirements for NOx or VOC under 25 Pa. Code §§ 129.93 and 129.96(c) for maintenance and operation in accordance with manufacturer’s specifications and good operating practices because the heat capacities of these units are greater than 20 MMBTU/hr.  These sources also contain permitted limits and recordkeeping that are subject to RACT II for these sources that will be submitted for revision of the State Implementation Plan (SIP).</w:t>
      </w:r>
    </w:p>
    <w:p w14:paraId="2B8A0F0F" w14:textId="78A964A2" w:rsidR="004107A1" w:rsidRDefault="2316C18D" w:rsidP="004107A1">
      <w:pPr>
        <w:ind w:firstLine="720"/>
        <w:rPr>
          <w:rFonts w:ascii="Times New Roman" w:hAnsi="Times New Roman" w:cs="Times New Roman"/>
          <w:sz w:val="24"/>
          <w:szCs w:val="24"/>
        </w:rPr>
      </w:pPr>
      <w:r w:rsidRPr="2316C18D">
        <w:rPr>
          <w:rFonts w:ascii="Times New Roman" w:hAnsi="Times New Roman" w:cs="Times New Roman"/>
          <w:sz w:val="24"/>
          <w:szCs w:val="24"/>
        </w:rPr>
        <w:t>Source ID Nos. 250 and 270 have VOC emission limits and recordkeeping that constitute RACT II for these sources, as amended.</w:t>
      </w:r>
    </w:p>
    <w:p w14:paraId="6A707EA6" w14:textId="6636CE01" w:rsidR="004107A1" w:rsidRPr="004D7E1A" w:rsidRDefault="2316C18D" w:rsidP="004107A1">
      <w:pPr>
        <w:ind w:firstLine="720"/>
        <w:rPr>
          <w:rFonts w:ascii="Times New Roman" w:hAnsi="Times New Roman" w:cs="Times New Roman"/>
          <w:sz w:val="24"/>
          <w:szCs w:val="24"/>
        </w:rPr>
      </w:pPr>
      <w:r w:rsidRPr="2316C18D">
        <w:rPr>
          <w:rFonts w:ascii="Times New Roman" w:hAnsi="Times New Roman" w:cs="Times New Roman"/>
          <w:sz w:val="24"/>
          <w:szCs w:val="24"/>
        </w:rPr>
        <w:lastRenderedPageBreak/>
        <w:t xml:space="preserve">With the heat capacities of these combustion sources exceeding the applicability for 25 Pa. Code §§ 129.93 and 129.96(c) and proposed limits on the VOC sources, there are no presumptive RACT requirements that apply to the sources listed in the previous two paragraphs in this section.  The condition for presumptive RACT I was applied to all sources in the permit in Section C, regardless of RACT applicability, and will remain in Section C of the permit with this revision.  Operating Permit OP-15-0010 did contain language applying to Source ID Nos. 055, 104, 136, 146A, 146B, 151, 250, and 270, but the condition did not specify that the requirements were specifically derived from 25 Pa. Code § 129.93 (it was more generally derived from 25 Pa. Code §§ 129.91 – 129.95).  This seems to indicate that the condition was more generally applied to the sources because DEP determined that the condition would be necessary to assure proper operation of the sources in the permit (25 Pa. Code § 127.441).   </w:t>
      </w:r>
    </w:p>
    <w:p w14:paraId="66337D8A" w14:textId="134AEEEC" w:rsidR="00792044" w:rsidRPr="00DF54C6" w:rsidRDefault="00792044" w:rsidP="00DF54C6">
      <w:pPr>
        <w:pStyle w:val="ListParagraph"/>
        <w:numPr>
          <w:ilvl w:val="0"/>
          <w:numId w:val="9"/>
        </w:numPr>
        <w:rPr>
          <w:rFonts w:ascii="Times New Roman" w:hAnsi="Times New Roman" w:cs="Times New Roman"/>
          <w:sz w:val="24"/>
          <w:szCs w:val="24"/>
          <w:u w:val="single"/>
        </w:rPr>
      </w:pPr>
      <w:r w:rsidRPr="00DF54C6">
        <w:rPr>
          <w:rFonts w:ascii="Times New Roman" w:hAnsi="Times New Roman" w:cs="Times New Roman"/>
          <w:sz w:val="24"/>
          <w:szCs w:val="24"/>
          <w:u w:val="single"/>
        </w:rPr>
        <w:t>Misc. Procs &amp; Gas Usage (Source ID No. 183)</w:t>
      </w:r>
    </w:p>
    <w:p w14:paraId="25F0727C" w14:textId="6AAFB85C" w:rsidR="00EE0574" w:rsidRDefault="2316C18D" w:rsidP="00203E16">
      <w:pPr>
        <w:ind w:firstLine="720"/>
        <w:rPr>
          <w:rFonts w:ascii="Times New Roman" w:hAnsi="Times New Roman" w:cs="Times New Roman"/>
          <w:sz w:val="24"/>
          <w:szCs w:val="24"/>
        </w:rPr>
      </w:pPr>
      <w:r w:rsidRPr="2316C18D">
        <w:rPr>
          <w:rFonts w:ascii="Times New Roman" w:hAnsi="Times New Roman" w:cs="Times New Roman"/>
          <w:sz w:val="24"/>
          <w:szCs w:val="24"/>
        </w:rPr>
        <w:t>In this amendment, DEP modified language in Condition</w:t>
      </w:r>
      <w:r w:rsidR="00764CAE">
        <w:rPr>
          <w:rFonts w:ascii="Times New Roman" w:hAnsi="Times New Roman" w:cs="Times New Roman"/>
          <w:sz w:val="24"/>
          <w:szCs w:val="24"/>
        </w:rPr>
        <w:t xml:space="preserve"> #007 </w:t>
      </w:r>
      <w:r w:rsidRPr="2316C18D">
        <w:rPr>
          <w:rFonts w:ascii="Times New Roman" w:hAnsi="Times New Roman" w:cs="Times New Roman"/>
          <w:sz w:val="24"/>
          <w:szCs w:val="24"/>
        </w:rPr>
        <w:t>to state “The permittee shall provide any updates or changes to this list of sources with its renewal application.”  DEP approves of the change in permit language for the following reasons:</w:t>
      </w:r>
    </w:p>
    <w:p w14:paraId="4408B64E" w14:textId="4FBB6430" w:rsidR="00EE0574" w:rsidRDefault="006027F2" w:rsidP="00202719">
      <w:pPr>
        <w:pStyle w:val="ListParagraph"/>
        <w:numPr>
          <w:ilvl w:val="0"/>
          <w:numId w:val="12"/>
        </w:numPr>
        <w:rPr>
          <w:rFonts w:ascii="Times New Roman" w:hAnsi="Times New Roman" w:cs="Times New Roman"/>
          <w:sz w:val="24"/>
          <w:szCs w:val="24"/>
        </w:rPr>
      </w:pPr>
      <w:r w:rsidRPr="00EE0574">
        <w:rPr>
          <w:rFonts w:ascii="Times New Roman" w:hAnsi="Times New Roman" w:cs="Times New Roman"/>
          <w:sz w:val="24"/>
          <w:szCs w:val="24"/>
        </w:rPr>
        <w:t>The emissions from a 1 MMBTU/hr natural gas source do not exceed 0.43 tons NOx</w:t>
      </w:r>
      <w:r w:rsidR="00EE0574" w:rsidRPr="00EE0574">
        <w:rPr>
          <w:rFonts w:ascii="Times New Roman" w:hAnsi="Times New Roman" w:cs="Times New Roman"/>
          <w:sz w:val="24"/>
          <w:szCs w:val="24"/>
        </w:rPr>
        <w:t xml:space="preserve"> </w:t>
      </w:r>
      <w:r w:rsidRPr="00EE0574">
        <w:rPr>
          <w:rFonts w:ascii="Times New Roman" w:hAnsi="Times New Roman" w:cs="Times New Roman"/>
          <w:sz w:val="24"/>
          <w:szCs w:val="24"/>
        </w:rPr>
        <w:t>per year and 0.024 tons VOC per year (see calculations in Attachment 1).</w:t>
      </w:r>
    </w:p>
    <w:p w14:paraId="62FF5C0E" w14:textId="77777777" w:rsidR="00EE0574" w:rsidRDefault="00EE0574" w:rsidP="00EE0574">
      <w:pPr>
        <w:pStyle w:val="ListParagraph"/>
        <w:rPr>
          <w:rFonts w:ascii="Times New Roman" w:hAnsi="Times New Roman" w:cs="Times New Roman"/>
          <w:sz w:val="24"/>
          <w:szCs w:val="24"/>
        </w:rPr>
      </w:pPr>
    </w:p>
    <w:p w14:paraId="0CD2FD53" w14:textId="64969D4C" w:rsidR="00EE0574" w:rsidRDefault="00792044" w:rsidP="00202719">
      <w:pPr>
        <w:pStyle w:val="ListParagraph"/>
        <w:numPr>
          <w:ilvl w:val="0"/>
          <w:numId w:val="12"/>
        </w:numPr>
        <w:rPr>
          <w:rFonts w:ascii="Times New Roman" w:hAnsi="Times New Roman" w:cs="Times New Roman"/>
          <w:sz w:val="24"/>
          <w:szCs w:val="24"/>
        </w:rPr>
      </w:pPr>
      <w:r w:rsidRPr="00EE0574">
        <w:rPr>
          <w:rFonts w:ascii="Times New Roman" w:hAnsi="Times New Roman" w:cs="Times New Roman"/>
          <w:sz w:val="24"/>
          <w:szCs w:val="24"/>
        </w:rPr>
        <w:t>There is no condition in the permit explicitly stating that only natural gas be used in these sources, but only natural gas appears as the listed fuel for these sources in the permit.</w:t>
      </w:r>
    </w:p>
    <w:p w14:paraId="5F184DED" w14:textId="77777777" w:rsidR="00EE0574" w:rsidRPr="00EE0574" w:rsidRDefault="00EE0574" w:rsidP="00EE0574">
      <w:pPr>
        <w:pStyle w:val="ListParagraph"/>
        <w:rPr>
          <w:rFonts w:ascii="Times New Roman" w:hAnsi="Times New Roman" w:cs="Times New Roman"/>
          <w:sz w:val="24"/>
          <w:szCs w:val="24"/>
        </w:rPr>
      </w:pPr>
    </w:p>
    <w:p w14:paraId="2E5EE1EC" w14:textId="46ED05FB" w:rsidR="00792044" w:rsidRDefault="00792044" w:rsidP="00202719">
      <w:pPr>
        <w:pStyle w:val="ListParagraph"/>
        <w:numPr>
          <w:ilvl w:val="0"/>
          <w:numId w:val="12"/>
        </w:numPr>
        <w:rPr>
          <w:rFonts w:ascii="Times New Roman" w:hAnsi="Times New Roman" w:cs="Times New Roman"/>
          <w:sz w:val="24"/>
          <w:szCs w:val="24"/>
        </w:rPr>
      </w:pPr>
      <w:r w:rsidRPr="00354379">
        <w:rPr>
          <w:rFonts w:ascii="Times New Roman" w:hAnsi="Times New Roman" w:cs="Times New Roman"/>
          <w:sz w:val="24"/>
          <w:szCs w:val="24"/>
        </w:rPr>
        <w:t>There are no applicable MACT conditions that apply to any of the sources listed.</w:t>
      </w:r>
      <w:r w:rsidR="0049042F" w:rsidRPr="00354379">
        <w:rPr>
          <w:rFonts w:ascii="Times New Roman" w:hAnsi="Times New Roman" w:cs="Times New Roman"/>
          <w:sz w:val="24"/>
          <w:szCs w:val="24"/>
        </w:rPr>
        <w:t xml:space="preserve">  Section B, Condition #019 deals with authorizations for de minimis increases.</w:t>
      </w:r>
    </w:p>
    <w:p w14:paraId="74B0B9E4" w14:textId="77777777" w:rsidR="00337609" w:rsidRDefault="00337609" w:rsidP="00337609">
      <w:pPr>
        <w:pStyle w:val="ListParagraph"/>
        <w:rPr>
          <w:rFonts w:ascii="Times New Roman" w:hAnsi="Times New Roman" w:cs="Times New Roman"/>
          <w:sz w:val="24"/>
          <w:szCs w:val="24"/>
          <w:u w:val="single"/>
        </w:rPr>
      </w:pPr>
    </w:p>
    <w:p w14:paraId="758C72AB" w14:textId="1FBEC5A3" w:rsidR="00792044" w:rsidRPr="002C57A1" w:rsidRDefault="00792044" w:rsidP="002C57A1">
      <w:pPr>
        <w:pStyle w:val="ListParagraph"/>
        <w:numPr>
          <w:ilvl w:val="0"/>
          <w:numId w:val="9"/>
        </w:numPr>
        <w:rPr>
          <w:rFonts w:ascii="Times New Roman" w:hAnsi="Times New Roman" w:cs="Times New Roman"/>
          <w:sz w:val="24"/>
          <w:szCs w:val="24"/>
          <w:u w:val="single"/>
        </w:rPr>
      </w:pPr>
      <w:r w:rsidRPr="002C57A1">
        <w:rPr>
          <w:rFonts w:ascii="Times New Roman" w:hAnsi="Times New Roman" w:cs="Times New Roman"/>
          <w:sz w:val="24"/>
          <w:szCs w:val="24"/>
          <w:u w:val="single"/>
        </w:rPr>
        <w:t>Identification Marking (Source ID No. 250)</w:t>
      </w:r>
    </w:p>
    <w:p w14:paraId="2D5D2AEA" w14:textId="23F4F777" w:rsidR="00764CAE" w:rsidRDefault="2316C18D" w:rsidP="00764CAE">
      <w:pPr>
        <w:ind w:firstLine="720"/>
        <w:rPr>
          <w:rFonts w:ascii="Times New Roman" w:hAnsi="Times New Roman" w:cs="Times New Roman"/>
          <w:sz w:val="24"/>
          <w:szCs w:val="24"/>
        </w:rPr>
      </w:pPr>
      <w:r w:rsidRPr="2316C18D">
        <w:rPr>
          <w:rFonts w:ascii="Times New Roman" w:hAnsi="Times New Roman" w:cs="Times New Roman"/>
          <w:sz w:val="24"/>
          <w:szCs w:val="24"/>
        </w:rPr>
        <w:t>In this amendment, DEP changed the VOC emission limit applicable to Source ID: 250 (Identification Marking), from 5.40 tons per year VOC emission limit  to 9.40 tons/year.  DEP determined a 9.40 tons/year VOC emission limit is appropriate because it is based on the maximum emissions in conjunction with the productivity data that is available when the VOCs were emitted (see Attachment 1).</w:t>
      </w:r>
    </w:p>
    <w:p w14:paraId="1448F0A0" w14:textId="17BA3764" w:rsidR="00792044" w:rsidRPr="009F7006" w:rsidRDefault="009F7006" w:rsidP="00764CAE">
      <w:pPr>
        <w:spacing w:after="0"/>
        <w:ind w:firstLine="720"/>
        <w:rPr>
          <w:rFonts w:ascii="Times New Roman" w:hAnsi="Times New Roman" w:cs="Times New Roman"/>
          <w:b/>
          <w:bCs/>
          <w:sz w:val="24"/>
          <w:szCs w:val="24"/>
        </w:rPr>
      </w:pPr>
      <w:r w:rsidRPr="009F7006">
        <w:rPr>
          <w:rFonts w:ascii="Times New Roman" w:hAnsi="Times New Roman" w:cs="Times New Roman"/>
          <w:b/>
          <w:bCs/>
          <w:sz w:val="24"/>
          <w:szCs w:val="24"/>
        </w:rPr>
        <w:t>Recommendation</w:t>
      </w:r>
    </w:p>
    <w:p w14:paraId="5DEBB3F2" w14:textId="366322BB" w:rsidR="009F7006" w:rsidRDefault="009F7006" w:rsidP="00792044">
      <w:pPr>
        <w:spacing w:after="0"/>
        <w:rPr>
          <w:rFonts w:ascii="Times New Roman" w:hAnsi="Times New Roman" w:cs="Times New Roman"/>
          <w:sz w:val="24"/>
          <w:szCs w:val="24"/>
        </w:rPr>
      </w:pPr>
    </w:p>
    <w:p w14:paraId="14383548" w14:textId="18F3C817" w:rsidR="009F7006" w:rsidRDefault="0098487F" w:rsidP="00792044">
      <w:pPr>
        <w:spacing w:after="0"/>
        <w:rPr>
          <w:rFonts w:ascii="Times New Roman" w:hAnsi="Times New Roman" w:cs="Times New Roman"/>
          <w:sz w:val="24"/>
          <w:szCs w:val="24"/>
        </w:rPr>
      </w:pPr>
      <w:r>
        <w:rPr>
          <w:rFonts w:ascii="Times New Roman" w:hAnsi="Times New Roman" w:cs="Times New Roman"/>
          <w:sz w:val="24"/>
          <w:szCs w:val="24"/>
        </w:rPr>
        <w:tab/>
        <w:t>I recommend issuance of the revised Title V Operating Permit to ArcelorMittal Plate, LLC.</w:t>
      </w:r>
    </w:p>
    <w:p w14:paraId="489B93A8" w14:textId="137C78F6" w:rsidR="00D00C59" w:rsidRDefault="00D00C59" w:rsidP="00792044">
      <w:pPr>
        <w:spacing w:after="0"/>
        <w:rPr>
          <w:rFonts w:ascii="Times New Roman" w:hAnsi="Times New Roman" w:cs="Times New Roman"/>
          <w:sz w:val="24"/>
          <w:szCs w:val="24"/>
        </w:rPr>
      </w:pPr>
    </w:p>
    <w:p w14:paraId="2939428C" w14:textId="14BAABC9" w:rsidR="00D00C59" w:rsidRDefault="00D00C59" w:rsidP="00792044">
      <w:pPr>
        <w:spacing w:after="0"/>
        <w:rPr>
          <w:rFonts w:ascii="Times New Roman" w:hAnsi="Times New Roman" w:cs="Times New Roman"/>
          <w:sz w:val="24"/>
          <w:szCs w:val="24"/>
        </w:rPr>
      </w:pPr>
    </w:p>
    <w:p w14:paraId="585CF6F7" w14:textId="017B3D5F" w:rsidR="00D00C59" w:rsidRDefault="00D00C59" w:rsidP="00792044">
      <w:pPr>
        <w:spacing w:after="0"/>
        <w:rPr>
          <w:rFonts w:ascii="Times New Roman" w:hAnsi="Times New Roman" w:cs="Times New Roman"/>
          <w:sz w:val="24"/>
          <w:szCs w:val="24"/>
        </w:rPr>
      </w:pPr>
    </w:p>
    <w:p w14:paraId="6FEE1E9B" w14:textId="1D1909E3" w:rsidR="00D00C59" w:rsidRDefault="00D00C59" w:rsidP="00792044">
      <w:pPr>
        <w:spacing w:after="0"/>
        <w:rPr>
          <w:rFonts w:ascii="Times New Roman" w:hAnsi="Times New Roman" w:cs="Times New Roman"/>
          <w:sz w:val="24"/>
          <w:szCs w:val="24"/>
        </w:rPr>
      </w:pPr>
    </w:p>
    <w:p w14:paraId="649D05EE" w14:textId="76F96BB3" w:rsidR="00D00C59" w:rsidRDefault="00D00C59" w:rsidP="00792044">
      <w:pPr>
        <w:spacing w:after="0"/>
        <w:rPr>
          <w:rFonts w:ascii="Times New Roman" w:hAnsi="Times New Roman" w:cs="Times New Roman"/>
          <w:sz w:val="24"/>
          <w:szCs w:val="24"/>
        </w:rPr>
      </w:pPr>
    </w:p>
    <w:p w14:paraId="59A5B5FA" w14:textId="45FCC90B" w:rsidR="004325F9" w:rsidRDefault="004325F9">
      <w:pPr>
        <w:rPr>
          <w:rFonts w:ascii="Times New Roman" w:hAnsi="Times New Roman" w:cs="Times New Roman"/>
          <w:sz w:val="24"/>
          <w:szCs w:val="24"/>
        </w:rPr>
      </w:pPr>
      <w:r>
        <w:rPr>
          <w:rFonts w:ascii="Times New Roman" w:hAnsi="Times New Roman" w:cs="Times New Roman"/>
          <w:sz w:val="24"/>
          <w:szCs w:val="24"/>
        </w:rPr>
        <w:br w:type="page"/>
      </w:r>
    </w:p>
    <w:p w14:paraId="40A93AB9" w14:textId="67812752" w:rsidR="000035DA" w:rsidRPr="00250FEB" w:rsidRDefault="00250FEB" w:rsidP="007776C4">
      <w:pPr>
        <w:spacing w:after="0"/>
        <w:rPr>
          <w:rFonts w:ascii="Times New Roman" w:hAnsi="Times New Roman" w:cs="Times New Roman"/>
          <w:b/>
          <w:bCs/>
          <w:sz w:val="28"/>
          <w:szCs w:val="28"/>
        </w:rPr>
      </w:pPr>
      <w:r w:rsidRPr="00250FEB">
        <w:rPr>
          <w:rFonts w:ascii="Times New Roman" w:hAnsi="Times New Roman" w:cs="Times New Roman"/>
          <w:b/>
          <w:bCs/>
          <w:sz w:val="28"/>
          <w:szCs w:val="28"/>
        </w:rPr>
        <w:lastRenderedPageBreak/>
        <w:t>Attachment</w:t>
      </w:r>
      <w:r w:rsidR="000E0A8A">
        <w:rPr>
          <w:rFonts w:ascii="Times New Roman" w:hAnsi="Times New Roman" w:cs="Times New Roman"/>
          <w:b/>
          <w:bCs/>
          <w:sz w:val="28"/>
          <w:szCs w:val="28"/>
        </w:rPr>
        <w:t xml:space="preserve"> 1:  Calculations</w:t>
      </w:r>
    </w:p>
    <w:p w14:paraId="694D87D9" w14:textId="5E616EEA" w:rsidR="00250FEB" w:rsidRDefault="00250FEB" w:rsidP="007776C4">
      <w:pPr>
        <w:spacing w:after="0"/>
        <w:rPr>
          <w:rFonts w:ascii="Times New Roman" w:hAnsi="Times New Roman" w:cs="Times New Roman"/>
          <w:sz w:val="24"/>
          <w:szCs w:val="24"/>
        </w:rPr>
      </w:pPr>
    </w:p>
    <w:p w14:paraId="5AE8F41A" w14:textId="7B141855" w:rsidR="00250FEB" w:rsidRPr="00250FEB" w:rsidRDefault="00250FEB" w:rsidP="007776C4">
      <w:pPr>
        <w:spacing w:after="0"/>
        <w:rPr>
          <w:rFonts w:ascii="Times New Roman" w:hAnsi="Times New Roman" w:cs="Times New Roman"/>
          <w:sz w:val="24"/>
          <w:szCs w:val="24"/>
          <w:u w:val="single"/>
        </w:rPr>
      </w:pPr>
      <w:r w:rsidRPr="00250FEB">
        <w:rPr>
          <w:rFonts w:ascii="Times New Roman" w:hAnsi="Times New Roman" w:cs="Times New Roman"/>
          <w:sz w:val="24"/>
          <w:szCs w:val="24"/>
          <w:u w:val="single"/>
        </w:rPr>
        <w:t>Source ID No. 055:  Calculation of Maximum Capacity for Fuel Usage and Percentage of Maximum Capacity Allowed</w:t>
      </w:r>
    </w:p>
    <w:p w14:paraId="4CF67FF2" w14:textId="2797458D" w:rsidR="00250FEB" w:rsidRDefault="00250FEB" w:rsidP="007776C4">
      <w:pPr>
        <w:spacing w:after="0"/>
        <w:rPr>
          <w:rFonts w:ascii="Times New Roman" w:hAnsi="Times New Roman" w:cs="Times New Roman"/>
          <w:sz w:val="24"/>
          <w:szCs w:val="24"/>
        </w:rPr>
      </w:pPr>
    </w:p>
    <w:p w14:paraId="7153F581" w14:textId="3ED17121" w:rsidR="00250FEB" w:rsidRDefault="00250FEB" w:rsidP="00D018FE">
      <w:pPr>
        <w:spacing w:after="0"/>
        <w:ind w:left="720"/>
        <w:rPr>
          <w:rFonts w:ascii="Times New Roman" w:hAnsi="Times New Roman" w:cs="Times New Roman"/>
          <w:sz w:val="24"/>
          <w:szCs w:val="24"/>
        </w:rPr>
      </w:pPr>
      <w:r>
        <w:rPr>
          <w:rFonts w:ascii="Times New Roman" w:hAnsi="Times New Roman" w:cs="Times New Roman"/>
          <w:sz w:val="24"/>
          <w:szCs w:val="24"/>
        </w:rPr>
        <w:t>Boiler Heat Input Rating = 62.3 MMBTU/hr</w:t>
      </w:r>
    </w:p>
    <w:p w14:paraId="03EDDBC1" w14:textId="19184F56" w:rsidR="00250FEB" w:rsidRDefault="00250FEB" w:rsidP="00D018FE">
      <w:pPr>
        <w:spacing w:after="0"/>
        <w:ind w:left="720"/>
        <w:rPr>
          <w:rFonts w:ascii="Times New Roman" w:hAnsi="Times New Roman" w:cs="Times New Roman"/>
          <w:sz w:val="24"/>
          <w:szCs w:val="24"/>
        </w:rPr>
      </w:pPr>
      <w:r>
        <w:rPr>
          <w:rFonts w:ascii="Times New Roman" w:hAnsi="Times New Roman" w:cs="Times New Roman"/>
          <w:sz w:val="24"/>
          <w:szCs w:val="24"/>
        </w:rPr>
        <w:t>Higher Heating Value for Natural Gas = 1,020 BTU/cf natural gas</w:t>
      </w:r>
    </w:p>
    <w:p w14:paraId="39F46A5E" w14:textId="3D501DE0" w:rsidR="00250FEB" w:rsidRDefault="00250FEB" w:rsidP="00D018FE">
      <w:pPr>
        <w:spacing w:after="0"/>
        <w:ind w:left="720"/>
        <w:rPr>
          <w:rFonts w:ascii="Times New Roman" w:hAnsi="Times New Roman" w:cs="Times New Roman"/>
          <w:sz w:val="24"/>
          <w:szCs w:val="24"/>
        </w:rPr>
      </w:pPr>
      <w:r>
        <w:rPr>
          <w:rFonts w:ascii="Times New Roman" w:hAnsi="Times New Roman" w:cs="Times New Roman"/>
          <w:sz w:val="24"/>
          <w:szCs w:val="24"/>
        </w:rPr>
        <w:t>Total Hours of Operation for 1-year = 8,760 hours/yr</w:t>
      </w:r>
    </w:p>
    <w:p w14:paraId="4596DD96" w14:textId="5CC5104B" w:rsidR="00250FEB" w:rsidRDefault="00250FEB" w:rsidP="00D018FE">
      <w:pPr>
        <w:spacing w:after="0"/>
        <w:ind w:left="720"/>
        <w:rPr>
          <w:rFonts w:ascii="Times New Roman" w:hAnsi="Times New Roman" w:cs="Times New Roman"/>
          <w:sz w:val="24"/>
          <w:szCs w:val="24"/>
        </w:rPr>
      </w:pPr>
      <w:r>
        <w:rPr>
          <w:rFonts w:ascii="Times New Roman" w:hAnsi="Times New Roman" w:cs="Times New Roman"/>
          <w:sz w:val="24"/>
          <w:szCs w:val="24"/>
        </w:rPr>
        <w:t>Allowable Annual Fuel Usage for Source ID No. 055 = 267 MMcf/yr</w:t>
      </w:r>
    </w:p>
    <w:p w14:paraId="0A0D04CD" w14:textId="307DD7C8" w:rsidR="00250FEB" w:rsidRDefault="00250FEB" w:rsidP="00D018FE">
      <w:pPr>
        <w:spacing w:after="0"/>
        <w:ind w:left="720"/>
        <w:rPr>
          <w:rFonts w:ascii="Times New Roman" w:hAnsi="Times New Roman" w:cs="Times New Roman"/>
          <w:sz w:val="24"/>
          <w:szCs w:val="24"/>
        </w:rPr>
      </w:pPr>
    </w:p>
    <w:p w14:paraId="66CBED0B" w14:textId="3C8BA28F" w:rsidR="00250FEB" w:rsidRDefault="00250FEB" w:rsidP="00D018FE">
      <w:pPr>
        <w:spacing w:after="0"/>
        <w:ind w:left="720"/>
        <w:rPr>
          <w:rFonts w:ascii="Times New Roman" w:hAnsi="Times New Roman" w:cs="Times New Roman"/>
          <w:sz w:val="24"/>
          <w:szCs w:val="24"/>
        </w:rPr>
      </w:pPr>
      <w:r>
        <w:rPr>
          <w:rFonts w:ascii="Times New Roman" w:hAnsi="Times New Roman" w:cs="Times New Roman"/>
          <w:sz w:val="24"/>
          <w:szCs w:val="24"/>
        </w:rPr>
        <w:t>Maximum Annual Fuel Use for Boiler = (62.3 MMBTU/hr)*(8,760 hours/yr)*(10</w:t>
      </w:r>
      <w:r w:rsidRPr="00250FEB">
        <w:rPr>
          <w:rFonts w:ascii="Times New Roman" w:hAnsi="Times New Roman" w:cs="Times New Roman"/>
          <w:sz w:val="24"/>
          <w:szCs w:val="24"/>
          <w:vertAlign w:val="superscript"/>
        </w:rPr>
        <w:t>6</w:t>
      </w:r>
      <w:r>
        <w:rPr>
          <w:rFonts w:ascii="Times New Roman" w:hAnsi="Times New Roman" w:cs="Times New Roman"/>
          <w:sz w:val="24"/>
          <w:szCs w:val="24"/>
        </w:rPr>
        <w:t xml:space="preserve"> BTU/1 MMBTU)*(1 cf natural gas/1,020 BTU) = </w:t>
      </w:r>
      <w:r w:rsidRPr="00250FEB">
        <w:rPr>
          <w:rFonts w:ascii="Times New Roman" w:hAnsi="Times New Roman" w:cs="Times New Roman"/>
          <w:sz w:val="24"/>
          <w:szCs w:val="24"/>
          <w:u w:val="single"/>
        </w:rPr>
        <w:t>5.35 x 10</w:t>
      </w:r>
      <w:r w:rsidRPr="00250FEB">
        <w:rPr>
          <w:rFonts w:ascii="Times New Roman" w:hAnsi="Times New Roman" w:cs="Times New Roman"/>
          <w:sz w:val="24"/>
          <w:szCs w:val="24"/>
          <w:u w:val="single"/>
          <w:vertAlign w:val="superscript"/>
        </w:rPr>
        <w:t>8</w:t>
      </w:r>
      <w:r w:rsidRPr="00250FEB">
        <w:rPr>
          <w:rFonts w:ascii="Times New Roman" w:hAnsi="Times New Roman" w:cs="Times New Roman"/>
          <w:sz w:val="24"/>
          <w:szCs w:val="24"/>
          <w:u w:val="single"/>
        </w:rPr>
        <w:t xml:space="preserve"> cf natural gas/yr (535.05 MMcf/yr)</w:t>
      </w:r>
    </w:p>
    <w:p w14:paraId="4C2E0CDC" w14:textId="7A380690" w:rsidR="00250FEB" w:rsidRDefault="00250FEB" w:rsidP="00D018FE">
      <w:pPr>
        <w:spacing w:after="0"/>
        <w:ind w:left="720"/>
        <w:rPr>
          <w:rFonts w:ascii="Times New Roman" w:hAnsi="Times New Roman" w:cs="Times New Roman"/>
          <w:sz w:val="24"/>
          <w:szCs w:val="24"/>
        </w:rPr>
      </w:pPr>
    </w:p>
    <w:p w14:paraId="5260AD29" w14:textId="60CE737E" w:rsidR="00250FEB" w:rsidRDefault="00250FEB" w:rsidP="00D018FE">
      <w:pPr>
        <w:spacing w:after="0"/>
        <w:ind w:left="720"/>
        <w:rPr>
          <w:rFonts w:ascii="Times New Roman" w:hAnsi="Times New Roman" w:cs="Times New Roman"/>
          <w:sz w:val="24"/>
          <w:szCs w:val="24"/>
        </w:rPr>
      </w:pPr>
      <w:r>
        <w:rPr>
          <w:rFonts w:ascii="Times New Roman" w:hAnsi="Times New Roman" w:cs="Times New Roman"/>
          <w:sz w:val="24"/>
          <w:szCs w:val="24"/>
        </w:rPr>
        <w:t xml:space="preserve">Operational Capacity Allowed by Permit Limitation = 100%*[(267 MMcf/yr)/(535.05 MMcf/yr)] = </w:t>
      </w:r>
      <w:r w:rsidR="00FE227E">
        <w:rPr>
          <w:rFonts w:ascii="Times New Roman" w:hAnsi="Times New Roman" w:cs="Times New Roman"/>
          <w:sz w:val="24"/>
          <w:szCs w:val="24"/>
        </w:rPr>
        <w:t>49.9%</w:t>
      </w:r>
    </w:p>
    <w:p w14:paraId="6B318888" w14:textId="664FA87D" w:rsidR="000E0A8A" w:rsidRDefault="000E0A8A" w:rsidP="007776C4">
      <w:pPr>
        <w:spacing w:after="0"/>
        <w:rPr>
          <w:rFonts w:ascii="Times New Roman" w:hAnsi="Times New Roman" w:cs="Times New Roman"/>
          <w:sz w:val="24"/>
          <w:szCs w:val="24"/>
        </w:rPr>
      </w:pPr>
    </w:p>
    <w:p w14:paraId="11BFE8DC" w14:textId="77777777" w:rsidR="006027F2" w:rsidRPr="006027F2" w:rsidRDefault="006027F2" w:rsidP="007776C4">
      <w:pPr>
        <w:spacing w:after="0"/>
        <w:rPr>
          <w:rFonts w:ascii="Times New Roman" w:hAnsi="Times New Roman" w:cs="Times New Roman"/>
          <w:sz w:val="24"/>
          <w:szCs w:val="24"/>
          <w:u w:val="single"/>
        </w:rPr>
      </w:pPr>
      <w:r w:rsidRPr="006027F2">
        <w:rPr>
          <w:rFonts w:ascii="Times New Roman" w:hAnsi="Times New Roman" w:cs="Times New Roman"/>
          <w:sz w:val="24"/>
          <w:szCs w:val="24"/>
          <w:u w:val="single"/>
        </w:rPr>
        <w:t>Source ID No. 183 – Misc Procs &amp; Gas Usage</w:t>
      </w:r>
    </w:p>
    <w:p w14:paraId="7A71860C" w14:textId="77777777" w:rsidR="006027F2" w:rsidRDefault="006027F2" w:rsidP="007776C4">
      <w:pPr>
        <w:spacing w:after="0"/>
        <w:rPr>
          <w:rFonts w:ascii="Times New Roman" w:hAnsi="Times New Roman" w:cs="Times New Roman"/>
          <w:sz w:val="24"/>
          <w:szCs w:val="24"/>
        </w:rPr>
      </w:pPr>
    </w:p>
    <w:p w14:paraId="02CB1BFC" w14:textId="77777777" w:rsidR="00E84489" w:rsidRDefault="001317D4" w:rsidP="00D018FE">
      <w:pPr>
        <w:spacing w:after="0"/>
        <w:ind w:left="720"/>
        <w:rPr>
          <w:rFonts w:ascii="Times New Roman" w:hAnsi="Times New Roman" w:cs="Times New Roman"/>
          <w:sz w:val="24"/>
          <w:szCs w:val="24"/>
        </w:rPr>
      </w:pPr>
      <w:r>
        <w:rPr>
          <w:rFonts w:ascii="Times New Roman" w:hAnsi="Times New Roman" w:cs="Times New Roman"/>
          <w:sz w:val="24"/>
          <w:szCs w:val="24"/>
        </w:rPr>
        <w:t xml:space="preserve">Heat Input for a </w:t>
      </w:r>
      <w:r w:rsidR="00E84489">
        <w:rPr>
          <w:rFonts w:ascii="Times New Roman" w:hAnsi="Times New Roman" w:cs="Times New Roman"/>
          <w:sz w:val="24"/>
          <w:szCs w:val="24"/>
        </w:rPr>
        <w:t xml:space="preserve">typical source = </w:t>
      </w:r>
      <w:r w:rsidR="006027F2" w:rsidRPr="004D7E1A">
        <w:rPr>
          <w:rFonts w:ascii="Times New Roman" w:hAnsi="Times New Roman" w:cs="Times New Roman"/>
          <w:sz w:val="24"/>
          <w:szCs w:val="24"/>
        </w:rPr>
        <w:t>1 MMBTU/hr</w:t>
      </w:r>
    </w:p>
    <w:p w14:paraId="2378677D" w14:textId="77777777" w:rsidR="00E84489" w:rsidRDefault="006027F2" w:rsidP="00D018FE">
      <w:pPr>
        <w:spacing w:after="0"/>
        <w:ind w:left="720"/>
        <w:rPr>
          <w:rFonts w:ascii="Times New Roman" w:hAnsi="Times New Roman" w:cs="Times New Roman"/>
          <w:sz w:val="24"/>
          <w:szCs w:val="24"/>
        </w:rPr>
      </w:pPr>
      <w:r w:rsidRPr="004D7E1A">
        <w:rPr>
          <w:rFonts w:ascii="Times New Roman" w:hAnsi="Times New Roman" w:cs="Times New Roman"/>
          <w:sz w:val="24"/>
          <w:szCs w:val="24"/>
        </w:rPr>
        <w:t xml:space="preserve">AP-42, </w:t>
      </w:r>
      <w:r>
        <w:rPr>
          <w:rFonts w:ascii="Times New Roman" w:hAnsi="Times New Roman" w:cs="Times New Roman"/>
          <w:sz w:val="24"/>
          <w:szCs w:val="24"/>
        </w:rPr>
        <w:t>Volume 1, 5</w:t>
      </w:r>
      <w:r w:rsidRPr="004D7E1A">
        <w:rPr>
          <w:rFonts w:ascii="Times New Roman" w:hAnsi="Times New Roman" w:cs="Times New Roman"/>
          <w:sz w:val="24"/>
          <w:szCs w:val="24"/>
          <w:vertAlign w:val="superscript"/>
        </w:rPr>
        <w:t>th</w:t>
      </w:r>
      <w:r>
        <w:rPr>
          <w:rFonts w:ascii="Times New Roman" w:hAnsi="Times New Roman" w:cs="Times New Roman"/>
          <w:sz w:val="24"/>
          <w:szCs w:val="24"/>
        </w:rPr>
        <w:t xml:space="preserve"> Edition, </w:t>
      </w:r>
      <w:r w:rsidRPr="004D7E1A">
        <w:rPr>
          <w:rFonts w:ascii="Times New Roman" w:hAnsi="Times New Roman" w:cs="Times New Roman"/>
          <w:sz w:val="24"/>
          <w:szCs w:val="24"/>
        </w:rPr>
        <w:t xml:space="preserve">Chapter 1.4 </w:t>
      </w:r>
      <w:r>
        <w:rPr>
          <w:rFonts w:ascii="Times New Roman" w:hAnsi="Times New Roman" w:cs="Times New Roman"/>
          <w:sz w:val="24"/>
          <w:szCs w:val="24"/>
        </w:rPr>
        <w:t xml:space="preserve">(1995) </w:t>
      </w:r>
      <w:r w:rsidR="00E84489">
        <w:rPr>
          <w:rFonts w:ascii="Times New Roman" w:hAnsi="Times New Roman" w:cs="Times New Roman"/>
          <w:sz w:val="24"/>
          <w:szCs w:val="24"/>
        </w:rPr>
        <w:t>Emission Factors:</w:t>
      </w:r>
    </w:p>
    <w:p w14:paraId="065C978A" w14:textId="5BCF1AE8" w:rsidR="00947265" w:rsidRDefault="00D332A0" w:rsidP="00D018FE">
      <w:pPr>
        <w:spacing w:after="0"/>
        <w:ind w:left="720"/>
        <w:rPr>
          <w:rFonts w:ascii="Times New Roman" w:hAnsi="Times New Roman" w:cs="Times New Roman"/>
          <w:sz w:val="24"/>
          <w:szCs w:val="24"/>
        </w:rPr>
      </w:pPr>
      <w:r>
        <w:rPr>
          <w:rFonts w:ascii="Times New Roman" w:hAnsi="Times New Roman" w:cs="Times New Roman"/>
          <w:sz w:val="24"/>
          <w:szCs w:val="24"/>
        </w:rPr>
        <w:tab/>
        <w:t>100 lbs NOx/</w:t>
      </w:r>
      <w:r w:rsidR="00AD1758">
        <w:rPr>
          <w:rFonts w:ascii="Times New Roman" w:hAnsi="Times New Roman" w:cs="Times New Roman"/>
          <w:sz w:val="24"/>
          <w:szCs w:val="24"/>
        </w:rPr>
        <w:t>MM</w:t>
      </w:r>
      <w:r>
        <w:rPr>
          <w:rFonts w:ascii="Times New Roman" w:hAnsi="Times New Roman" w:cs="Times New Roman"/>
          <w:sz w:val="24"/>
          <w:szCs w:val="24"/>
        </w:rPr>
        <w:t>cf natural gas</w:t>
      </w:r>
    </w:p>
    <w:p w14:paraId="2B468688" w14:textId="630A346E" w:rsidR="00D332A0" w:rsidRDefault="00D332A0" w:rsidP="00D018FE">
      <w:pPr>
        <w:spacing w:after="0"/>
        <w:ind w:left="720"/>
        <w:rPr>
          <w:rFonts w:ascii="Times New Roman" w:hAnsi="Times New Roman" w:cs="Times New Roman"/>
          <w:sz w:val="24"/>
          <w:szCs w:val="24"/>
        </w:rPr>
      </w:pPr>
      <w:r>
        <w:rPr>
          <w:rFonts w:ascii="Times New Roman" w:hAnsi="Times New Roman" w:cs="Times New Roman"/>
          <w:sz w:val="24"/>
          <w:szCs w:val="24"/>
        </w:rPr>
        <w:tab/>
      </w:r>
      <w:r w:rsidR="00AD1758">
        <w:rPr>
          <w:rFonts w:ascii="Times New Roman" w:hAnsi="Times New Roman" w:cs="Times New Roman"/>
          <w:sz w:val="24"/>
          <w:szCs w:val="24"/>
        </w:rPr>
        <w:t>5.5 lbs VOC/MMcf natural gas</w:t>
      </w:r>
    </w:p>
    <w:p w14:paraId="60479955" w14:textId="22C19D35" w:rsidR="0089562F" w:rsidRDefault="00307035" w:rsidP="00D018FE">
      <w:pPr>
        <w:spacing w:after="0"/>
        <w:ind w:left="720"/>
        <w:rPr>
          <w:rFonts w:ascii="Times New Roman" w:hAnsi="Times New Roman" w:cs="Times New Roman"/>
          <w:sz w:val="24"/>
          <w:szCs w:val="24"/>
        </w:rPr>
      </w:pPr>
      <w:r>
        <w:rPr>
          <w:rFonts w:ascii="Times New Roman" w:hAnsi="Times New Roman" w:cs="Times New Roman"/>
          <w:sz w:val="24"/>
          <w:szCs w:val="24"/>
        </w:rPr>
        <w:t>Higher Heating Value of Natural Gas = 1,020 BTU/cf</w:t>
      </w:r>
      <w:r w:rsidR="00910764">
        <w:rPr>
          <w:rFonts w:ascii="Times New Roman" w:hAnsi="Times New Roman" w:cs="Times New Roman"/>
          <w:sz w:val="24"/>
          <w:szCs w:val="24"/>
        </w:rPr>
        <w:t xml:space="preserve"> natural gas</w:t>
      </w:r>
    </w:p>
    <w:p w14:paraId="78B8B12C" w14:textId="52DD2AF2" w:rsidR="008B4BE6" w:rsidRDefault="008B4BE6" w:rsidP="00D018FE">
      <w:pPr>
        <w:spacing w:after="0"/>
        <w:ind w:left="720"/>
        <w:rPr>
          <w:rFonts w:ascii="Times New Roman" w:hAnsi="Times New Roman" w:cs="Times New Roman"/>
          <w:sz w:val="24"/>
          <w:szCs w:val="24"/>
        </w:rPr>
      </w:pPr>
      <w:r>
        <w:rPr>
          <w:rFonts w:ascii="Times New Roman" w:hAnsi="Times New Roman" w:cs="Times New Roman"/>
          <w:sz w:val="24"/>
          <w:szCs w:val="24"/>
        </w:rPr>
        <w:t>Potential Hours of Operation Annually = 8,760 hours/yr</w:t>
      </w:r>
    </w:p>
    <w:p w14:paraId="3BBDA8A1" w14:textId="77777777" w:rsidR="00307035" w:rsidRDefault="00307035" w:rsidP="00D018FE">
      <w:pPr>
        <w:spacing w:after="0"/>
        <w:ind w:left="720"/>
        <w:rPr>
          <w:rFonts w:ascii="Times New Roman" w:hAnsi="Times New Roman" w:cs="Times New Roman"/>
          <w:sz w:val="24"/>
          <w:szCs w:val="24"/>
        </w:rPr>
      </w:pPr>
    </w:p>
    <w:p w14:paraId="46A64109" w14:textId="07E8CF5C" w:rsidR="0089562F" w:rsidRDefault="0089562F" w:rsidP="00D018FE">
      <w:pPr>
        <w:spacing w:after="0"/>
        <w:ind w:left="720"/>
        <w:rPr>
          <w:rFonts w:ascii="Times New Roman" w:hAnsi="Times New Roman" w:cs="Times New Roman"/>
          <w:sz w:val="24"/>
          <w:szCs w:val="24"/>
        </w:rPr>
      </w:pPr>
      <w:r>
        <w:rPr>
          <w:rFonts w:ascii="Times New Roman" w:hAnsi="Times New Roman" w:cs="Times New Roman"/>
          <w:sz w:val="24"/>
          <w:szCs w:val="24"/>
        </w:rPr>
        <w:t>NOx Emissions = (1</w:t>
      </w:r>
      <w:r w:rsidR="00307035">
        <w:rPr>
          <w:rFonts w:ascii="Times New Roman" w:hAnsi="Times New Roman" w:cs="Times New Roman"/>
          <w:sz w:val="24"/>
          <w:szCs w:val="24"/>
        </w:rPr>
        <w:t>0</w:t>
      </w:r>
      <w:r w:rsidR="00307035" w:rsidRPr="00307035">
        <w:rPr>
          <w:rFonts w:ascii="Times New Roman" w:hAnsi="Times New Roman" w:cs="Times New Roman"/>
          <w:sz w:val="24"/>
          <w:szCs w:val="24"/>
          <w:vertAlign w:val="superscript"/>
        </w:rPr>
        <w:t>6</w:t>
      </w:r>
      <w:r w:rsidR="00307035">
        <w:rPr>
          <w:rFonts w:ascii="Times New Roman" w:hAnsi="Times New Roman" w:cs="Times New Roman"/>
          <w:sz w:val="24"/>
          <w:szCs w:val="24"/>
        </w:rPr>
        <w:t xml:space="preserve"> BTU/hr)*(</w:t>
      </w:r>
      <w:r w:rsidR="00910764">
        <w:rPr>
          <w:rFonts w:ascii="Times New Roman" w:hAnsi="Times New Roman" w:cs="Times New Roman"/>
          <w:sz w:val="24"/>
          <w:szCs w:val="24"/>
        </w:rPr>
        <w:t>1 cf natural gas/1,020 BTU)*(</w:t>
      </w:r>
      <w:r w:rsidR="00B04DF2">
        <w:rPr>
          <w:rFonts w:ascii="Times New Roman" w:hAnsi="Times New Roman" w:cs="Times New Roman"/>
          <w:sz w:val="24"/>
          <w:szCs w:val="24"/>
        </w:rPr>
        <w:t>100 lbs NOx/10</w:t>
      </w:r>
      <w:r w:rsidR="00B04DF2" w:rsidRPr="00B04DF2">
        <w:rPr>
          <w:rFonts w:ascii="Times New Roman" w:hAnsi="Times New Roman" w:cs="Times New Roman"/>
          <w:sz w:val="24"/>
          <w:szCs w:val="24"/>
          <w:vertAlign w:val="superscript"/>
        </w:rPr>
        <w:t>6</w:t>
      </w:r>
      <w:r w:rsidR="00B04DF2">
        <w:rPr>
          <w:rFonts w:ascii="Times New Roman" w:hAnsi="Times New Roman" w:cs="Times New Roman"/>
          <w:sz w:val="24"/>
          <w:szCs w:val="24"/>
        </w:rPr>
        <w:t xml:space="preserve"> cf natural gas) =</w:t>
      </w:r>
      <w:r w:rsidR="003816CE">
        <w:rPr>
          <w:rFonts w:ascii="Times New Roman" w:hAnsi="Times New Roman" w:cs="Times New Roman"/>
          <w:sz w:val="24"/>
          <w:szCs w:val="24"/>
        </w:rPr>
        <w:t xml:space="preserve"> </w:t>
      </w:r>
      <w:r w:rsidR="003816CE" w:rsidRPr="003F2DEF">
        <w:rPr>
          <w:rFonts w:ascii="Times New Roman" w:hAnsi="Times New Roman" w:cs="Times New Roman"/>
          <w:sz w:val="24"/>
          <w:szCs w:val="24"/>
          <w:u w:val="single"/>
        </w:rPr>
        <w:t>0.098 lbs NOx/hr</w:t>
      </w:r>
      <w:r w:rsidR="008B4BE6">
        <w:rPr>
          <w:rFonts w:ascii="Times New Roman" w:hAnsi="Times New Roman" w:cs="Times New Roman"/>
          <w:sz w:val="24"/>
          <w:szCs w:val="24"/>
        </w:rPr>
        <w:t xml:space="preserve">*(8760 hours/yr)/(2,000 lbs/ton) = </w:t>
      </w:r>
      <w:r w:rsidR="003F2DEF" w:rsidRPr="003F2DEF">
        <w:rPr>
          <w:rFonts w:ascii="Times New Roman" w:hAnsi="Times New Roman" w:cs="Times New Roman"/>
          <w:sz w:val="24"/>
          <w:szCs w:val="24"/>
          <w:u w:val="single"/>
        </w:rPr>
        <w:t>0.43 tpy NOx</w:t>
      </w:r>
    </w:p>
    <w:p w14:paraId="6355FBEA" w14:textId="05819DEB" w:rsidR="000E0A8A" w:rsidRDefault="000E0A8A" w:rsidP="00D018FE">
      <w:pPr>
        <w:spacing w:after="0"/>
        <w:ind w:left="720"/>
        <w:rPr>
          <w:rFonts w:ascii="Times New Roman" w:hAnsi="Times New Roman" w:cs="Times New Roman"/>
          <w:sz w:val="24"/>
          <w:szCs w:val="24"/>
        </w:rPr>
      </w:pPr>
    </w:p>
    <w:p w14:paraId="589406E1" w14:textId="3CF19AA2" w:rsidR="003F2DEF" w:rsidRDefault="003F2DEF" w:rsidP="00D018FE">
      <w:pPr>
        <w:spacing w:after="0"/>
        <w:ind w:left="720"/>
        <w:rPr>
          <w:rFonts w:ascii="Times New Roman" w:hAnsi="Times New Roman" w:cs="Times New Roman"/>
          <w:sz w:val="24"/>
          <w:szCs w:val="24"/>
        </w:rPr>
      </w:pPr>
      <w:r>
        <w:rPr>
          <w:rFonts w:ascii="Times New Roman" w:hAnsi="Times New Roman" w:cs="Times New Roman"/>
          <w:sz w:val="24"/>
          <w:szCs w:val="24"/>
        </w:rPr>
        <w:t>VOC Emissions = (10</w:t>
      </w:r>
      <w:r w:rsidRPr="00307035">
        <w:rPr>
          <w:rFonts w:ascii="Times New Roman" w:hAnsi="Times New Roman" w:cs="Times New Roman"/>
          <w:sz w:val="24"/>
          <w:szCs w:val="24"/>
          <w:vertAlign w:val="superscript"/>
        </w:rPr>
        <w:t>6</w:t>
      </w:r>
      <w:r>
        <w:rPr>
          <w:rFonts w:ascii="Times New Roman" w:hAnsi="Times New Roman" w:cs="Times New Roman"/>
          <w:sz w:val="24"/>
          <w:szCs w:val="24"/>
        </w:rPr>
        <w:t xml:space="preserve"> BTU/hr)*(1 cf natural gas/1,020 BTU)*(5.5 lbs </w:t>
      </w:r>
      <w:r w:rsidR="00FB2FB2">
        <w:rPr>
          <w:rFonts w:ascii="Times New Roman" w:hAnsi="Times New Roman" w:cs="Times New Roman"/>
          <w:sz w:val="24"/>
          <w:szCs w:val="24"/>
        </w:rPr>
        <w:t>VOC</w:t>
      </w:r>
      <w:r>
        <w:rPr>
          <w:rFonts w:ascii="Times New Roman" w:hAnsi="Times New Roman" w:cs="Times New Roman"/>
          <w:sz w:val="24"/>
          <w:szCs w:val="24"/>
        </w:rPr>
        <w:t>/10</w:t>
      </w:r>
      <w:r w:rsidRPr="00B04DF2">
        <w:rPr>
          <w:rFonts w:ascii="Times New Roman" w:hAnsi="Times New Roman" w:cs="Times New Roman"/>
          <w:sz w:val="24"/>
          <w:szCs w:val="24"/>
          <w:vertAlign w:val="superscript"/>
        </w:rPr>
        <w:t>6</w:t>
      </w:r>
      <w:r>
        <w:rPr>
          <w:rFonts w:ascii="Times New Roman" w:hAnsi="Times New Roman" w:cs="Times New Roman"/>
          <w:sz w:val="24"/>
          <w:szCs w:val="24"/>
        </w:rPr>
        <w:t xml:space="preserve"> cf natural gas) = </w:t>
      </w:r>
      <w:r w:rsidRPr="003F2DEF">
        <w:rPr>
          <w:rFonts w:ascii="Times New Roman" w:hAnsi="Times New Roman" w:cs="Times New Roman"/>
          <w:sz w:val="24"/>
          <w:szCs w:val="24"/>
          <w:u w:val="single"/>
        </w:rPr>
        <w:t>0.0</w:t>
      </w:r>
      <w:r w:rsidR="00ED2AF8">
        <w:rPr>
          <w:rFonts w:ascii="Times New Roman" w:hAnsi="Times New Roman" w:cs="Times New Roman"/>
          <w:sz w:val="24"/>
          <w:szCs w:val="24"/>
          <w:u w:val="single"/>
        </w:rPr>
        <w:t>054</w:t>
      </w:r>
      <w:r w:rsidRPr="003F2DEF">
        <w:rPr>
          <w:rFonts w:ascii="Times New Roman" w:hAnsi="Times New Roman" w:cs="Times New Roman"/>
          <w:sz w:val="24"/>
          <w:szCs w:val="24"/>
          <w:u w:val="single"/>
        </w:rPr>
        <w:t xml:space="preserve"> lbs </w:t>
      </w:r>
      <w:r w:rsidR="00FB2FB2">
        <w:rPr>
          <w:rFonts w:ascii="Times New Roman" w:hAnsi="Times New Roman" w:cs="Times New Roman"/>
          <w:sz w:val="24"/>
          <w:szCs w:val="24"/>
          <w:u w:val="single"/>
        </w:rPr>
        <w:t>VOC</w:t>
      </w:r>
      <w:r w:rsidRPr="003F2DEF">
        <w:rPr>
          <w:rFonts w:ascii="Times New Roman" w:hAnsi="Times New Roman" w:cs="Times New Roman"/>
          <w:sz w:val="24"/>
          <w:szCs w:val="24"/>
          <w:u w:val="single"/>
        </w:rPr>
        <w:t>/hr</w:t>
      </w:r>
      <w:r>
        <w:rPr>
          <w:rFonts w:ascii="Times New Roman" w:hAnsi="Times New Roman" w:cs="Times New Roman"/>
          <w:sz w:val="24"/>
          <w:szCs w:val="24"/>
        </w:rPr>
        <w:t xml:space="preserve">*(8760 hours/yr)/(2,000 lbs/ton) = </w:t>
      </w:r>
      <w:r w:rsidRPr="003F2DEF">
        <w:rPr>
          <w:rFonts w:ascii="Times New Roman" w:hAnsi="Times New Roman" w:cs="Times New Roman"/>
          <w:sz w:val="24"/>
          <w:szCs w:val="24"/>
          <w:u w:val="single"/>
        </w:rPr>
        <w:t>0.</w:t>
      </w:r>
      <w:r w:rsidR="00ED2AF8">
        <w:rPr>
          <w:rFonts w:ascii="Times New Roman" w:hAnsi="Times New Roman" w:cs="Times New Roman"/>
          <w:sz w:val="24"/>
          <w:szCs w:val="24"/>
          <w:u w:val="single"/>
        </w:rPr>
        <w:t>024</w:t>
      </w:r>
      <w:r w:rsidRPr="003F2DEF">
        <w:rPr>
          <w:rFonts w:ascii="Times New Roman" w:hAnsi="Times New Roman" w:cs="Times New Roman"/>
          <w:sz w:val="24"/>
          <w:szCs w:val="24"/>
          <w:u w:val="single"/>
        </w:rPr>
        <w:t xml:space="preserve"> tpy </w:t>
      </w:r>
      <w:r w:rsidR="00FB2FB2">
        <w:rPr>
          <w:rFonts w:ascii="Times New Roman" w:hAnsi="Times New Roman" w:cs="Times New Roman"/>
          <w:sz w:val="24"/>
          <w:szCs w:val="24"/>
          <w:u w:val="single"/>
        </w:rPr>
        <w:t>VOC</w:t>
      </w:r>
    </w:p>
    <w:p w14:paraId="57617D26" w14:textId="520AF731" w:rsidR="000E0A8A" w:rsidRDefault="000E0A8A" w:rsidP="007776C4">
      <w:pPr>
        <w:spacing w:after="0"/>
        <w:rPr>
          <w:rFonts w:ascii="Times New Roman" w:hAnsi="Times New Roman" w:cs="Times New Roman"/>
          <w:sz w:val="24"/>
          <w:szCs w:val="24"/>
        </w:rPr>
      </w:pPr>
    </w:p>
    <w:p w14:paraId="09B9EB38" w14:textId="1A59DAE9" w:rsidR="000E0A8A" w:rsidRPr="00733E77" w:rsidRDefault="00307FE5" w:rsidP="007776C4">
      <w:pPr>
        <w:spacing w:after="0"/>
        <w:rPr>
          <w:rFonts w:ascii="Times New Roman" w:hAnsi="Times New Roman" w:cs="Times New Roman"/>
          <w:sz w:val="24"/>
          <w:szCs w:val="24"/>
          <w:u w:val="single"/>
        </w:rPr>
      </w:pPr>
      <w:r w:rsidRPr="00733E77">
        <w:rPr>
          <w:rFonts w:ascii="Times New Roman" w:hAnsi="Times New Roman" w:cs="Times New Roman"/>
          <w:sz w:val="24"/>
          <w:szCs w:val="24"/>
          <w:u w:val="single"/>
        </w:rPr>
        <w:t xml:space="preserve">Source ID No. 270:  Calculation Provided by ArcelorMittal </w:t>
      </w:r>
      <w:r w:rsidR="00733E77" w:rsidRPr="00733E77">
        <w:rPr>
          <w:rFonts w:ascii="Times New Roman" w:hAnsi="Times New Roman" w:cs="Times New Roman"/>
          <w:sz w:val="24"/>
          <w:szCs w:val="24"/>
          <w:u w:val="single"/>
        </w:rPr>
        <w:t>for Estimating Annual Emissions from Identification Marking</w:t>
      </w:r>
    </w:p>
    <w:p w14:paraId="12600F87" w14:textId="77777777" w:rsidR="000058B7" w:rsidRDefault="000058B7" w:rsidP="000058B7">
      <w:pPr>
        <w:spacing w:after="0" w:line="240" w:lineRule="auto"/>
        <w:rPr>
          <w:rFonts w:ascii="Verdana" w:eastAsia="Times New Roman" w:hAnsi="Verdana"/>
          <w:i/>
          <w:iCs/>
          <w:sz w:val="20"/>
          <w:szCs w:val="20"/>
          <w:highlight w:val="yellow"/>
        </w:rPr>
      </w:pPr>
    </w:p>
    <w:p w14:paraId="1FCB4186" w14:textId="42856427" w:rsidR="000058B7" w:rsidRPr="000058B7" w:rsidRDefault="000058B7" w:rsidP="000058B7">
      <w:pPr>
        <w:spacing w:after="0" w:line="240" w:lineRule="auto"/>
        <w:rPr>
          <w:rFonts w:ascii="Times New Roman" w:eastAsia="Times New Roman" w:hAnsi="Times New Roman" w:cs="Times New Roman"/>
          <w:sz w:val="24"/>
          <w:szCs w:val="24"/>
        </w:rPr>
      </w:pPr>
      <w:r w:rsidRPr="000058B7">
        <w:rPr>
          <w:rFonts w:ascii="Times New Roman" w:eastAsia="Times New Roman" w:hAnsi="Times New Roman" w:cs="Times New Roman"/>
          <w:i/>
          <w:iCs/>
          <w:sz w:val="24"/>
          <w:szCs w:val="24"/>
        </w:rPr>
        <w:t>Basis for the 9.4 tons/year request</w:t>
      </w:r>
      <w:r w:rsidRPr="000058B7">
        <w:rPr>
          <w:rFonts w:ascii="Times New Roman" w:eastAsia="Times New Roman" w:hAnsi="Times New Roman" w:cs="Times New Roman"/>
          <w:sz w:val="24"/>
          <w:szCs w:val="24"/>
        </w:rPr>
        <w:t>:</w:t>
      </w:r>
    </w:p>
    <w:p w14:paraId="539D6D06" w14:textId="77777777" w:rsidR="000058B7" w:rsidRPr="000058B7" w:rsidRDefault="000058B7" w:rsidP="000058B7">
      <w:pPr>
        <w:pStyle w:val="ListParagraph"/>
        <w:numPr>
          <w:ilvl w:val="0"/>
          <w:numId w:val="6"/>
        </w:numPr>
        <w:spacing w:after="0" w:line="240" w:lineRule="auto"/>
        <w:rPr>
          <w:rFonts w:ascii="Times New Roman" w:eastAsia="Times New Roman" w:hAnsi="Times New Roman" w:cs="Times New Roman"/>
          <w:sz w:val="24"/>
          <w:szCs w:val="24"/>
        </w:rPr>
      </w:pPr>
      <w:r w:rsidRPr="000058B7">
        <w:rPr>
          <w:rFonts w:ascii="Times New Roman" w:eastAsia="Times New Roman" w:hAnsi="Times New Roman" w:cs="Times New Roman"/>
          <w:sz w:val="24"/>
          <w:szCs w:val="24"/>
        </w:rPr>
        <w:t>Highest VOC emissions reported in the last 15 years – 3.09 tons in 2007</w:t>
      </w:r>
    </w:p>
    <w:p w14:paraId="596C539F" w14:textId="77777777" w:rsidR="000058B7" w:rsidRPr="000058B7" w:rsidRDefault="000058B7" w:rsidP="000058B7">
      <w:pPr>
        <w:pStyle w:val="ListParagraph"/>
        <w:numPr>
          <w:ilvl w:val="0"/>
          <w:numId w:val="6"/>
        </w:numPr>
        <w:spacing w:after="0" w:line="240" w:lineRule="auto"/>
        <w:rPr>
          <w:rFonts w:ascii="Times New Roman" w:eastAsia="Times New Roman" w:hAnsi="Times New Roman" w:cs="Times New Roman"/>
          <w:sz w:val="24"/>
          <w:szCs w:val="24"/>
        </w:rPr>
      </w:pPr>
      <w:r w:rsidRPr="000058B7">
        <w:rPr>
          <w:rFonts w:ascii="Times New Roman" w:eastAsia="Times New Roman" w:hAnsi="Times New Roman" w:cs="Times New Roman"/>
          <w:sz w:val="24"/>
          <w:szCs w:val="24"/>
        </w:rPr>
        <w:t>EAF production in 2007 – 612,851 tons</w:t>
      </w:r>
    </w:p>
    <w:p w14:paraId="2BD0EFCD" w14:textId="77777777" w:rsidR="000058B7" w:rsidRPr="000058B7" w:rsidRDefault="000058B7" w:rsidP="000058B7">
      <w:pPr>
        <w:pStyle w:val="ListParagraph"/>
        <w:numPr>
          <w:ilvl w:val="0"/>
          <w:numId w:val="6"/>
        </w:numPr>
        <w:spacing w:after="0" w:line="240" w:lineRule="auto"/>
        <w:rPr>
          <w:rFonts w:ascii="Times New Roman" w:eastAsia="Times New Roman" w:hAnsi="Times New Roman" w:cs="Times New Roman"/>
          <w:sz w:val="24"/>
          <w:szCs w:val="24"/>
        </w:rPr>
      </w:pPr>
      <w:r w:rsidRPr="000058B7">
        <w:rPr>
          <w:rFonts w:ascii="Times New Roman" w:eastAsia="Times New Roman" w:hAnsi="Times New Roman" w:cs="Times New Roman"/>
          <w:sz w:val="24"/>
          <w:szCs w:val="24"/>
        </w:rPr>
        <w:t>Ratio EAF max cap to actual 2007 – 1,550,000/612,851 = 2.53</w:t>
      </w:r>
    </w:p>
    <w:p w14:paraId="098C5AAD" w14:textId="77777777" w:rsidR="000058B7" w:rsidRPr="000058B7" w:rsidRDefault="000058B7" w:rsidP="000058B7">
      <w:pPr>
        <w:pStyle w:val="ListParagraph"/>
        <w:numPr>
          <w:ilvl w:val="0"/>
          <w:numId w:val="6"/>
        </w:numPr>
        <w:spacing w:after="0" w:line="240" w:lineRule="auto"/>
        <w:rPr>
          <w:rFonts w:ascii="Times New Roman" w:eastAsia="Times New Roman" w:hAnsi="Times New Roman" w:cs="Times New Roman"/>
          <w:sz w:val="24"/>
          <w:szCs w:val="24"/>
        </w:rPr>
      </w:pPr>
      <w:r w:rsidRPr="000058B7">
        <w:rPr>
          <w:rFonts w:ascii="Times New Roman" w:eastAsia="Times New Roman" w:hAnsi="Times New Roman" w:cs="Times New Roman"/>
          <w:sz w:val="24"/>
          <w:szCs w:val="24"/>
        </w:rPr>
        <w:t>Adjust 2007 actual VOC to max EAF capacity – 3.09*2.53 = 7.82 tons of VOCs</w:t>
      </w:r>
    </w:p>
    <w:p w14:paraId="687F5219" w14:textId="77777777" w:rsidR="000058B7" w:rsidRPr="000058B7" w:rsidRDefault="000058B7" w:rsidP="000058B7">
      <w:pPr>
        <w:pStyle w:val="ListParagraph"/>
        <w:numPr>
          <w:ilvl w:val="0"/>
          <w:numId w:val="6"/>
        </w:numPr>
        <w:spacing w:after="0" w:line="240" w:lineRule="auto"/>
        <w:rPr>
          <w:rFonts w:ascii="Times New Roman" w:eastAsia="Times New Roman" w:hAnsi="Times New Roman" w:cs="Times New Roman"/>
          <w:sz w:val="24"/>
          <w:szCs w:val="24"/>
        </w:rPr>
      </w:pPr>
      <w:r w:rsidRPr="000058B7">
        <w:rPr>
          <w:rFonts w:ascii="Times New Roman" w:eastAsia="Times New Roman" w:hAnsi="Times New Roman" w:cs="Times New Roman"/>
          <w:sz w:val="24"/>
          <w:szCs w:val="24"/>
        </w:rPr>
        <w:t xml:space="preserve">Add 20% to the adjusted value to account for variabilities – 7.82+20% = 9.38 tons/year or </w:t>
      </w:r>
      <w:r w:rsidRPr="000058B7">
        <w:rPr>
          <w:rFonts w:ascii="Times New Roman" w:eastAsia="Times New Roman" w:hAnsi="Times New Roman" w:cs="Times New Roman"/>
          <w:b/>
          <w:bCs/>
          <w:sz w:val="24"/>
          <w:szCs w:val="24"/>
          <w:u w:val="single"/>
        </w:rPr>
        <w:t>9.4 tons/year</w:t>
      </w:r>
    </w:p>
    <w:p w14:paraId="042FDE36" w14:textId="3B6C6E9F" w:rsidR="00733E77" w:rsidRDefault="00733E77" w:rsidP="007776C4">
      <w:pPr>
        <w:spacing w:after="0"/>
        <w:rPr>
          <w:rFonts w:ascii="Times New Roman" w:hAnsi="Times New Roman" w:cs="Times New Roman"/>
          <w:sz w:val="24"/>
          <w:szCs w:val="24"/>
        </w:rPr>
      </w:pPr>
    </w:p>
    <w:p w14:paraId="13BE2B89" w14:textId="7F03AC49" w:rsidR="000E0A8A" w:rsidRPr="000E0A8A" w:rsidRDefault="000E0A8A" w:rsidP="007776C4">
      <w:pPr>
        <w:spacing w:after="0"/>
        <w:rPr>
          <w:rFonts w:ascii="Times New Roman" w:hAnsi="Times New Roman" w:cs="Times New Roman"/>
          <w:b/>
          <w:bCs/>
          <w:sz w:val="28"/>
          <w:szCs w:val="28"/>
        </w:rPr>
      </w:pPr>
      <w:r w:rsidRPr="000E0A8A">
        <w:rPr>
          <w:rFonts w:ascii="Times New Roman" w:hAnsi="Times New Roman" w:cs="Times New Roman"/>
          <w:b/>
          <w:bCs/>
          <w:sz w:val="28"/>
          <w:szCs w:val="28"/>
        </w:rPr>
        <w:lastRenderedPageBreak/>
        <w:t>Attachment 2:  Figure Representing Source ID No. 104</w:t>
      </w:r>
    </w:p>
    <w:p w14:paraId="4AF57616" w14:textId="45C016B7" w:rsidR="000E0A8A" w:rsidRDefault="000E0A8A" w:rsidP="007776C4">
      <w:pPr>
        <w:spacing w:after="0"/>
        <w:rPr>
          <w:rFonts w:ascii="Times New Roman" w:hAnsi="Times New Roman" w:cs="Times New Roman"/>
          <w:sz w:val="24"/>
          <w:szCs w:val="24"/>
        </w:rPr>
      </w:pPr>
    </w:p>
    <w:p w14:paraId="75343375" w14:textId="77777777" w:rsidR="000E0A8A" w:rsidRDefault="000E0A8A" w:rsidP="007776C4">
      <w:pPr>
        <w:spacing w:after="0"/>
        <w:rPr>
          <w:rFonts w:ascii="Times New Roman" w:hAnsi="Times New Roman" w:cs="Times New Roman"/>
          <w:sz w:val="24"/>
          <w:szCs w:val="24"/>
        </w:rPr>
      </w:pPr>
    </w:p>
    <w:p w14:paraId="7A95BF5A" w14:textId="271BBE2B" w:rsidR="007776C4" w:rsidRPr="007776C4" w:rsidRDefault="007776C4" w:rsidP="007776C4">
      <w:pPr>
        <w:spacing w:after="0"/>
        <w:rPr>
          <w:rFonts w:ascii="Times New Roman" w:hAnsi="Times New Roman" w:cs="Times New Roman"/>
          <w:sz w:val="24"/>
          <w:szCs w:val="24"/>
        </w:rPr>
      </w:pPr>
    </w:p>
    <w:sectPr w:rsidR="007776C4" w:rsidRPr="007776C4">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217D47" w16cex:dateUtc="2020-03-19T18:08: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B6ED7" w14:textId="77777777" w:rsidR="00397B6D" w:rsidRDefault="00397B6D" w:rsidP="00792044">
      <w:pPr>
        <w:spacing w:after="0" w:line="240" w:lineRule="auto"/>
      </w:pPr>
      <w:r>
        <w:separator/>
      </w:r>
    </w:p>
  </w:endnote>
  <w:endnote w:type="continuationSeparator" w:id="0">
    <w:p w14:paraId="717E9110" w14:textId="77777777" w:rsidR="00397B6D" w:rsidRDefault="00397B6D" w:rsidP="0079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380113"/>
      <w:docPartObj>
        <w:docPartGallery w:val="Page Numbers (Bottom of Page)"/>
        <w:docPartUnique/>
      </w:docPartObj>
    </w:sdtPr>
    <w:sdtEndPr>
      <w:rPr>
        <w:noProof/>
      </w:rPr>
    </w:sdtEndPr>
    <w:sdtContent>
      <w:p w14:paraId="190D7476" w14:textId="1CDE1B69" w:rsidR="00792044" w:rsidRDefault="007920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87989B" w14:textId="77777777" w:rsidR="00792044" w:rsidRDefault="00792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04C1" w14:textId="77777777" w:rsidR="00397B6D" w:rsidRDefault="00397B6D" w:rsidP="00792044">
      <w:pPr>
        <w:spacing w:after="0" w:line="240" w:lineRule="auto"/>
      </w:pPr>
      <w:r>
        <w:separator/>
      </w:r>
    </w:p>
  </w:footnote>
  <w:footnote w:type="continuationSeparator" w:id="0">
    <w:p w14:paraId="272777C2" w14:textId="77777777" w:rsidR="00397B6D" w:rsidRDefault="00397B6D" w:rsidP="00792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6214"/>
    <w:multiLevelType w:val="hybridMultilevel"/>
    <w:tmpl w:val="CA7E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05DD3"/>
    <w:multiLevelType w:val="hybridMultilevel"/>
    <w:tmpl w:val="3E3E4D7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2B45E6"/>
    <w:multiLevelType w:val="hybridMultilevel"/>
    <w:tmpl w:val="BC98950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24B2F"/>
    <w:multiLevelType w:val="hybridMultilevel"/>
    <w:tmpl w:val="F96C3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0B11D4"/>
    <w:multiLevelType w:val="hybridMultilevel"/>
    <w:tmpl w:val="FD30A8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0B395C"/>
    <w:multiLevelType w:val="hybridMultilevel"/>
    <w:tmpl w:val="79D0BF3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60D16A69"/>
    <w:multiLevelType w:val="hybridMultilevel"/>
    <w:tmpl w:val="1D603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52391A"/>
    <w:multiLevelType w:val="hybridMultilevel"/>
    <w:tmpl w:val="50BA43C8"/>
    <w:lvl w:ilvl="0" w:tplc="7F5EC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86D23"/>
    <w:multiLevelType w:val="hybridMultilevel"/>
    <w:tmpl w:val="30FC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E1BCB"/>
    <w:multiLevelType w:val="hybridMultilevel"/>
    <w:tmpl w:val="E884B0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3"/>
  </w:num>
  <w:num w:numId="8">
    <w:abstractNumId w:val="1"/>
  </w:num>
  <w:num w:numId="9">
    <w:abstractNumId w:val="4"/>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C4"/>
    <w:rsid w:val="000035DA"/>
    <w:rsid w:val="00004F15"/>
    <w:rsid w:val="000058B7"/>
    <w:rsid w:val="0000627E"/>
    <w:rsid w:val="000208DF"/>
    <w:rsid w:val="00021F30"/>
    <w:rsid w:val="00022B91"/>
    <w:rsid w:val="00027F9B"/>
    <w:rsid w:val="00040F01"/>
    <w:rsid w:val="0004218F"/>
    <w:rsid w:val="00050EB0"/>
    <w:rsid w:val="00056DEA"/>
    <w:rsid w:val="000628C7"/>
    <w:rsid w:val="00076302"/>
    <w:rsid w:val="000A24A2"/>
    <w:rsid w:val="000A2BD8"/>
    <w:rsid w:val="000A505E"/>
    <w:rsid w:val="000D374E"/>
    <w:rsid w:val="000E0A8A"/>
    <w:rsid w:val="001041D9"/>
    <w:rsid w:val="00117E5E"/>
    <w:rsid w:val="001317D4"/>
    <w:rsid w:val="00134887"/>
    <w:rsid w:val="00154C8E"/>
    <w:rsid w:val="0016219A"/>
    <w:rsid w:val="00174A84"/>
    <w:rsid w:val="0017595F"/>
    <w:rsid w:val="00181079"/>
    <w:rsid w:val="00182C00"/>
    <w:rsid w:val="001A0D13"/>
    <w:rsid w:val="001B111D"/>
    <w:rsid w:val="001C2D3F"/>
    <w:rsid w:val="001D16AD"/>
    <w:rsid w:val="001D7652"/>
    <w:rsid w:val="001E409A"/>
    <w:rsid w:val="001E4357"/>
    <w:rsid w:val="001E4C06"/>
    <w:rsid w:val="001F2AAD"/>
    <w:rsid w:val="00202719"/>
    <w:rsid w:val="00203E16"/>
    <w:rsid w:val="00250FEB"/>
    <w:rsid w:val="00266610"/>
    <w:rsid w:val="002741E9"/>
    <w:rsid w:val="0029758D"/>
    <w:rsid w:val="002A33CD"/>
    <w:rsid w:val="002A6206"/>
    <w:rsid w:val="002C57A1"/>
    <w:rsid w:val="002F22D1"/>
    <w:rsid w:val="002F5440"/>
    <w:rsid w:val="003042F1"/>
    <w:rsid w:val="00307035"/>
    <w:rsid w:val="00307FE5"/>
    <w:rsid w:val="003113CF"/>
    <w:rsid w:val="00315DB1"/>
    <w:rsid w:val="00323333"/>
    <w:rsid w:val="00337609"/>
    <w:rsid w:val="00337C7C"/>
    <w:rsid w:val="0034165C"/>
    <w:rsid w:val="00343CDF"/>
    <w:rsid w:val="00350B53"/>
    <w:rsid w:val="00350BE4"/>
    <w:rsid w:val="00354379"/>
    <w:rsid w:val="00355CC2"/>
    <w:rsid w:val="003816CE"/>
    <w:rsid w:val="00387BE2"/>
    <w:rsid w:val="00391D52"/>
    <w:rsid w:val="00397371"/>
    <w:rsid w:val="00397B6D"/>
    <w:rsid w:val="003B70F0"/>
    <w:rsid w:val="003C2714"/>
    <w:rsid w:val="003C5F8C"/>
    <w:rsid w:val="003D1839"/>
    <w:rsid w:val="003D1C37"/>
    <w:rsid w:val="003F2DEF"/>
    <w:rsid w:val="004049DC"/>
    <w:rsid w:val="004107A1"/>
    <w:rsid w:val="0042269D"/>
    <w:rsid w:val="00430FC4"/>
    <w:rsid w:val="004325F9"/>
    <w:rsid w:val="0046591B"/>
    <w:rsid w:val="004702A1"/>
    <w:rsid w:val="00482873"/>
    <w:rsid w:val="00484C16"/>
    <w:rsid w:val="0049042F"/>
    <w:rsid w:val="004B42F5"/>
    <w:rsid w:val="004B733C"/>
    <w:rsid w:val="004D7E1A"/>
    <w:rsid w:val="00501A38"/>
    <w:rsid w:val="0050689B"/>
    <w:rsid w:val="005125FB"/>
    <w:rsid w:val="00521856"/>
    <w:rsid w:val="00540462"/>
    <w:rsid w:val="005712F1"/>
    <w:rsid w:val="00597A97"/>
    <w:rsid w:val="005A48A1"/>
    <w:rsid w:val="005B6F13"/>
    <w:rsid w:val="005D6716"/>
    <w:rsid w:val="005E0724"/>
    <w:rsid w:val="005E7DA2"/>
    <w:rsid w:val="005F780A"/>
    <w:rsid w:val="00601F43"/>
    <w:rsid w:val="006027F2"/>
    <w:rsid w:val="006139B7"/>
    <w:rsid w:val="00615DCE"/>
    <w:rsid w:val="006301E4"/>
    <w:rsid w:val="00640C83"/>
    <w:rsid w:val="00677C3E"/>
    <w:rsid w:val="006836AA"/>
    <w:rsid w:val="00683D72"/>
    <w:rsid w:val="006B1653"/>
    <w:rsid w:val="006C5171"/>
    <w:rsid w:val="006E32A8"/>
    <w:rsid w:val="00707C27"/>
    <w:rsid w:val="00721173"/>
    <w:rsid w:val="007239E8"/>
    <w:rsid w:val="007317BF"/>
    <w:rsid w:val="00733E77"/>
    <w:rsid w:val="007427A5"/>
    <w:rsid w:val="0074354E"/>
    <w:rsid w:val="00747D90"/>
    <w:rsid w:val="007511CE"/>
    <w:rsid w:val="00764CAE"/>
    <w:rsid w:val="00765C68"/>
    <w:rsid w:val="00765E31"/>
    <w:rsid w:val="00773F1C"/>
    <w:rsid w:val="007771EB"/>
    <w:rsid w:val="007776C4"/>
    <w:rsid w:val="00784C7E"/>
    <w:rsid w:val="00784CFA"/>
    <w:rsid w:val="00792044"/>
    <w:rsid w:val="00793AFF"/>
    <w:rsid w:val="007A2C15"/>
    <w:rsid w:val="007B1FCA"/>
    <w:rsid w:val="007B77CE"/>
    <w:rsid w:val="007E2E6C"/>
    <w:rsid w:val="008050CE"/>
    <w:rsid w:val="0082318C"/>
    <w:rsid w:val="00831916"/>
    <w:rsid w:val="00832D12"/>
    <w:rsid w:val="008362B3"/>
    <w:rsid w:val="00840A75"/>
    <w:rsid w:val="00850DD1"/>
    <w:rsid w:val="0089562F"/>
    <w:rsid w:val="008A5810"/>
    <w:rsid w:val="008B22C2"/>
    <w:rsid w:val="008B4017"/>
    <w:rsid w:val="008B4BE6"/>
    <w:rsid w:val="008C639F"/>
    <w:rsid w:val="008C6E06"/>
    <w:rsid w:val="008E2AB4"/>
    <w:rsid w:val="008E5AC2"/>
    <w:rsid w:val="00901318"/>
    <w:rsid w:val="009016FF"/>
    <w:rsid w:val="00910764"/>
    <w:rsid w:val="00913FF2"/>
    <w:rsid w:val="00935D58"/>
    <w:rsid w:val="00936124"/>
    <w:rsid w:val="0094557C"/>
    <w:rsid w:val="00947265"/>
    <w:rsid w:val="00952BD7"/>
    <w:rsid w:val="00962EDF"/>
    <w:rsid w:val="00967592"/>
    <w:rsid w:val="00982B52"/>
    <w:rsid w:val="0098487F"/>
    <w:rsid w:val="009915C1"/>
    <w:rsid w:val="00991C89"/>
    <w:rsid w:val="009B48EB"/>
    <w:rsid w:val="009B6762"/>
    <w:rsid w:val="009C34A1"/>
    <w:rsid w:val="009C7B83"/>
    <w:rsid w:val="009D2070"/>
    <w:rsid w:val="009F7006"/>
    <w:rsid w:val="00A0225D"/>
    <w:rsid w:val="00A06731"/>
    <w:rsid w:val="00A07103"/>
    <w:rsid w:val="00A14C5D"/>
    <w:rsid w:val="00A50574"/>
    <w:rsid w:val="00A50E4C"/>
    <w:rsid w:val="00A60351"/>
    <w:rsid w:val="00A60E8A"/>
    <w:rsid w:val="00A721E3"/>
    <w:rsid w:val="00A957E9"/>
    <w:rsid w:val="00AC6AB8"/>
    <w:rsid w:val="00AD1758"/>
    <w:rsid w:val="00AF00DD"/>
    <w:rsid w:val="00AF2B94"/>
    <w:rsid w:val="00AF6275"/>
    <w:rsid w:val="00B04DF2"/>
    <w:rsid w:val="00B07C80"/>
    <w:rsid w:val="00B11104"/>
    <w:rsid w:val="00B30903"/>
    <w:rsid w:val="00B522EE"/>
    <w:rsid w:val="00B63A1C"/>
    <w:rsid w:val="00B71E35"/>
    <w:rsid w:val="00B861FE"/>
    <w:rsid w:val="00BA11CD"/>
    <w:rsid w:val="00BC253F"/>
    <w:rsid w:val="00BC5088"/>
    <w:rsid w:val="00BD0FFD"/>
    <w:rsid w:val="00BD39CA"/>
    <w:rsid w:val="00BF7E07"/>
    <w:rsid w:val="00C06913"/>
    <w:rsid w:val="00C5447C"/>
    <w:rsid w:val="00C56EB2"/>
    <w:rsid w:val="00C600A0"/>
    <w:rsid w:val="00C61791"/>
    <w:rsid w:val="00C83BBA"/>
    <w:rsid w:val="00CA6F95"/>
    <w:rsid w:val="00CB14C3"/>
    <w:rsid w:val="00CB4476"/>
    <w:rsid w:val="00CB5479"/>
    <w:rsid w:val="00CC6166"/>
    <w:rsid w:val="00CC6DEB"/>
    <w:rsid w:val="00CD1999"/>
    <w:rsid w:val="00CF7F1D"/>
    <w:rsid w:val="00D00C59"/>
    <w:rsid w:val="00D018FE"/>
    <w:rsid w:val="00D113B1"/>
    <w:rsid w:val="00D15974"/>
    <w:rsid w:val="00D16C25"/>
    <w:rsid w:val="00D17E57"/>
    <w:rsid w:val="00D214BA"/>
    <w:rsid w:val="00D216C8"/>
    <w:rsid w:val="00D315C5"/>
    <w:rsid w:val="00D332A0"/>
    <w:rsid w:val="00D47655"/>
    <w:rsid w:val="00D54431"/>
    <w:rsid w:val="00D9435A"/>
    <w:rsid w:val="00DC2070"/>
    <w:rsid w:val="00DC6762"/>
    <w:rsid w:val="00DC7436"/>
    <w:rsid w:val="00DF2928"/>
    <w:rsid w:val="00DF54C6"/>
    <w:rsid w:val="00E84489"/>
    <w:rsid w:val="00E90D12"/>
    <w:rsid w:val="00ED2AF8"/>
    <w:rsid w:val="00ED5212"/>
    <w:rsid w:val="00EE0574"/>
    <w:rsid w:val="00EE0D99"/>
    <w:rsid w:val="00EF6E68"/>
    <w:rsid w:val="00F019C2"/>
    <w:rsid w:val="00F060E7"/>
    <w:rsid w:val="00F1192B"/>
    <w:rsid w:val="00F30444"/>
    <w:rsid w:val="00F34393"/>
    <w:rsid w:val="00F37743"/>
    <w:rsid w:val="00F41B3A"/>
    <w:rsid w:val="00F627BD"/>
    <w:rsid w:val="00F7589F"/>
    <w:rsid w:val="00F91B82"/>
    <w:rsid w:val="00F973A0"/>
    <w:rsid w:val="00FB2FB2"/>
    <w:rsid w:val="00FB7008"/>
    <w:rsid w:val="00FC6A76"/>
    <w:rsid w:val="00FE227E"/>
    <w:rsid w:val="00FE25A4"/>
    <w:rsid w:val="00FE295C"/>
    <w:rsid w:val="00FE49FF"/>
    <w:rsid w:val="00FE7709"/>
    <w:rsid w:val="00FF4BB5"/>
    <w:rsid w:val="2316C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655B"/>
  <w15:chartTrackingRefBased/>
  <w15:docId w15:val="{50AD6769-452A-432F-963C-A1B81802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044"/>
  </w:style>
  <w:style w:type="paragraph" w:styleId="Footer">
    <w:name w:val="footer"/>
    <w:basedOn w:val="Normal"/>
    <w:link w:val="FooterChar"/>
    <w:uiPriority w:val="99"/>
    <w:unhideWhenUsed/>
    <w:rsid w:val="00792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044"/>
  </w:style>
  <w:style w:type="paragraph" w:styleId="ListParagraph">
    <w:name w:val="List Paragraph"/>
    <w:basedOn w:val="Normal"/>
    <w:uiPriority w:val="34"/>
    <w:qFormat/>
    <w:rsid w:val="00792044"/>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4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70918">
      <w:bodyDiv w:val="1"/>
      <w:marLeft w:val="0"/>
      <w:marRight w:val="0"/>
      <w:marTop w:val="0"/>
      <w:marBottom w:val="0"/>
      <w:divBdr>
        <w:top w:val="none" w:sz="0" w:space="0" w:color="auto"/>
        <w:left w:val="none" w:sz="0" w:space="0" w:color="auto"/>
        <w:bottom w:val="none" w:sz="0" w:space="0" w:color="auto"/>
        <w:right w:val="none" w:sz="0" w:space="0" w:color="auto"/>
      </w:divBdr>
    </w:div>
    <w:div w:id="133052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24fc169a473240af"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5" ma:contentTypeDescription="Create a new document." ma:contentTypeScope="" ma:versionID="6780cc48606a702e2313200bacf2abd8">
  <xsd:schema xmlns:xsd="http://www.w3.org/2001/XMLSchema" xmlns:xs="http://www.w3.org/2001/XMLSchema" xmlns:p="http://schemas.microsoft.com/office/2006/metadata/properties" xmlns:ns3="a607a33b-3db6-4c29-911e-dd431811d9ac" xmlns:ns4="594022c7-28a7-4e5c-8854-df6a7ef56d4f" targetNamespace="http://schemas.microsoft.com/office/2006/metadata/properties" ma:root="true" ma:fieldsID="950b765e97a61396f599dc5ecd0676b4" ns3:_="" ns4:_="">
    <xsd:import namespace="a607a33b-3db6-4c29-911e-dd431811d9ac"/>
    <xsd:import namespace="594022c7-28a7-4e5c-8854-df6a7ef56d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F3DF0-CC13-4047-81C7-DB5578DE4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7a33b-3db6-4c29-911e-dd431811d9ac"/>
    <ds:schemaRef ds:uri="594022c7-28a7-4e5c-8854-df6a7ef56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E2983-62AC-40D6-9C00-8E67C25289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61518-6732-4A94-BDE7-067D901DA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James</dc:creator>
  <cp:keywords/>
  <dc:description/>
  <cp:lastModifiedBy>Beach, James</cp:lastModifiedBy>
  <cp:revision>3</cp:revision>
  <dcterms:created xsi:type="dcterms:W3CDTF">2020-03-19T19:15:00Z</dcterms:created>
  <dcterms:modified xsi:type="dcterms:W3CDTF">2020-03-19T19:16:00Z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