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D5F" w:rsidRDefault="00573D5F" w:rsidP="00573D5F">
      <w:pPr>
        <w:shd w:val="clear" w:color="auto" w:fill="F2F2F2" w:themeFill="background1" w:themeFillShade="F2"/>
        <w:jc w:val="center"/>
        <w:rPr>
          <w:rFonts w:ascii="Arial" w:hAnsi="Arial" w:cs="Arial"/>
        </w:rPr>
      </w:pPr>
      <w:r w:rsidRPr="002053C0">
        <w:rPr>
          <w:rFonts w:ascii="Arial" w:hAnsi="Arial" w:cs="Arial"/>
        </w:rPr>
        <w:t>User’s Manual for the Quick Domenico Groundwater Fate-and-Transport Model</w:t>
      </w:r>
      <w:bookmarkStart w:id="0" w:name="_GoBack"/>
      <w:bookmarkEnd w:id="0"/>
    </w:p>
    <w:p w:rsidR="00573D5F" w:rsidRPr="002053C0" w:rsidRDefault="003B0ADC" w:rsidP="00E97156">
      <w:pPr>
        <w:shd w:val="clear" w:color="auto" w:fill="F2F2F2" w:themeFill="background1" w:themeFillShade="F2"/>
        <w:tabs>
          <w:tab w:val="center" w:pos="2880"/>
          <w:tab w:val="center" w:pos="6480"/>
        </w:tabs>
        <w:jc w:val="center"/>
        <w:rPr>
          <w:rFonts w:ascii="Arial" w:hAnsi="Arial" w:cs="Arial"/>
          <w:sz w:val="20"/>
        </w:rPr>
      </w:pPr>
      <w:r>
        <w:rPr>
          <w:rFonts w:ascii="Arial" w:hAnsi="Arial" w:cs="Arial"/>
          <w:sz w:val="20"/>
        </w:rPr>
        <w:t>2</w:t>
      </w:r>
      <w:r w:rsidR="008858A3">
        <w:rPr>
          <w:rFonts w:ascii="Arial" w:hAnsi="Arial" w:cs="Arial"/>
          <w:sz w:val="20"/>
        </w:rPr>
        <w:t>8</w:t>
      </w:r>
      <w:r>
        <w:rPr>
          <w:rFonts w:ascii="Arial" w:hAnsi="Arial" w:cs="Arial"/>
          <w:sz w:val="20"/>
        </w:rPr>
        <w:t xml:space="preserve"> Feb 2014</w:t>
      </w:r>
    </w:p>
    <w:p w:rsidR="000F1D26" w:rsidRDefault="000F1D26"/>
    <w:p w:rsidR="00817E98" w:rsidRPr="00817E98" w:rsidRDefault="001F2841" w:rsidP="00817E98">
      <w:pPr>
        <w:tabs>
          <w:tab w:val="left" w:pos="900"/>
        </w:tabs>
        <w:rPr>
          <w:i/>
        </w:rPr>
      </w:pPr>
      <w:r>
        <w:rPr>
          <w:rFonts w:ascii="Arial" w:hAnsi="Arial" w:cs="Arial"/>
          <w:b/>
          <w:i/>
          <w:sz w:val="28"/>
          <w:szCs w:val="28"/>
        </w:rPr>
        <w:t>A4</w:t>
      </w:r>
      <w:r w:rsidR="00817E98" w:rsidRPr="00817E98">
        <w:rPr>
          <w:rFonts w:ascii="Arial" w:hAnsi="Arial" w:cs="Arial"/>
          <w:b/>
          <w:i/>
          <w:sz w:val="28"/>
          <w:szCs w:val="28"/>
        </w:rPr>
        <w:t xml:space="preserve">.2. </w:t>
      </w:r>
      <w:r w:rsidR="00817E98" w:rsidRPr="00817E98">
        <w:rPr>
          <w:rFonts w:ascii="Arial" w:hAnsi="Arial" w:cs="Arial"/>
          <w:b/>
          <w:i/>
          <w:sz w:val="28"/>
          <w:szCs w:val="28"/>
        </w:rPr>
        <w:tab/>
        <w:t>Example Problem: Source Decay</w:t>
      </w:r>
    </w:p>
    <w:p w:rsidR="00817E98" w:rsidRDefault="00817E98"/>
    <w:p w:rsidR="00641F5D" w:rsidRPr="00641F5D" w:rsidRDefault="001F2841" w:rsidP="00641F5D">
      <w:pPr>
        <w:tabs>
          <w:tab w:val="left" w:pos="900"/>
        </w:tabs>
        <w:rPr>
          <w:rFonts w:ascii="Arial" w:hAnsi="Arial" w:cs="Arial"/>
          <w:b/>
          <w:sz w:val="26"/>
        </w:rPr>
      </w:pPr>
      <w:r>
        <w:rPr>
          <w:rFonts w:ascii="Arial" w:hAnsi="Arial" w:cs="Arial"/>
          <w:b/>
          <w:sz w:val="26"/>
        </w:rPr>
        <w:t>A4</w:t>
      </w:r>
      <w:r w:rsidR="00641F5D" w:rsidRPr="00641F5D">
        <w:rPr>
          <w:rFonts w:ascii="Arial" w:hAnsi="Arial" w:cs="Arial"/>
          <w:b/>
          <w:sz w:val="26"/>
        </w:rPr>
        <w:t>.2.1.</w:t>
      </w:r>
      <w:r w:rsidR="00641F5D" w:rsidRPr="00641F5D">
        <w:rPr>
          <w:rFonts w:ascii="Arial" w:hAnsi="Arial" w:cs="Arial"/>
          <w:b/>
          <w:sz w:val="26"/>
        </w:rPr>
        <w:tab/>
        <w:t>Synopsis</w:t>
      </w:r>
    </w:p>
    <w:p w:rsidR="00817E98" w:rsidRDefault="00641F5D">
      <w:r>
        <w:t xml:space="preserve">This example illustrates the importance of accounting for source decay when modeling fate and transport. Quick Domenico assumes </w:t>
      </w:r>
      <w:r w:rsidR="008858A3">
        <w:t>the</w:t>
      </w:r>
      <w:r>
        <w:t xml:space="preserve"> source</w:t>
      </w:r>
      <w:r w:rsidR="00B06D0E">
        <w:t xml:space="preserve"> concentration does not change with time.</w:t>
      </w:r>
      <w:r w:rsidR="005077AD">
        <w:t xml:space="preserve"> A QD simulation will only show increasing concentrations at a point until steady state is reached.</w:t>
      </w:r>
      <w:r w:rsidR="00B06D0E">
        <w:t xml:space="preserve"> Therefore,</w:t>
      </w:r>
      <w:r>
        <w:t xml:space="preserve"> if there is evidence of source decay then QD may not be an acceptable model. EPA’s Bioscreen or Papadopulos and Associates’ Bioscreen-AT are alternatives. </w:t>
      </w:r>
    </w:p>
    <w:p w:rsidR="00641F5D" w:rsidRDefault="00641F5D"/>
    <w:p w:rsidR="00641F5D" w:rsidRPr="003F0C87" w:rsidRDefault="001F2841" w:rsidP="003F0C87">
      <w:pPr>
        <w:tabs>
          <w:tab w:val="left" w:pos="900"/>
        </w:tabs>
        <w:rPr>
          <w:rFonts w:ascii="Arial" w:hAnsi="Arial" w:cs="Arial"/>
          <w:b/>
          <w:sz w:val="26"/>
        </w:rPr>
      </w:pPr>
      <w:r>
        <w:rPr>
          <w:rFonts w:ascii="Arial" w:hAnsi="Arial" w:cs="Arial"/>
          <w:b/>
          <w:sz w:val="26"/>
        </w:rPr>
        <w:t>A4</w:t>
      </w:r>
      <w:r w:rsidR="003F0C87" w:rsidRPr="003F0C87">
        <w:rPr>
          <w:rFonts w:ascii="Arial" w:hAnsi="Arial" w:cs="Arial"/>
          <w:b/>
          <w:sz w:val="26"/>
        </w:rPr>
        <w:t>.2.2.</w:t>
      </w:r>
      <w:r w:rsidR="003F0C87" w:rsidRPr="003F0C87">
        <w:rPr>
          <w:rFonts w:ascii="Arial" w:hAnsi="Arial" w:cs="Arial"/>
          <w:b/>
          <w:sz w:val="26"/>
        </w:rPr>
        <w:tab/>
        <w:t>Site Description and Background</w:t>
      </w:r>
    </w:p>
    <w:p w:rsidR="003F0C87" w:rsidRDefault="00D86442">
      <w:r>
        <w:t xml:space="preserve">The </w:t>
      </w:r>
      <w:r w:rsidR="00B06D0E">
        <w:t xml:space="preserve">example </w:t>
      </w:r>
      <w:r>
        <w:t xml:space="preserve">site was formerly a gas station with regulated underground storage tanks. The USTs were removed in 1990, </w:t>
      </w:r>
      <w:r w:rsidR="003B0ADC">
        <w:t>at which time</w:t>
      </w:r>
      <w:r>
        <w:t xml:space="preserve"> a release was discovered. Soil and groundwater contamination was observed, but no</w:t>
      </w:r>
      <w:r w:rsidR="003B0ADC">
        <w:t xml:space="preserve"> LNAPL</w:t>
      </w:r>
      <w:r>
        <w:t xml:space="preserve">. Impacted soils were excavated and removed, and the owner operated a soil vapor extraction system over the tank field </w:t>
      </w:r>
      <w:r w:rsidR="003B0ADC">
        <w:t>in 1990–1992</w:t>
      </w:r>
      <w:r>
        <w:t xml:space="preserve">. </w:t>
      </w:r>
      <w:r w:rsidR="00F8119C">
        <w:t>Twelve monitoring wells were installed, with one offsite upgradient well and one offsite downgradient well</w:t>
      </w:r>
      <w:r w:rsidR="00311813">
        <w:t xml:space="preserve"> (Figure </w:t>
      </w:r>
      <w:r w:rsidR="001F2841">
        <w:t>A4</w:t>
      </w:r>
      <w:r w:rsidR="003B0ADC">
        <w:t>.2-</w:t>
      </w:r>
      <w:r w:rsidR="00311813">
        <w:t>1)</w:t>
      </w:r>
      <w:r w:rsidR="00F8119C">
        <w:t>. Periodic sampling for petroleum const</w:t>
      </w:r>
      <w:r w:rsidR="00BE237D">
        <w:t>ituents w</w:t>
      </w:r>
      <w:r w:rsidR="00277356">
        <w:t>as performed</w:t>
      </w:r>
      <w:r w:rsidR="00BE237D">
        <w:t xml:space="preserve"> from 1990</w:t>
      </w:r>
      <w:r w:rsidR="00F8119C">
        <w:t xml:space="preserve"> until 2009. </w:t>
      </w:r>
      <w:r w:rsidR="00F404E5">
        <w:t xml:space="preserve">No drinking water </w:t>
      </w:r>
      <w:r w:rsidR="003B0ADC">
        <w:t>wells are present within 1000′</w:t>
      </w:r>
      <w:r w:rsidR="00F404E5">
        <w:t xml:space="preserve"> of the facility.</w:t>
      </w:r>
    </w:p>
    <w:p w:rsidR="00BE237D" w:rsidRDefault="00BE237D"/>
    <w:p w:rsidR="00BE237D" w:rsidRDefault="00277356">
      <w:r>
        <w:t>S</w:t>
      </w:r>
      <w:r w:rsidR="00B06D0E">
        <w:t>andy clay s</w:t>
      </w:r>
      <w:r>
        <w:t xml:space="preserve">oil </w:t>
      </w:r>
      <w:r w:rsidR="00B06D0E">
        <w:t xml:space="preserve">4–9 ft </w:t>
      </w:r>
      <w:r w:rsidR="008C20C4">
        <w:t xml:space="preserve">thick </w:t>
      </w:r>
      <w:r w:rsidR="00B06D0E">
        <w:t>overlie</w:t>
      </w:r>
      <w:r w:rsidR="008C20C4">
        <w:t>s</w:t>
      </w:r>
      <w:r>
        <w:t xml:space="preserve"> sandstone bedrock</w:t>
      </w:r>
      <w:r w:rsidR="00BE237D">
        <w:t xml:space="preserve">. The depth to water in </w:t>
      </w:r>
      <w:r w:rsidR="0004197F">
        <w:t>the unconfined aquifer is ~7–11 ft</w:t>
      </w:r>
      <w:r w:rsidR="00BE237D">
        <w:t xml:space="preserve">, in </w:t>
      </w:r>
      <w:r>
        <w:t xml:space="preserve">the </w:t>
      </w:r>
      <w:r w:rsidR="00B06D0E">
        <w:t>weathered bedrock. The g</w:t>
      </w:r>
      <w:r w:rsidR="00BE237D">
        <w:t xml:space="preserve">roundwater flow </w:t>
      </w:r>
      <w:r w:rsidR="00B06D0E">
        <w:t xml:space="preserve">direction </w:t>
      </w:r>
      <w:r w:rsidR="00BE237D">
        <w:t xml:space="preserve">is inferred to the west, with a gradient of ~0.03 ft/ft. The nearest surface </w:t>
      </w:r>
      <w:r w:rsidR="0004197F">
        <w:t>wa</w:t>
      </w:r>
      <w:r w:rsidR="003B0ADC">
        <w:t>ter is a stream located ~1000′</w:t>
      </w:r>
      <w:r w:rsidR="00BE237D">
        <w:t xml:space="preserve"> northwest. </w:t>
      </w:r>
      <w:r w:rsidR="00182CDD">
        <w:t>Slug testing performed at four wells yielded an average hydraulic c</w:t>
      </w:r>
      <w:r w:rsidR="00214C84">
        <w:t>onductivity of 0.47</w:t>
      </w:r>
      <w:r w:rsidR="00182CDD">
        <w:t xml:space="preserve"> ft/day. </w:t>
      </w:r>
      <w:r w:rsidR="00624538">
        <w:t>Contaminants of concern (those</w:t>
      </w:r>
      <w:r w:rsidR="003B0ADC">
        <w:t xml:space="preserve"> currently exceeding Statewide health standard MSCs</w:t>
      </w:r>
      <w:r w:rsidR="00624538">
        <w:t>) are benzene, ethylbenzene, and naphthalene. The downgradient offsite well has had nondetect concentrations of these substances.</w:t>
      </w:r>
    </w:p>
    <w:p w:rsidR="00173226" w:rsidRDefault="00173226"/>
    <w:p w:rsidR="00624538" w:rsidRDefault="00214C84">
      <w:r>
        <w:t>A</w:t>
      </w:r>
      <w:r w:rsidR="00624538">
        <w:t xml:space="preserve"> consultant performed QD modeling of the plume. The purpose of their modeling was to determi</w:t>
      </w:r>
      <w:r w:rsidR="003B0ADC">
        <w:t>ne if contaminants exceeded SHS MSCs</w:t>
      </w:r>
      <w:r w:rsidR="00624538">
        <w:t xml:space="preserve"> at the property line (the point of compliance). </w:t>
      </w:r>
      <w:r w:rsidR="00182CDD">
        <w:t>They used the maximum historic concentrations at MW-7, located in the former tank field, as the source concentrations. The models were calibrated t</w:t>
      </w:r>
      <w:r w:rsidR="0004197F">
        <w:t xml:space="preserve">o </w:t>
      </w:r>
      <w:r w:rsidR="003B0ADC">
        <w:t>2009 data at MW-3, located 35′</w:t>
      </w:r>
      <w:r w:rsidR="00182CDD">
        <w:t xml:space="preserve"> downgradient. Only dispersivities were varied to calibrate the models. </w:t>
      </w:r>
      <w:r w:rsidR="00277356">
        <w:t xml:space="preserve">The consultant selected </w:t>
      </w:r>
      <w:r w:rsidR="00182CDD">
        <w:t xml:space="preserve">ASTM values for </w:t>
      </w:r>
      <w:r w:rsidR="00182CDD">
        <w:rPr>
          <w:rFonts w:ascii="Symbol" w:hAnsi="Symbol"/>
          <w:i/>
        </w:rPr>
        <w:t></w:t>
      </w:r>
      <w:r w:rsidR="00182CDD">
        <w:t>, and</w:t>
      </w:r>
      <w:r w:rsidR="00277356">
        <w:t xml:space="preserve"> they kept</w:t>
      </w:r>
      <w:r w:rsidR="00182CDD">
        <w:t xml:space="preserve"> </w:t>
      </w:r>
      <w:r w:rsidR="00182CDD">
        <w:rPr>
          <w:i/>
        </w:rPr>
        <w:t>K</w:t>
      </w:r>
      <w:r w:rsidR="00182CDD">
        <w:t xml:space="preserve"> constant using the slug test average. The</w:t>
      </w:r>
      <w:r w:rsidR="00277356">
        <w:t>ir</w:t>
      </w:r>
      <w:r w:rsidR="00182CDD">
        <w:t xml:space="preserve"> conclusion was that there would be no future offsite impacts.</w:t>
      </w:r>
    </w:p>
    <w:p w:rsidR="00182CDD" w:rsidRDefault="00182CDD"/>
    <w:p w:rsidR="00182CDD" w:rsidRDefault="005A0A12">
      <w:r>
        <w:t>DEP noted several concerns with the QD model</w:t>
      </w:r>
      <w:r w:rsidR="008858A3">
        <w:t>s</w:t>
      </w:r>
      <w:r>
        <w:t xml:space="preserve"> that </w:t>
      </w:r>
      <w:r w:rsidR="008858A3">
        <w:t>were</w:t>
      </w:r>
      <w:r>
        <w:t xml:space="preserve"> submitted.</w:t>
      </w:r>
    </w:p>
    <w:p w:rsidR="003B0ADC" w:rsidRDefault="003B0ADC"/>
    <w:p w:rsidR="005A0A12" w:rsidRDefault="005A0A12" w:rsidP="00557227">
      <w:pPr>
        <w:tabs>
          <w:tab w:val="left" w:pos="180"/>
        </w:tabs>
        <w:ind w:left="180" w:hanging="180"/>
      </w:pPr>
      <w:r>
        <w:t>•</w:t>
      </w:r>
      <w:r>
        <w:tab/>
        <w:t xml:space="preserve">Supporting data for the hydraulic conductivity </w:t>
      </w:r>
      <w:r w:rsidR="007A6451">
        <w:t>were</w:t>
      </w:r>
      <w:r>
        <w:t xml:space="preserve"> not provided. An average value was used, which is</w:t>
      </w:r>
      <w:r w:rsidR="00277356">
        <w:t xml:space="preserve"> not necessarily conservative. There were n</w:t>
      </w:r>
      <w:r>
        <w:t xml:space="preserve">o sensitivity tests for </w:t>
      </w:r>
      <w:r>
        <w:rPr>
          <w:i/>
        </w:rPr>
        <w:t>K</w:t>
      </w:r>
      <w:r>
        <w:t>.</w:t>
      </w:r>
    </w:p>
    <w:p w:rsidR="003B0ADC" w:rsidRDefault="003B0ADC" w:rsidP="00557227">
      <w:pPr>
        <w:tabs>
          <w:tab w:val="left" w:pos="180"/>
        </w:tabs>
        <w:ind w:left="180" w:hanging="180"/>
      </w:pPr>
    </w:p>
    <w:p w:rsidR="005A0A12" w:rsidRDefault="005A0A12" w:rsidP="00557227">
      <w:pPr>
        <w:tabs>
          <w:tab w:val="left" w:pos="180"/>
        </w:tabs>
        <w:ind w:left="180" w:hanging="180"/>
      </w:pPr>
      <w:r>
        <w:t>•</w:t>
      </w:r>
      <w:r>
        <w:tab/>
        <w:t xml:space="preserve">Because only the dispersivities were varied when calibrating the models, the solutions derived different values of </w:t>
      </w:r>
      <w:r>
        <w:rPr>
          <w:rFonts w:ascii="Symbol" w:hAnsi="Symbol"/>
          <w:i/>
        </w:rPr>
        <w:t></w:t>
      </w:r>
      <w:r>
        <w:t xml:space="preserve"> for each contaminant. The range of variation was more than a factor of 10. Dispersivity is a characteristic of the aquifer, and </w:t>
      </w:r>
      <w:r w:rsidR="00277356">
        <w:t xml:space="preserve">it </w:t>
      </w:r>
      <w:r>
        <w:t>should not be a function of the solute.</w:t>
      </w:r>
    </w:p>
    <w:p w:rsidR="003B0ADC" w:rsidRDefault="003B0ADC" w:rsidP="00557227">
      <w:pPr>
        <w:tabs>
          <w:tab w:val="left" w:pos="180"/>
        </w:tabs>
        <w:ind w:left="180" w:hanging="180"/>
      </w:pPr>
    </w:p>
    <w:p w:rsidR="005A0A12" w:rsidRDefault="005A0A12" w:rsidP="00557227">
      <w:pPr>
        <w:tabs>
          <w:tab w:val="left" w:pos="180"/>
        </w:tabs>
        <w:ind w:left="180" w:hanging="180"/>
      </w:pPr>
      <w:r>
        <w:lastRenderedPageBreak/>
        <w:t>•</w:t>
      </w:r>
      <w:r>
        <w:tab/>
      </w:r>
      <w:r w:rsidR="00710DC2">
        <w:t>The modeling was predicated on only two rounds of sampling: one for the source concentrations (1997) and one for the calibration point concentrations (2009).</w:t>
      </w:r>
      <w:r w:rsidR="008C20C4">
        <w:t xml:space="preserve"> However, there was a large variability in the </w:t>
      </w:r>
      <w:r w:rsidR="00710DC2">
        <w:t>groundwater concentrations,</w:t>
      </w:r>
      <w:r w:rsidR="008C20C4">
        <w:t xml:space="preserve"> and selecting a single data point </w:t>
      </w:r>
      <w:r w:rsidR="00710DC2">
        <w:t>introduces a sensitivity that was not tested.</w:t>
      </w:r>
    </w:p>
    <w:p w:rsidR="003B0ADC" w:rsidRDefault="003B0ADC" w:rsidP="00557227">
      <w:pPr>
        <w:tabs>
          <w:tab w:val="left" w:pos="180"/>
        </w:tabs>
        <w:ind w:left="180" w:hanging="180"/>
      </w:pPr>
    </w:p>
    <w:p w:rsidR="003B0ADC" w:rsidRDefault="00710DC2" w:rsidP="00557227">
      <w:pPr>
        <w:tabs>
          <w:tab w:val="left" w:pos="180"/>
        </w:tabs>
        <w:ind w:left="180" w:hanging="180"/>
      </w:pPr>
      <w:r>
        <w:t>•</w:t>
      </w:r>
      <w:r>
        <w:tab/>
      </w:r>
      <w:r w:rsidR="00557227">
        <w:t xml:space="preserve">There was clear evidence of source decay, likely a consequence of </w:t>
      </w:r>
      <w:r w:rsidR="00B06D0E">
        <w:t xml:space="preserve">remediation, </w:t>
      </w:r>
      <w:r w:rsidR="00557227">
        <w:t>natural source mass dissolution</w:t>
      </w:r>
      <w:r w:rsidR="00B06D0E">
        <w:t xml:space="preserve">, and biological </w:t>
      </w:r>
      <w:r w:rsidR="00214C84">
        <w:t>degradation</w:t>
      </w:r>
      <w:r w:rsidR="00557227">
        <w:t xml:space="preserve">. For example, benzene decreased in MW-7 by more than two orders of magnitude in 12 </w:t>
      </w:r>
      <w:r w:rsidR="003B0ADC">
        <w:t>yr</w:t>
      </w:r>
      <w:r w:rsidR="00557227">
        <w:t>.</w:t>
      </w:r>
    </w:p>
    <w:p w:rsidR="00710DC2" w:rsidRDefault="00557227" w:rsidP="00557227">
      <w:pPr>
        <w:tabs>
          <w:tab w:val="left" w:pos="180"/>
        </w:tabs>
        <w:ind w:left="180" w:hanging="180"/>
      </w:pPr>
      <w:r>
        <w:t xml:space="preserve"> </w:t>
      </w:r>
    </w:p>
    <w:p w:rsidR="00557227" w:rsidRDefault="00557227" w:rsidP="00557227">
      <w:pPr>
        <w:tabs>
          <w:tab w:val="left" w:pos="180"/>
        </w:tabs>
        <w:ind w:left="180" w:hanging="180"/>
      </w:pPr>
      <w:r>
        <w:t>•</w:t>
      </w:r>
      <w:r>
        <w:tab/>
        <w:t xml:space="preserve">There was no sensitivity testing for </w:t>
      </w:r>
      <w:r>
        <w:rPr>
          <w:rFonts w:ascii="Symbol" w:hAnsi="Symbol"/>
          <w:i/>
        </w:rPr>
        <w:t></w:t>
      </w:r>
      <w:r>
        <w:t>, an important variable.</w:t>
      </w:r>
    </w:p>
    <w:p w:rsidR="003B0ADC" w:rsidRDefault="003B0ADC" w:rsidP="00557227">
      <w:pPr>
        <w:tabs>
          <w:tab w:val="left" w:pos="180"/>
        </w:tabs>
        <w:ind w:left="180" w:hanging="180"/>
      </w:pPr>
    </w:p>
    <w:p w:rsidR="003B0ADC" w:rsidRDefault="003B0ADC" w:rsidP="00557227">
      <w:pPr>
        <w:tabs>
          <w:tab w:val="left" w:pos="180"/>
        </w:tabs>
        <w:ind w:left="180" w:hanging="180"/>
      </w:pPr>
      <w:r>
        <w:t>•</w:t>
      </w:r>
      <w:r>
        <w:tab/>
        <w:t>Fate-and-transport modeling may not be used to demonstrate attainment of the SHS.</w:t>
      </w:r>
    </w:p>
    <w:p w:rsidR="005077AD" w:rsidRDefault="005077AD" w:rsidP="005077AD"/>
    <w:p w:rsidR="005077AD" w:rsidRDefault="005077AD" w:rsidP="005077AD">
      <w:r>
        <w:t xml:space="preserve">The deficiencies in the submitted analysis call for more rigorous modeling. A key </w:t>
      </w:r>
      <w:r w:rsidR="00214C84">
        <w:t>problem</w:t>
      </w:r>
      <w:r>
        <w:t xml:space="preserve"> is the application of QD to a site with a decaying source. QD is not an appropriate model in this circumstance.</w:t>
      </w:r>
    </w:p>
    <w:p w:rsidR="00311813" w:rsidRDefault="00311813" w:rsidP="00557227">
      <w:pPr>
        <w:tabs>
          <w:tab w:val="left" w:pos="180"/>
        </w:tabs>
        <w:ind w:left="180" w:hanging="180"/>
      </w:pPr>
    </w:p>
    <w:p w:rsidR="00DF6A30" w:rsidRDefault="00DF6A30">
      <w:pPr>
        <w:sectPr w:rsidR="00DF6A30" w:rsidSect="008858A3">
          <w:footerReference w:type="default" r:id="rId9"/>
          <w:pgSz w:w="12240" w:h="15840"/>
          <w:pgMar w:top="1440" w:right="1440" w:bottom="1440" w:left="1440" w:header="720" w:footer="720" w:gutter="0"/>
          <w:pgNumType w:start="41"/>
          <w:cols w:space="720"/>
          <w:docGrid w:linePitch="360"/>
        </w:sectPr>
      </w:pPr>
    </w:p>
    <w:p w:rsidR="0018553D" w:rsidRDefault="00214C84">
      <w:r>
        <w:rPr>
          <w:noProof/>
        </w:rPr>
        <w:lastRenderedPageBreak/>
        <w:drawing>
          <wp:inline distT="0" distB="0" distL="0" distR="0">
            <wp:extent cx="6865620" cy="5164718"/>
            <wp:effectExtent l="19050" t="19050" r="11430" b="17145"/>
            <wp:docPr id="1"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3010" cy="5170277"/>
                    </a:xfrm>
                    <a:prstGeom prst="rect">
                      <a:avLst/>
                    </a:prstGeom>
                    <a:noFill/>
                    <a:ln w="6350" cmpd="sng">
                      <a:solidFill>
                        <a:srgbClr val="000000"/>
                      </a:solidFill>
                      <a:miter lim="800000"/>
                      <a:headEnd/>
                      <a:tailEnd/>
                    </a:ln>
                    <a:effectLst/>
                  </pic:spPr>
                </pic:pic>
              </a:graphicData>
            </a:graphic>
          </wp:inline>
        </w:drawing>
      </w:r>
    </w:p>
    <w:p w:rsidR="0018553D" w:rsidRDefault="00CC1320" w:rsidP="003E2684">
      <w:pPr>
        <w:ind w:right="3600"/>
      </w:pPr>
      <w:r w:rsidRPr="002E0556">
        <w:rPr>
          <w:b/>
        </w:rPr>
        <w:t xml:space="preserve">Figure </w:t>
      </w:r>
      <w:r w:rsidR="001F2841">
        <w:rPr>
          <w:b/>
        </w:rPr>
        <w:t>A4</w:t>
      </w:r>
      <w:r w:rsidR="003B0ADC">
        <w:rPr>
          <w:b/>
        </w:rPr>
        <w:t>.2-</w:t>
      </w:r>
      <w:r w:rsidRPr="002E0556">
        <w:rPr>
          <w:b/>
        </w:rPr>
        <w:t xml:space="preserve">1. </w:t>
      </w:r>
      <w:r>
        <w:t xml:space="preserve">Site map. The USTs were in the vicinity of MW-7. </w:t>
      </w:r>
      <w:r w:rsidR="002E0556">
        <w:t>Potentiometric surface contours are shown. Wells are color-coded with respect to the 2009 level of contamination, decreasing from red to orange to yellow to green. G</w:t>
      </w:r>
      <w:r w:rsidR="003B0ADC">
        <w:t>reen wells are below Statewide h</w:t>
      </w:r>
      <w:r w:rsidR="002E0556">
        <w:t>ealt</w:t>
      </w:r>
      <w:r w:rsidR="003B0ADC">
        <w:t>h standard MSCs</w:t>
      </w:r>
      <w:r w:rsidR="002E0556">
        <w:t>.</w:t>
      </w:r>
    </w:p>
    <w:p w:rsidR="00311813" w:rsidRDefault="00311813" w:rsidP="003E2684">
      <w:pPr>
        <w:ind w:right="3600"/>
        <w:sectPr w:rsidR="00311813" w:rsidSect="00CC1320">
          <w:footerReference w:type="default" r:id="rId11"/>
          <w:pgSz w:w="15840" w:h="12240" w:orient="landscape"/>
          <w:pgMar w:top="1440" w:right="1440" w:bottom="1440" w:left="1440" w:header="720" w:footer="720" w:gutter="0"/>
          <w:cols w:space="720"/>
          <w:docGrid w:linePitch="360"/>
        </w:sectPr>
      </w:pPr>
    </w:p>
    <w:p w:rsidR="0018553D" w:rsidRPr="00BE55FA" w:rsidRDefault="0018553D"/>
    <w:p w:rsidR="00557227" w:rsidRPr="00BE55FA" w:rsidRDefault="001F2841" w:rsidP="00BE55FA">
      <w:pPr>
        <w:tabs>
          <w:tab w:val="left" w:pos="900"/>
        </w:tabs>
        <w:rPr>
          <w:rFonts w:ascii="Arial" w:hAnsi="Arial" w:cs="Arial"/>
          <w:b/>
          <w:sz w:val="26"/>
        </w:rPr>
      </w:pPr>
      <w:r>
        <w:rPr>
          <w:rFonts w:ascii="Arial" w:hAnsi="Arial" w:cs="Arial"/>
          <w:b/>
          <w:sz w:val="26"/>
        </w:rPr>
        <w:t>A4</w:t>
      </w:r>
      <w:r w:rsidR="00BE55FA" w:rsidRPr="00BE55FA">
        <w:rPr>
          <w:rFonts w:ascii="Arial" w:hAnsi="Arial" w:cs="Arial"/>
          <w:b/>
          <w:sz w:val="26"/>
        </w:rPr>
        <w:t>.2.3.</w:t>
      </w:r>
      <w:r w:rsidR="00BE55FA" w:rsidRPr="00BE55FA">
        <w:rPr>
          <w:rFonts w:ascii="Arial" w:hAnsi="Arial" w:cs="Arial"/>
          <w:b/>
          <w:sz w:val="26"/>
        </w:rPr>
        <w:tab/>
        <w:t>Data Analysis</w:t>
      </w:r>
    </w:p>
    <w:p w:rsidR="00BE55FA" w:rsidRDefault="00AF05EC">
      <w:r>
        <w:t>In a case like this, with a long history of groundwater monitoring an</w:t>
      </w:r>
      <w:r w:rsidR="00D042A4">
        <w:t>d</w:t>
      </w:r>
      <w:r>
        <w:t xml:space="preserve"> </w:t>
      </w:r>
      <w:r w:rsidR="008C20C4">
        <w:t>signs</w:t>
      </w:r>
      <w:r>
        <w:t xml:space="preserve"> of source decay, </w:t>
      </w:r>
      <w:r w:rsidR="002E477E">
        <w:t>the first step is</w:t>
      </w:r>
      <w:r>
        <w:t xml:space="preserve"> to graph contaminant trends over time. Visualizing the data allows us to interpret whether there has been source decay and how concentrations have changed downgradient. </w:t>
      </w:r>
    </w:p>
    <w:p w:rsidR="00AF05EC" w:rsidRDefault="00AF05EC"/>
    <w:p w:rsidR="00AF05EC" w:rsidRDefault="002346F5">
      <w:r>
        <w:t xml:space="preserve">Figure </w:t>
      </w:r>
      <w:r w:rsidR="001F2841">
        <w:t>A4</w:t>
      </w:r>
      <w:r w:rsidR="00695635">
        <w:t>.2-</w:t>
      </w:r>
      <w:r>
        <w:t>2</w:t>
      </w:r>
      <w:r w:rsidR="00AF05EC">
        <w:t xml:space="preserve"> shows benzene data for</w:t>
      </w:r>
      <w:r w:rsidR="002E477E">
        <w:t xml:space="preserve"> MW-7 (the source well), MW-3 (</w:t>
      </w:r>
      <w:r w:rsidR="00AF05EC">
        <w:t>35</w:t>
      </w:r>
      <w:r w:rsidR="00695635">
        <w:t>′</w:t>
      </w:r>
      <w:r w:rsidR="002E477E">
        <w:t xml:space="preserve"> downgradient), and MW-10 (53</w:t>
      </w:r>
      <w:r w:rsidR="00695635">
        <w:t>′</w:t>
      </w:r>
      <w:r w:rsidR="00AF05EC">
        <w:t xml:space="preserve"> downgradient). </w:t>
      </w:r>
      <w:r w:rsidR="008C20C4">
        <w:t xml:space="preserve">The </w:t>
      </w:r>
      <w:r w:rsidR="00AF05EC">
        <w:t>concentration</w:t>
      </w:r>
      <w:r w:rsidR="006B2475">
        <w:t xml:space="preserve">s </w:t>
      </w:r>
      <w:r w:rsidR="006C3D76">
        <w:t>(</w:t>
      </w:r>
      <w:r w:rsidR="006C3D76" w:rsidRPr="00102F11">
        <w:rPr>
          <w:i/>
        </w:rPr>
        <w:t>C</w:t>
      </w:r>
      <w:r w:rsidR="006C3D76">
        <w:t xml:space="preserve">) </w:t>
      </w:r>
      <w:r w:rsidR="006B2475">
        <w:t>are</w:t>
      </w:r>
      <w:r w:rsidR="00AF05EC">
        <w:t xml:space="preserve"> on a logarithmic scale. All three wells show a</w:t>
      </w:r>
      <w:r w:rsidR="001E11F8">
        <w:t>n</w:t>
      </w:r>
      <w:r w:rsidR="00AF05EC">
        <w:t xml:space="preserve"> approximately linear decline in log(</w:t>
      </w:r>
      <w:r w:rsidR="00AF05EC">
        <w:rPr>
          <w:i/>
        </w:rPr>
        <w:t>C</w:t>
      </w:r>
      <w:r w:rsidR="00AF05EC">
        <w:t>)</w:t>
      </w:r>
      <w:r w:rsidR="00443B65">
        <w:t xml:space="preserve">, </w:t>
      </w:r>
      <w:r w:rsidR="006B2475">
        <w:t>consistent with</w:t>
      </w:r>
      <w:r w:rsidR="00443B65">
        <w:t xml:space="preserve"> first-order decay. </w:t>
      </w:r>
      <w:r w:rsidR="00771713">
        <w:t xml:space="preserve">The </w:t>
      </w:r>
      <w:r w:rsidR="001E11F8">
        <w:t>decreasing</w:t>
      </w:r>
      <w:r w:rsidR="00771713">
        <w:t xml:space="preserve"> concentrations at MW-7 demonstrate that</w:t>
      </w:r>
      <w:r w:rsidR="00443B65">
        <w:t xml:space="preserve"> the source is not constant. Furthermore, the trends at </w:t>
      </w:r>
      <w:r w:rsidR="00771713">
        <w:t xml:space="preserve">MW-7, </w:t>
      </w:r>
      <w:r w:rsidR="00443B65">
        <w:t>MW-3</w:t>
      </w:r>
      <w:r w:rsidR="00771713">
        <w:t>,</w:t>
      </w:r>
      <w:r w:rsidR="00443B65">
        <w:t xml:space="preserve"> and MW-10 are roughly parallel, implying that the</w:t>
      </w:r>
      <w:r w:rsidR="00771713">
        <w:t xml:space="preserve"> decline in concentrations at downgradient points</w:t>
      </w:r>
      <w:r w:rsidR="00443B65">
        <w:t xml:space="preserve"> </w:t>
      </w:r>
      <w:r w:rsidR="0004197F">
        <w:t xml:space="preserve">also </w:t>
      </w:r>
      <w:r w:rsidR="00771713">
        <w:t>reflect</w:t>
      </w:r>
      <w:r w:rsidR="00443B65">
        <w:t xml:space="preserve"> source decay. The </w:t>
      </w:r>
      <w:r w:rsidR="00771713">
        <w:t>concentration</w:t>
      </w:r>
      <w:r w:rsidR="00443B65">
        <w:t xml:space="preserve"> offsets of MW-3 and MW-10 are a consequence of processes that </w:t>
      </w:r>
      <w:r w:rsidR="001E11F8">
        <w:t>attenuate the contamination</w:t>
      </w:r>
      <w:r w:rsidR="00443B65">
        <w:t xml:space="preserve"> with transport, such as dispersion, adsorption, and biodegradation. Therefore, this figure illustrates </w:t>
      </w:r>
      <w:r w:rsidR="006C3D76">
        <w:t>two</w:t>
      </w:r>
      <w:r w:rsidR="00443B65">
        <w:t xml:space="preserve"> </w:t>
      </w:r>
      <w:r w:rsidR="002E477E">
        <w:t>effects</w:t>
      </w:r>
      <w:r w:rsidR="00443B65">
        <w:t>: (1) sou</w:t>
      </w:r>
      <w:r w:rsidR="001E11F8">
        <w:t>rce decay</w:t>
      </w:r>
      <w:r w:rsidR="00443B65">
        <w:t xml:space="preserve"> and (2) </w:t>
      </w:r>
      <w:r w:rsidR="00771713">
        <w:t>transport</w:t>
      </w:r>
      <w:r w:rsidR="001E11F8">
        <w:t xml:space="preserve"> decay of the plume</w:t>
      </w:r>
      <w:r w:rsidR="00443B65">
        <w:t xml:space="preserve">. </w:t>
      </w:r>
    </w:p>
    <w:p w:rsidR="00443B65" w:rsidRDefault="00443B65"/>
    <w:p w:rsidR="00443B65" w:rsidRDefault="00E52A1A">
      <w:r>
        <w:t xml:space="preserve">We can determine linear least squares regressions for the well data. As suggested by </w:t>
      </w:r>
      <w:r>
        <w:rPr>
          <w:i/>
        </w:rPr>
        <w:t>Newell</w:t>
      </w:r>
      <w:r>
        <w:t xml:space="preserve"> et al. [2002], it is beneficial to derive lower and upper confidence </w:t>
      </w:r>
      <w:r w:rsidR="006763AF">
        <w:t>levels</w:t>
      </w:r>
      <w:r>
        <w:t xml:space="preserve"> for the best-fit slopes. </w:t>
      </w:r>
      <w:r w:rsidR="0000265A">
        <w:t xml:space="preserve">(This can be accomplished by using the LINEST function in Microsoft Excel. The (1 – </w:t>
      </w:r>
      <w:r w:rsidR="0000265A">
        <w:rPr>
          <w:rFonts w:ascii="Symbol" w:hAnsi="Symbol"/>
          <w:i/>
        </w:rPr>
        <w:t></w:t>
      </w:r>
      <w:r w:rsidR="0000265A">
        <w:t xml:space="preserve">) confidence interval of the slope is given by </w:t>
      </w:r>
      <w:r w:rsidR="00ED6201">
        <w:t>±</w:t>
      </w:r>
      <w:r w:rsidR="0000265A">
        <w:rPr>
          <w:i/>
        </w:rPr>
        <w:t>t</w:t>
      </w:r>
      <w:r w:rsidR="0000265A">
        <w:rPr>
          <w:rFonts w:ascii="Symbol" w:hAnsi="Symbol"/>
          <w:i/>
          <w:vertAlign w:val="subscript"/>
        </w:rPr>
        <w:t></w:t>
      </w:r>
      <w:r w:rsidR="0000265A">
        <w:rPr>
          <w:vertAlign w:val="subscript"/>
        </w:rPr>
        <w:t>/2</w:t>
      </w:r>
      <w:r w:rsidR="0000265A">
        <w:rPr>
          <w:rFonts w:ascii="Symbol" w:hAnsi="Symbol"/>
          <w:i/>
        </w:rPr>
        <w:t></w:t>
      </w:r>
      <w:r w:rsidR="0000265A">
        <w:rPr>
          <w:i/>
          <w:vertAlign w:val="subscript"/>
        </w:rPr>
        <w:t>m</w:t>
      </w:r>
      <w:r w:rsidR="0000265A">
        <w:t xml:space="preserve">, where </w:t>
      </w:r>
      <w:r w:rsidR="0000265A">
        <w:rPr>
          <w:i/>
        </w:rPr>
        <w:t>t</w:t>
      </w:r>
      <w:r w:rsidR="0000265A">
        <w:rPr>
          <w:rFonts w:ascii="Symbol" w:hAnsi="Symbol"/>
          <w:i/>
          <w:vertAlign w:val="subscript"/>
        </w:rPr>
        <w:t></w:t>
      </w:r>
      <w:r w:rsidR="0000265A">
        <w:rPr>
          <w:vertAlign w:val="subscript"/>
        </w:rPr>
        <w:t>/2</w:t>
      </w:r>
      <w:r w:rsidR="0000265A">
        <w:t xml:space="preserve"> is the student’s </w:t>
      </w:r>
      <w:r w:rsidR="0000265A">
        <w:rPr>
          <w:i/>
        </w:rPr>
        <w:t>t</w:t>
      </w:r>
      <w:r w:rsidR="0000265A">
        <w:t xml:space="preserve"> probability (Excel function TINV) and </w:t>
      </w:r>
      <w:r w:rsidR="0000265A">
        <w:rPr>
          <w:rFonts w:ascii="Symbol" w:hAnsi="Symbol"/>
          <w:i/>
        </w:rPr>
        <w:t></w:t>
      </w:r>
      <w:r w:rsidR="0000265A">
        <w:rPr>
          <w:i/>
          <w:vertAlign w:val="subscript"/>
        </w:rPr>
        <w:t>m</w:t>
      </w:r>
      <w:r w:rsidR="0000265A">
        <w:t xml:space="preserve"> is the standard error of the slope (</w:t>
      </w:r>
      <w:r w:rsidR="0000265A">
        <w:rPr>
          <w:i/>
        </w:rPr>
        <w:t>m</w:t>
      </w:r>
      <w:r w:rsidR="0000265A">
        <w:t>).)</w:t>
      </w:r>
      <w:r w:rsidR="00ED6201">
        <w:t xml:space="preserve"> These results are given below.</w:t>
      </w:r>
    </w:p>
    <w:p w:rsidR="00ED6201" w:rsidRDefault="00ED6201"/>
    <w:p w:rsidR="0059141B" w:rsidRPr="0059141B" w:rsidRDefault="00695635">
      <w:r>
        <w:rPr>
          <w:b/>
        </w:rPr>
        <w:t>Table A4.2-</w:t>
      </w:r>
      <w:r w:rsidR="0059141B">
        <w:rPr>
          <w:b/>
        </w:rPr>
        <w:t>1.</w:t>
      </w:r>
      <w:r w:rsidR="0059141B">
        <w:t xml:space="preserve"> Best-fit parameters to monitoring well benzene data</w:t>
      </w:r>
    </w:p>
    <w:tbl>
      <w:tblPr>
        <w:tblStyle w:val="TableStyleCDB"/>
        <w:tblW w:w="0" w:type="auto"/>
        <w:tblLook w:val="01E0" w:firstRow="1" w:lastRow="1" w:firstColumn="1" w:lastColumn="1" w:noHBand="0" w:noVBand="0"/>
      </w:tblPr>
      <w:tblGrid>
        <w:gridCol w:w="976"/>
        <w:gridCol w:w="456"/>
        <w:gridCol w:w="1383"/>
        <w:gridCol w:w="1423"/>
        <w:gridCol w:w="1410"/>
        <w:gridCol w:w="636"/>
      </w:tblGrid>
      <w:tr w:rsidR="00DD1C9D" w:rsidRPr="006763AF" w:rsidTr="00442121">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tcBorders>
            <w:shd w:val="clear" w:color="auto" w:fill="F2F2F2" w:themeFill="background1" w:themeFillShade="F2"/>
          </w:tcPr>
          <w:p w:rsidR="00DD1C9D" w:rsidRPr="006763AF" w:rsidRDefault="00DD1C9D">
            <w:pPr>
              <w:rPr>
                <w:b/>
              </w:rPr>
            </w:pPr>
            <w:r w:rsidRPr="006763AF">
              <w:rPr>
                <w:b/>
              </w:rPr>
              <w:t>Well</w:t>
            </w:r>
          </w:p>
        </w:tc>
        <w:tc>
          <w:tcPr>
            <w:tcW w:w="0" w:type="auto"/>
            <w:shd w:val="clear" w:color="auto" w:fill="F2F2F2" w:themeFill="background1" w:themeFillShade="F2"/>
          </w:tcPr>
          <w:p w:rsidR="00DD1C9D" w:rsidRPr="006763AF" w:rsidRDefault="00DD1C9D" w:rsidP="006763AF">
            <w:pPr>
              <w:jc w:val="center"/>
              <w:rPr>
                <w:b/>
                <w:i/>
              </w:rPr>
            </w:pPr>
            <w:r>
              <w:rPr>
                <w:b/>
                <w:i/>
              </w:rPr>
              <w:t>N</w:t>
            </w:r>
          </w:p>
        </w:tc>
        <w:tc>
          <w:tcPr>
            <w:tcW w:w="0" w:type="auto"/>
            <w:tcBorders>
              <w:top w:val="single" w:sz="4" w:space="0" w:color="auto"/>
            </w:tcBorders>
            <w:shd w:val="clear" w:color="auto" w:fill="F2F2F2" w:themeFill="background1" w:themeFillShade="F2"/>
          </w:tcPr>
          <w:p w:rsidR="002E477E" w:rsidRDefault="002E477E" w:rsidP="006763AF">
            <w:pPr>
              <w:jc w:val="center"/>
              <w:rPr>
                <w:b/>
              </w:rPr>
            </w:pPr>
            <w:r>
              <w:rPr>
                <w:b/>
              </w:rPr>
              <w:t>Best-Fit</w:t>
            </w:r>
          </w:p>
          <w:p w:rsidR="00DD1C9D" w:rsidRPr="006763AF" w:rsidRDefault="00DD1C9D" w:rsidP="006763AF">
            <w:pPr>
              <w:jc w:val="center"/>
              <w:rPr>
                <w:b/>
              </w:rPr>
            </w:pPr>
            <w:r>
              <w:rPr>
                <w:b/>
              </w:rPr>
              <w:t>Slope (yr</w:t>
            </w:r>
            <w:r>
              <w:rPr>
                <w:b/>
                <w:vertAlign w:val="superscript"/>
              </w:rPr>
              <w:t>–1</w:t>
            </w:r>
            <w:r>
              <w:rPr>
                <w:b/>
              </w:rPr>
              <w:t>)</w:t>
            </w:r>
          </w:p>
        </w:tc>
        <w:tc>
          <w:tcPr>
            <w:tcW w:w="0" w:type="auto"/>
            <w:shd w:val="clear" w:color="auto" w:fill="F2F2F2" w:themeFill="background1" w:themeFillShade="F2"/>
          </w:tcPr>
          <w:p w:rsidR="00DD1C9D" w:rsidRDefault="00DD1C9D" w:rsidP="006763AF">
            <w:pPr>
              <w:jc w:val="center"/>
              <w:rPr>
                <w:b/>
              </w:rPr>
            </w:pPr>
            <w:r>
              <w:rPr>
                <w:b/>
              </w:rPr>
              <w:t>Lower 90%</w:t>
            </w:r>
          </w:p>
          <w:p w:rsidR="00DD1C9D" w:rsidRPr="006763AF" w:rsidRDefault="00DD1C9D" w:rsidP="006763AF">
            <w:pPr>
              <w:jc w:val="center"/>
              <w:rPr>
                <w:b/>
              </w:rPr>
            </w:pPr>
            <w:r>
              <w:rPr>
                <w:b/>
              </w:rPr>
              <w:t>CL (yr</w:t>
            </w:r>
            <w:r>
              <w:rPr>
                <w:b/>
                <w:vertAlign w:val="superscript"/>
              </w:rPr>
              <w:t>–1</w:t>
            </w:r>
            <w:r>
              <w:rPr>
                <w:b/>
              </w:rPr>
              <w:t>)</w:t>
            </w:r>
          </w:p>
        </w:tc>
        <w:tc>
          <w:tcPr>
            <w:tcW w:w="0" w:type="auto"/>
            <w:shd w:val="clear" w:color="auto" w:fill="F2F2F2" w:themeFill="background1" w:themeFillShade="F2"/>
          </w:tcPr>
          <w:p w:rsidR="00DD1C9D" w:rsidRDefault="00DD1C9D" w:rsidP="006763AF">
            <w:pPr>
              <w:jc w:val="center"/>
              <w:rPr>
                <w:b/>
              </w:rPr>
            </w:pPr>
            <w:r>
              <w:rPr>
                <w:b/>
              </w:rPr>
              <w:t>Upper 90%</w:t>
            </w:r>
          </w:p>
          <w:p w:rsidR="00DD1C9D" w:rsidRPr="006763AF" w:rsidRDefault="00DD1C9D" w:rsidP="006763AF">
            <w:pPr>
              <w:jc w:val="center"/>
              <w:rPr>
                <w:b/>
              </w:rPr>
            </w:pPr>
            <w:r>
              <w:rPr>
                <w:b/>
              </w:rPr>
              <w:t>CL (yr</w:t>
            </w:r>
            <w:r>
              <w:rPr>
                <w:b/>
                <w:vertAlign w:val="superscript"/>
              </w:rPr>
              <w:t>–1</w:t>
            </w:r>
            <w:r>
              <w:rPr>
                <w:b/>
              </w:rPr>
              <w:t>)</w:t>
            </w:r>
          </w:p>
        </w:tc>
        <w:tc>
          <w:tcPr>
            <w:tcW w:w="0" w:type="auto"/>
            <w:shd w:val="clear" w:color="auto" w:fill="F2F2F2" w:themeFill="background1" w:themeFillShade="F2"/>
          </w:tcPr>
          <w:p w:rsidR="00DD1C9D" w:rsidRPr="006763AF" w:rsidRDefault="00DD1C9D" w:rsidP="006763AF">
            <w:pPr>
              <w:jc w:val="center"/>
              <w:rPr>
                <w:b/>
              </w:rPr>
            </w:pPr>
            <w:r>
              <w:rPr>
                <w:b/>
                <w:i/>
              </w:rPr>
              <w:t>r</w:t>
            </w:r>
            <w:r>
              <w:rPr>
                <w:b/>
                <w:vertAlign w:val="superscript"/>
              </w:rPr>
              <w:t>2</w:t>
            </w:r>
          </w:p>
        </w:tc>
      </w:tr>
      <w:tr w:rsidR="00DD1C9D" w:rsidRPr="006763AF" w:rsidTr="00102F11">
        <w:tc>
          <w:tcPr>
            <w:tcW w:w="0" w:type="auto"/>
            <w:shd w:val="clear" w:color="auto" w:fill="auto"/>
          </w:tcPr>
          <w:p w:rsidR="00DD1C9D" w:rsidRPr="006763AF" w:rsidRDefault="00DD1C9D">
            <w:r>
              <w:t>MW-7</w:t>
            </w:r>
          </w:p>
        </w:tc>
        <w:tc>
          <w:tcPr>
            <w:tcW w:w="0" w:type="auto"/>
          </w:tcPr>
          <w:p w:rsidR="00DD1C9D" w:rsidRPr="006763AF" w:rsidRDefault="00DD1C9D" w:rsidP="006763AF">
            <w:pPr>
              <w:jc w:val="center"/>
            </w:pPr>
            <w:r>
              <w:t>33</w:t>
            </w:r>
          </w:p>
        </w:tc>
        <w:tc>
          <w:tcPr>
            <w:tcW w:w="0" w:type="auto"/>
            <w:shd w:val="clear" w:color="auto" w:fill="FDE9D9" w:themeFill="accent6" w:themeFillTint="33"/>
          </w:tcPr>
          <w:p w:rsidR="00DD1C9D" w:rsidRPr="006763AF" w:rsidRDefault="00DD1C9D" w:rsidP="006763AF">
            <w:pPr>
              <w:jc w:val="center"/>
            </w:pPr>
            <w:r>
              <w:t>0.35</w:t>
            </w:r>
          </w:p>
        </w:tc>
        <w:tc>
          <w:tcPr>
            <w:tcW w:w="0" w:type="auto"/>
          </w:tcPr>
          <w:p w:rsidR="00DD1C9D" w:rsidRPr="006763AF" w:rsidRDefault="00DD1C9D" w:rsidP="006763AF">
            <w:pPr>
              <w:jc w:val="center"/>
            </w:pPr>
            <w:r>
              <w:t>0.30</w:t>
            </w:r>
          </w:p>
        </w:tc>
        <w:tc>
          <w:tcPr>
            <w:tcW w:w="0" w:type="auto"/>
          </w:tcPr>
          <w:p w:rsidR="00DD1C9D" w:rsidRPr="006763AF" w:rsidRDefault="00DD1C9D" w:rsidP="006763AF">
            <w:pPr>
              <w:jc w:val="center"/>
            </w:pPr>
            <w:r>
              <w:t>0.40</w:t>
            </w:r>
          </w:p>
        </w:tc>
        <w:tc>
          <w:tcPr>
            <w:tcW w:w="0" w:type="auto"/>
          </w:tcPr>
          <w:p w:rsidR="00DD1C9D" w:rsidRPr="006763AF" w:rsidRDefault="00DD1C9D" w:rsidP="006763AF">
            <w:pPr>
              <w:jc w:val="center"/>
            </w:pPr>
            <w:r>
              <w:t>0.82</w:t>
            </w:r>
          </w:p>
        </w:tc>
      </w:tr>
      <w:tr w:rsidR="00DD1C9D" w:rsidRPr="006763AF" w:rsidTr="00102F11">
        <w:tc>
          <w:tcPr>
            <w:tcW w:w="0" w:type="auto"/>
            <w:shd w:val="clear" w:color="auto" w:fill="auto"/>
          </w:tcPr>
          <w:p w:rsidR="00DD1C9D" w:rsidRPr="006763AF" w:rsidRDefault="00DD1C9D">
            <w:r>
              <w:t>MW-3</w:t>
            </w:r>
          </w:p>
        </w:tc>
        <w:tc>
          <w:tcPr>
            <w:tcW w:w="0" w:type="auto"/>
          </w:tcPr>
          <w:p w:rsidR="00DD1C9D" w:rsidRPr="006763AF" w:rsidRDefault="00DD1C9D" w:rsidP="006763AF">
            <w:pPr>
              <w:jc w:val="center"/>
            </w:pPr>
            <w:r>
              <w:t>33</w:t>
            </w:r>
          </w:p>
        </w:tc>
        <w:tc>
          <w:tcPr>
            <w:tcW w:w="0" w:type="auto"/>
            <w:shd w:val="clear" w:color="auto" w:fill="FDE9D9" w:themeFill="accent6" w:themeFillTint="33"/>
          </w:tcPr>
          <w:p w:rsidR="00DD1C9D" w:rsidRPr="006763AF" w:rsidRDefault="00DD1C9D" w:rsidP="006763AF">
            <w:pPr>
              <w:jc w:val="center"/>
            </w:pPr>
            <w:r>
              <w:t>0.26</w:t>
            </w:r>
          </w:p>
        </w:tc>
        <w:tc>
          <w:tcPr>
            <w:tcW w:w="0" w:type="auto"/>
          </w:tcPr>
          <w:p w:rsidR="00DD1C9D" w:rsidRPr="006763AF" w:rsidRDefault="00DD1C9D" w:rsidP="006763AF">
            <w:pPr>
              <w:jc w:val="center"/>
            </w:pPr>
            <w:r>
              <w:t>0.21</w:t>
            </w:r>
          </w:p>
        </w:tc>
        <w:tc>
          <w:tcPr>
            <w:tcW w:w="0" w:type="auto"/>
          </w:tcPr>
          <w:p w:rsidR="00DD1C9D" w:rsidRPr="006763AF" w:rsidRDefault="00DD1C9D" w:rsidP="006763AF">
            <w:pPr>
              <w:jc w:val="center"/>
            </w:pPr>
            <w:r>
              <w:t>0.30</w:t>
            </w:r>
          </w:p>
        </w:tc>
        <w:tc>
          <w:tcPr>
            <w:tcW w:w="0" w:type="auto"/>
          </w:tcPr>
          <w:p w:rsidR="00DD1C9D" w:rsidRPr="006763AF" w:rsidRDefault="00DD1C9D" w:rsidP="006763AF">
            <w:pPr>
              <w:jc w:val="center"/>
            </w:pPr>
            <w:r>
              <w:t>0.77</w:t>
            </w:r>
          </w:p>
        </w:tc>
      </w:tr>
      <w:tr w:rsidR="00DD1C9D" w:rsidRPr="006763AF" w:rsidTr="00102F11">
        <w:tc>
          <w:tcPr>
            <w:tcW w:w="0" w:type="auto"/>
            <w:tcBorders>
              <w:bottom w:val="single" w:sz="4" w:space="0" w:color="auto"/>
            </w:tcBorders>
            <w:shd w:val="clear" w:color="auto" w:fill="auto"/>
          </w:tcPr>
          <w:p w:rsidR="00DD1C9D" w:rsidRPr="006763AF" w:rsidRDefault="00DD1C9D">
            <w:r>
              <w:t>MW-10</w:t>
            </w:r>
          </w:p>
        </w:tc>
        <w:tc>
          <w:tcPr>
            <w:tcW w:w="0" w:type="auto"/>
          </w:tcPr>
          <w:p w:rsidR="00DD1C9D" w:rsidRPr="006763AF" w:rsidRDefault="00DD1C9D" w:rsidP="006763AF">
            <w:pPr>
              <w:jc w:val="center"/>
            </w:pPr>
            <w:r>
              <w:t>15</w:t>
            </w:r>
          </w:p>
        </w:tc>
        <w:tc>
          <w:tcPr>
            <w:tcW w:w="0" w:type="auto"/>
            <w:tcBorders>
              <w:bottom w:val="single" w:sz="4" w:space="0" w:color="auto"/>
            </w:tcBorders>
            <w:shd w:val="clear" w:color="auto" w:fill="FDE9D9" w:themeFill="accent6" w:themeFillTint="33"/>
          </w:tcPr>
          <w:p w:rsidR="00DD1C9D" w:rsidRPr="006763AF" w:rsidRDefault="00DD1C9D" w:rsidP="006763AF">
            <w:pPr>
              <w:jc w:val="center"/>
            </w:pPr>
            <w:r>
              <w:t>0.49</w:t>
            </w:r>
          </w:p>
        </w:tc>
        <w:tc>
          <w:tcPr>
            <w:tcW w:w="0" w:type="auto"/>
          </w:tcPr>
          <w:p w:rsidR="00DD1C9D" w:rsidRPr="006763AF" w:rsidRDefault="00DD1C9D" w:rsidP="006763AF">
            <w:pPr>
              <w:jc w:val="center"/>
            </w:pPr>
            <w:r>
              <w:t>0.23</w:t>
            </w:r>
          </w:p>
        </w:tc>
        <w:tc>
          <w:tcPr>
            <w:tcW w:w="0" w:type="auto"/>
          </w:tcPr>
          <w:p w:rsidR="00DD1C9D" w:rsidRPr="006763AF" w:rsidRDefault="00DD1C9D" w:rsidP="006763AF">
            <w:pPr>
              <w:jc w:val="center"/>
            </w:pPr>
            <w:r>
              <w:t>0.74</w:t>
            </w:r>
          </w:p>
        </w:tc>
        <w:tc>
          <w:tcPr>
            <w:tcW w:w="0" w:type="auto"/>
          </w:tcPr>
          <w:p w:rsidR="00DD1C9D" w:rsidRPr="006763AF" w:rsidRDefault="00DD1C9D" w:rsidP="006763AF">
            <w:pPr>
              <w:jc w:val="center"/>
            </w:pPr>
            <w:r>
              <w:t>0.47</w:t>
            </w:r>
          </w:p>
        </w:tc>
      </w:tr>
    </w:tbl>
    <w:p w:rsidR="00ED6201" w:rsidRPr="00497123" w:rsidRDefault="006763AF">
      <w:pPr>
        <w:rPr>
          <w:sz w:val="20"/>
        </w:rPr>
      </w:pPr>
      <w:r w:rsidRPr="00497123">
        <w:rPr>
          <w:i/>
          <w:sz w:val="20"/>
        </w:rPr>
        <w:t>N</w:t>
      </w:r>
      <w:r w:rsidRPr="00497123">
        <w:rPr>
          <w:sz w:val="20"/>
        </w:rPr>
        <w:t>: number of data points</w:t>
      </w:r>
    </w:p>
    <w:p w:rsidR="00D953F6" w:rsidRPr="00497123" w:rsidRDefault="00D953F6">
      <w:pPr>
        <w:rPr>
          <w:sz w:val="20"/>
        </w:rPr>
      </w:pPr>
      <w:r w:rsidRPr="00497123">
        <w:rPr>
          <w:sz w:val="20"/>
        </w:rPr>
        <w:t>CL: confidence level</w:t>
      </w:r>
    </w:p>
    <w:p w:rsidR="006763AF" w:rsidRPr="00497123" w:rsidRDefault="006763AF">
      <w:pPr>
        <w:rPr>
          <w:sz w:val="20"/>
        </w:rPr>
      </w:pPr>
      <w:r w:rsidRPr="00497123">
        <w:rPr>
          <w:i/>
          <w:sz w:val="20"/>
        </w:rPr>
        <w:t>r</w:t>
      </w:r>
      <w:r w:rsidRPr="00497123">
        <w:rPr>
          <w:sz w:val="20"/>
        </w:rPr>
        <w:t>: sample correlation coefficient</w:t>
      </w:r>
    </w:p>
    <w:p w:rsidR="003F0C87" w:rsidRPr="008C20C4" w:rsidRDefault="003F0C87"/>
    <w:p w:rsidR="00817E98" w:rsidRDefault="002346F5">
      <w:r>
        <w:t xml:space="preserve">The regression lines are shown on Figure </w:t>
      </w:r>
      <w:r w:rsidR="001F2841">
        <w:t>A4</w:t>
      </w:r>
      <w:r w:rsidR="00695635">
        <w:t>.2-</w:t>
      </w:r>
      <w:r>
        <w:t xml:space="preserve">2 (dashed for MW-3 and MW-10). </w:t>
      </w:r>
      <w:r w:rsidR="00771713">
        <w:t>The trends are nearly parallel</w:t>
      </w:r>
      <w:r w:rsidR="00497123">
        <w:t xml:space="preserve">. </w:t>
      </w:r>
      <w:r w:rsidR="00771713">
        <w:t>Based on these</w:t>
      </w:r>
      <w:r w:rsidR="00FB3C7F">
        <w:t xml:space="preserve"> data</w:t>
      </w:r>
      <w:r w:rsidR="00771713">
        <w:t xml:space="preserve"> we will assume </w:t>
      </w:r>
      <w:r w:rsidR="00FB3C7F">
        <w:t>that the source decay rate is 0.35 yr</w:t>
      </w:r>
      <w:r w:rsidR="00FB3C7F">
        <w:rPr>
          <w:vertAlign w:val="superscript"/>
        </w:rPr>
        <w:t>–1</w:t>
      </w:r>
      <w:r w:rsidR="00102F11">
        <w:t xml:space="preserve"> (equivalent to a 1.96-</w:t>
      </w:r>
      <w:r w:rsidR="00FB3C7F">
        <w:t>yr half-life), with an uncertainty of ±0.05 yr</w:t>
      </w:r>
      <w:r w:rsidR="00FB3C7F">
        <w:rPr>
          <w:vertAlign w:val="superscript"/>
        </w:rPr>
        <w:t>–1</w:t>
      </w:r>
      <w:r w:rsidR="00FB3C7F">
        <w:t>.</w:t>
      </w:r>
    </w:p>
    <w:p w:rsidR="00FB3C7F" w:rsidRDefault="00FB3C7F"/>
    <w:p w:rsidR="00FB3C7F" w:rsidRDefault="00F33E15">
      <w:r>
        <w:t>In addition, for purposes of conceptualizing the contaminant trends and calibrating the model, we define the</w:t>
      </w:r>
      <w:r w:rsidR="0059141B">
        <w:t xml:space="preserve"> benzene</w:t>
      </w:r>
      <w:r>
        <w:t xml:space="preserve"> concentration </w:t>
      </w:r>
      <w:r w:rsidR="00102F11">
        <w:t>(</w:t>
      </w:r>
      <w:r w:rsidR="00102F11" w:rsidRPr="00102F11">
        <w:rPr>
          <w:i/>
        </w:rPr>
        <w:t>C</w:t>
      </w:r>
      <w:r w:rsidR="00102F11">
        <w:t xml:space="preserve">) </w:t>
      </w:r>
      <w:r>
        <w:t>at each well using a constant slope of 0.35 yr</w:t>
      </w:r>
      <w:r>
        <w:rPr>
          <w:vertAlign w:val="superscript"/>
        </w:rPr>
        <w:t>–1</w:t>
      </w:r>
      <w:r>
        <w:t>, yielding the following equations:</w:t>
      </w:r>
    </w:p>
    <w:p w:rsidR="00F33E15" w:rsidRPr="00CD1B01" w:rsidRDefault="00F33E15" w:rsidP="001E11F8">
      <w:pPr>
        <w:spacing w:before="120"/>
        <w:ind w:firstLine="360"/>
      </w:pPr>
      <w:r>
        <w:rPr>
          <w:i/>
        </w:rPr>
        <w:t>C</w:t>
      </w:r>
      <w:r>
        <w:rPr>
          <w:vertAlign w:val="subscript"/>
        </w:rPr>
        <w:t>MW-7</w:t>
      </w:r>
      <w:r>
        <w:t>(</w:t>
      </w:r>
      <w:r>
        <w:rPr>
          <w:i/>
        </w:rPr>
        <w:t>t</w:t>
      </w:r>
      <w:r w:rsidR="00695635">
        <w:t>) = (46</w:t>
      </w:r>
      <w:r>
        <w:t xml:space="preserve"> mg/L)e</w:t>
      </w:r>
      <w:r w:rsidR="00CD1B01">
        <w:t>xp[–</w:t>
      </w:r>
      <w:r w:rsidR="00986781">
        <w:t>(</w:t>
      </w:r>
      <w:r w:rsidR="00CD1B01">
        <w:t>0.35</w:t>
      </w:r>
      <w:r w:rsidR="00986781">
        <w:t xml:space="preserve"> yr</w:t>
      </w:r>
      <w:r w:rsidR="00986781">
        <w:rPr>
          <w:vertAlign w:val="superscript"/>
        </w:rPr>
        <w:t>–1</w:t>
      </w:r>
      <w:r w:rsidR="00986781">
        <w:t>)</w:t>
      </w:r>
      <w:r w:rsidR="00CD1B01">
        <w:t>(</w:t>
      </w:r>
      <w:r w:rsidR="00CD1B01">
        <w:rPr>
          <w:i/>
        </w:rPr>
        <w:t>t</w:t>
      </w:r>
      <w:r w:rsidR="00CD1B01">
        <w:t xml:space="preserve"> – </w:t>
      </w:r>
      <w:r w:rsidR="00CD1B01">
        <w:rPr>
          <w:i/>
        </w:rPr>
        <w:t>t</w:t>
      </w:r>
      <w:r w:rsidR="00CD1B01">
        <w:rPr>
          <w:vertAlign w:val="subscript"/>
        </w:rPr>
        <w:t>0</w:t>
      </w:r>
      <w:r w:rsidR="00CD1B01">
        <w:t>)]</w:t>
      </w:r>
    </w:p>
    <w:p w:rsidR="00CD1B01" w:rsidRPr="00CD1B01" w:rsidRDefault="00F33E15" w:rsidP="001E11F8">
      <w:pPr>
        <w:spacing w:before="120"/>
        <w:ind w:firstLine="360"/>
      </w:pPr>
      <w:r>
        <w:rPr>
          <w:i/>
        </w:rPr>
        <w:t>C</w:t>
      </w:r>
      <w:r>
        <w:rPr>
          <w:vertAlign w:val="subscript"/>
        </w:rPr>
        <w:t>MW-3</w:t>
      </w:r>
      <w:r>
        <w:t>(</w:t>
      </w:r>
      <w:r>
        <w:rPr>
          <w:i/>
        </w:rPr>
        <w:t>t</w:t>
      </w:r>
      <w:r w:rsidR="00695635">
        <w:t>) = (12</w:t>
      </w:r>
      <w:r>
        <w:t xml:space="preserve"> mg/L)</w:t>
      </w:r>
      <w:r w:rsidR="00CD1B01">
        <w:t>exp[–</w:t>
      </w:r>
      <w:r w:rsidR="00695635">
        <w:t>(0.35</w:t>
      </w:r>
      <w:r w:rsidR="00986781">
        <w:t xml:space="preserve"> yr</w:t>
      </w:r>
      <w:r w:rsidR="00986781">
        <w:rPr>
          <w:vertAlign w:val="superscript"/>
        </w:rPr>
        <w:t>–1</w:t>
      </w:r>
      <w:r w:rsidR="00986781">
        <w:t>)</w:t>
      </w:r>
      <w:r w:rsidR="00CD1B01">
        <w:t>(</w:t>
      </w:r>
      <w:r w:rsidR="00CD1B01">
        <w:rPr>
          <w:i/>
        </w:rPr>
        <w:t>t</w:t>
      </w:r>
      <w:r w:rsidR="00CD1B01">
        <w:t xml:space="preserve"> – </w:t>
      </w:r>
      <w:r w:rsidR="00CD1B01">
        <w:rPr>
          <w:i/>
        </w:rPr>
        <w:t>t</w:t>
      </w:r>
      <w:r w:rsidR="00CD1B01">
        <w:rPr>
          <w:vertAlign w:val="subscript"/>
        </w:rPr>
        <w:t>0</w:t>
      </w:r>
      <w:r w:rsidR="00CD1B01">
        <w:t>)]</w:t>
      </w:r>
    </w:p>
    <w:p w:rsidR="00CD1B01" w:rsidRPr="00CD1B01" w:rsidRDefault="00F33E15" w:rsidP="001E11F8">
      <w:pPr>
        <w:spacing w:before="120"/>
        <w:ind w:firstLine="360"/>
      </w:pPr>
      <w:r>
        <w:rPr>
          <w:i/>
        </w:rPr>
        <w:t>C</w:t>
      </w:r>
      <w:r>
        <w:rPr>
          <w:vertAlign w:val="subscript"/>
        </w:rPr>
        <w:t>MW-10</w:t>
      </w:r>
      <w:r>
        <w:t>(</w:t>
      </w:r>
      <w:r>
        <w:rPr>
          <w:i/>
        </w:rPr>
        <w:t>t</w:t>
      </w:r>
      <w:r w:rsidR="00695635">
        <w:t>) = (7.0</w:t>
      </w:r>
      <w:r>
        <w:t xml:space="preserve"> mg/L)</w:t>
      </w:r>
      <w:r w:rsidR="00CD1B01">
        <w:t>exp[–</w:t>
      </w:r>
      <w:r w:rsidR="00695635">
        <w:t>(0.35</w:t>
      </w:r>
      <w:r w:rsidR="00986781">
        <w:t xml:space="preserve"> yr</w:t>
      </w:r>
      <w:r w:rsidR="00986781">
        <w:rPr>
          <w:vertAlign w:val="superscript"/>
        </w:rPr>
        <w:t>–1</w:t>
      </w:r>
      <w:r w:rsidR="00986781">
        <w:t>)</w:t>
      </w:r>
      <w:r w:rsidR="00CD1B01">
        <w:t>(</w:t>
      </w:r>
      <w:r w:rsidR="00CD1B01">
        <w:rPr>
          <w:i/>
        </w:rPr>
        <w:t>t</w:t>
      </w:r>
      <w:r w:rsidR="00CD1B01">
        <w:t xml:space="preserve"> – </w:t>
      </w:r>
      <w:r w:rsidR="00CD1B01">
        <w:rPr>
          <w:i/>
        </w:rPr>
        <w:t>t</w:t>
      </w:r>
      <w:r w:rsidR="00CD1B01">
        <w:rPr>
          <w:vertAlign w:val="subscript"/>
        </w:rPr>
        <w:t>0</w:t>
      </w:r>
      <w:r w:rsidR="00CD1B01">
        <w:t>)]</w:t>
      </w:r>
    </w:p>
    <w:p w:rsidR="00F33E15" w:rsidRPr="000A5DAC" w:rsidRDefault="00DD1C9D" w:rsidP="001E11F8">
      <w:pPr>
        <w:spacing w:before="120"/>
      </w:pPr>
      <w:r>
        <w:t xml:space="preserve">Here the baseline time, </w:t>
      </w:r>
      <w:r>
        <w:rPr>
          <w:i/>
        </w:rPr>
        <w:t>t</w:t>
      </w:r>
      <w:r>
        <w:rPr>
          <w:vertAlign w:val="subscript"/>
        </w:rPr>
        <w:t>0</w:t>
      </w:r>
      <w:r>
        <w:t xml:space="preserve">, is set to 1 January 1989. </w:t>
      </w:r>
      <w:r w:rsidR="00AA1FC7">
        <w:t xml:space="preserve">Therefore, assuming a release at this time, somewhat before the tank closure, the initial source concentration is given by the intercept value </w:t>
      </w:r>
      <w:r w:rsidR="00AA1FC7">
        <w:lastRenderedPageBreak/>
        <w:t>(46 mg/L).</w:t>
      </w:r>
      <w:r w:rsidR="000A5DAC">
        <w:t xml:space="preserve"> (The initial concentrations of the other wells are calculated for lines of slope 0.35 yr</w:t>
      </w:r>
      <w:r w:rsidR="000A5DAC">
        <w:rPr>
          <w:vertAlign w:val="superscript"/>
        </w:rPr>
        <w:t>–1</w:t>
      </w:r>
      <w:r w:rsidR="000A5DAC">
        <w:t xml:space="preserve"> passing through the average of the data for each well.)</w:t>
      </w:r>
    </w:p>
    <w:p w:rsidR="00784EF0" w:rsidRDefault="00784EF0"/>
    <w:p w:rsidR="00784EF0" w:rsidRDefault="00784EF0">
      <w:r>
        <w:t xml:space="preserve">The equations for the lower and upper 90% confidence levels of the MW-7 </w:t>
      </w:r>
      <w:r w:rsidR="0059141B">
        <w:t xml:space="preserve">benzene </w:t>
      </w:r>
      <w:r>
        <w:t>trend are:</w:t>
      </w:r>
    </w:p>
    <w:p w:rsidR="00784EF0" w:rsidRPr="00CD1B01" w:rsidRDefault="00784EF0" w:rsidP="0050390D">
      <w:pPr>
        <w:spacing w:before="120"/>
        <w:ind w:firstLine="360"/>
      </w:pPr>
      <w:r>
        <w:rPr>
          <w:i/>
        </w:rPr>
        <w:t>C</w:t>
      </w:r>
      <w:r>
        <w:rPr>
          <w:vertAlign w:val="subscript"/>
        </w:rPr>
        <w:t>MW-7 lo</w:t>
      </w:r>
      <w:r>
        <w:t>(</w:t>
      </w:r>
      <w:r>
        <w:rPr>
          <w:i/>
        </w:rPr>
        <w:t>t</w:t>
      </w:r>
      <w:r>
        <w:t>) = (2</w:t>
      </w:r>
      <w:r w:rsidR="00695635">
        <w:t>2</w:t>
      </w:r>
      <w:r>
        <w:t xml:space="preserve"> mg/L)exp[–</w:t>
      </w:r>
      <w:r w:rsidR="00986781">
        <w:t>(</w:t>
      </w:r>
      <w:r w:rsidR="00695635">
        <w:t>0.30</w:t>
      </w:r>
      <w:r w:rsidR="00986781">
        <w:t xml:space="preserve"> yr</w:t>
      </w:r>
      <w:r w:rsidR="00986781">
        <w:rPr>
          <w:vertAlign w:val="superscript"/>
        </w:rPr>
        <w:t>–1</w:t>
      </w:r>
      <w:r w:rsidR="00986781">
        <w:t>)</w:t>
      </w:r>
      <w:r>
        <w:t>(</w:t>
      </w:r>
      <w:r>
        <w:rPr>
          <w:i/>
        </w:rPr>
        <w:t>t</w:t>
      </w:r>
      <w:r>
        <w:t xml:space="preserve"> – </w:t>
      </w:r>
      <w:r>
        <w:rPr>
          <w:i/>
        </w:rPr>
        <w:t>t</w:t>
      </w:r>
      <w:r>
        <w:rPr>
          <w:vertAlign w:val="subscript"/>
        </w:rPr>
        <w:t>0</w:t>
      </w:r>
      <w:r>
        <w:t>)]</w:t>
      </w:r>
    </w:p>
    <w:p w:rsidR="00784EF0" w:rsidRPr="00CD1B01" w:rsidRDefault="00784EF0" w:rsidP="0050390D">
      <w:pPr>
        <w:spacing w:before="120"/>
        <w:ind w:firstLine="360"/>
      </w:pPr>
      <w:r>
        <w:rPr>
          <w:i/>
        </w:rPr>
        <w:t>C</w:t>
      </w:r>
      <w:r>
        <w:rPr>
          <w:vertAlign w:val="subscript"/>
        </w:rPr>
        <w:t>MW-7 hi</w:t>
      </w:r>
      <w:r>
        <w:t>(</w:t>
      </w:r>
      <w:r>
        <w:rPr>
          <w:i/>
        </w:rPr>
        <w:t>t</w:t>
      </w:r>
      <w:r w:rsidR="00695635">
        <w:t>) = (99</w:t>
      </w:r>
      <w:r>
        <w:t xml:space="preserve"> mg/L)exp[–</w:t>
      </w:r>
      <w:r w:rsidR="00986781">
        <w:t>(</w:t>
      </w:r>
      <w:r w:rsidR="00695635">
        <w:t>0.40</w:t>
      </w:r>
      <w:r w:rsidR="00986781">
        <w:t xml:space="preserve"> yr</w:t>
      </w:r>
      <w:r w:rsidR="00986781">
        <w:rPr>
          <w:vertAlign w:val="superscript"/>
        </w:rPr>
        <w:t>–1</w:t>
      </w:r>
      <w:r w:rsidR="00986781">
        <w:t>)</w:t>
      </w:r>
      <w:r>
        <w:t>(</w:t>
      </w:r>
      <w:r>
        <w:rPr>
          <w:i/>
        </w:rPr>
        <w:t>t</w:t>
      </w:r>
      <w:r>
        <w:t xml:space="preserve"> – </w:t>
      </w:r>
      <w:r>
        <w:rPr>
          <w:i/>
        </w:rPr>
        <w:t>t</w:t>
      </w:r>
      <w:r>
        <w:rPr>
          <w:vertAlign w:val="subscript"/>
        </w:rPr>
        <w:t>0</w:t>
      </w:r>
      <w:r>
        <w:t>)]</w:t>
      </w:r>
    </w:p>
    <w:p w:rsidR="00817E98" w:rsidRDefault="000A5DAC" w:rsidP="0050390D">
      <w:pPr>
        <w:spacing w:before="120"/>
      </w:pPr>
      <w:r>
        <w:t>Similar equations are determined for MW-3 and MW-10.</w:t>
      </w:r>
    </w:p>
    <w:p w:rsidR="000A5DAC" w:rsidRDefault="000A5DAC"/>
    <w:p w:rsidR="00AF3AC3" w:rsidRDefault="00AF3AC3">
      <w:r>
        <w:t xml:space="preserve">By representing the contaminant concentrations at each monitoring well with the above equations, we can avoid using isolated data points in the models. We </w:t>
      </w:r>
      <w:r w:rsidR="002E23F6">
        <w:t>don’t want to use</w:t>
      </w:r>
      <w:r>
        <w:t xml:space="preserve"> individual concentration measurements because of the large </w:t>
      </w:r>
      <w:r w:rsidR="008C20C4">
        <w:t>quarter-to-quarter</w:t>
      </w:r>
      <w:r w:rsidR="0004197F">
        <w:t xml:space="preserve"> </w:t>
      </w:r>
      <w:r>
        <w:t>variability</w:t>
      </w:r>
      <w:r w:rsidR="002E477E">
        <w:t>, which will introduce bias</w:t>
      </w:r>
      <w:r>
        <w:t xml:space="preserve"> to the model results. For </w:t>
      </w:r>
      <w:r w:rsidR="00102F11">
        <w:t>the calibration of</w:t>
      </w:r>
      <w:r>
        <w:t xml:space="preserve"> the fate-and-transport model, we choose two times at which to evaluate the results at </w:t>
      </w:r>
      <w:r w:rsidR="00DC2639">
        <w:t>the</w:t>
      </w:r>
      <w:r>
        <w:t xml:space="preserve"> </w:t>
      </w:r>
      <w:r w:rsidR="00102F11">
        <w:t xml:space="preserve">two </w:t>
      </w:r>
      <w:r>
        <w:t>downgradient well</w:t>
      </w:r>
      <w:r w:rsidR="00DC2639">
        <w:t>s</w:t>
      </w:r>
      <w:r w:rsidR="006A0EAA">
        <w:t>, 10 yr and 20 yr after the starting time in 1989</w:t>
      </w:r>
      <w:r>
        <w:t>.</w:t>
      </w:r>
    </w:p>
    <w:p w:rsidR="0059141B" w:rsidRDefault="0059141B"/>
    <w:p w:rsidR="0059141B" w:rsidRPr="00EB4463" w:rsidRDefault="008E3045">
      <w:pPr>
        <w:rPr>
          <w:rFonts w:ascii="Symbol" w:hAnsi="Symbol"/>
        </w:rPr>
      </w:pPr>
      <w:r>
        <w:rPr>
          <w:b/>
        </w:rPr>
        <w:t>Table A4.2-</w:t>
      </w:r>
      <w:r w:rsidR="0059141B">
        <w:rPr>
          <w:b/>
        </w:rPr>
        <w:t xml:space="preserve">2. </w:t>
      </w:r>
      <w:r w:rsidR="0059141B">
        <w:t xml:space="preserve">Selected calibration point benzene </w:t>
      </w:r>
      <w:r w:rsidR="00EB4463">
        <w:t>concentrations (</w:t>
      </w:r>
      <w:r w:rsidR="00EB4463">
        <w:rPr>
          <w:rFonts w:ascii="Symbol" w:hAnsi="Symbol"/>
        </w:rPr>
        <w:t></w:t>
      </w:r>
      <w:r w:rsidR="00EB4463">
        <w:t>g/L)</w:t>
      </w:r>
    </w:p>
    <w:tbl>
      <w:tblPr>
        <w:tblStyle w:val="TableStyleCDB"/>
        <w:tblW w:w="0" w:type="auto"/>
        <w:tblLook w:val="01E0" w:firstRow="1" w:lastRow="1" w:firstColumn="1" w:lastColumn="1" w:noHBand="0" w:noVBand="0"/>
      </w:tblPr>
      <w:tblGrid>
        <w:gridCol w:w="976"/>
        <w:gridCol w:w="1476"/>
        <w:gridCol w:w="1070"/>
        <w:gridCol w:w="1070"/>
        <w:gridCol w:w="1070"/>
        <w:gridCol w:w="1070"/>
        <w:gridCol w:w="1070"/>
        <w:gridCol w:w="1070"/>
      </w:tblGrid>
      <w:tr w:rsidR="0004197F" w:rsidRPr="00986781" w:rsidTr="00B01BD6">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bottom w:val="nil"/>
              <w:right w:val="single" w:sz="4" w:space="0" w:color="auto"/>
            </w:tcBorders>
            <w:shd w:val="clear" w:color="auto" w:fill="F2F2F2" w:themeFill="background1" w:themeFillShade="F2"/>
          </w:tcPr>
          <w:p w:rsidR="0004197F" w:rsidRPr="00986781" w:rsidRDefault="0050390D">
            <w:pPr>
              <w:rPr>
                <w:b/>
              </w:rPr>
            </w:pPr>
            <w:r>
              <w:rPr>
                <w:b/>
              </w:rPr>
              <w:t>Well</w:t>
            </w:r>
          </w:p>
        </w:tc>
        <w:tc>
          <w:tcPr>
            <w:tcW w:w="0" w:type="auto"/>
            <w:tcBorders>
              <w:top w:val="single" w:sz="4" w:space="0" w:color="auto"/>
              <w:bottom w:val="nil"/>
              <w:right w:val="single" w:sz="4" w:space="0" w:color="auto"/>
            </w:tcBorders>
            <w:shd w:val="clear" w:color="auto" w:fill="F2F2F2" w:themeFill="background1" w:themeFillShade="F2"/>
          </w:tcPr>
          <w:p w:rsidR="0004197F" w:rsidRPr="00986781" w:rsidRDefault="008E3045" w:rsidP="0004197F">
            <w:pPr>
              <w:jc w:val="center"/>
              <w:rPr>
                <w:b/>
              </w:rPr>
            </w:pPr>
            <w:r>
              <w:rPr>
                <w:b/>
              </w:rPr>
              <w:t>Distance (ft)</w:t>
            </w:r>
          </w:p>
        </w:tc>
        <w:tc>
          <w:tcPr>
            <w:tcW w:w="0" w:type="auto"/>
            <w:gridSpan w:val="2"/>
            <w:tcBorders>
              <w:top w:val="single" w:sz="4" w:space="0" w:color="auto"/>
              <w:left w:val="single" w:sz="4" w:space="0" w:color="auto"/>
              <w:bottom w:val="nil"/>
              <w:right w:val="single" w:sz="4" w:space="0" w:color="auto"/>
            </w:tcBorders>
            <w:shd w:val="clear" w:color="auto" w:fill="F2F2F2" w:themeFill="background1" w:themeFillShade="F2"/>
          </w:tcPr>
          <w:p w:rsidR="0004197F" w:rsidRPr="00986781" w:rsidRDefault="0004197F" w:rsidP="00986781">
            <w:pPr>
              <w:jc w:val="center"/>
              <w:rPr>
                <w:b/>
              </w:rPr>
            </w:pPr>
            <w:r>
              <w:rPr>
                <w:b/>
                <w:i/>
              </w:rPr>
              <w:t>k</w:t>
            </w:r>
            <w:r>
              <w:rPr>
                <w:b/>
              </w:rPr>
              <w:t xml:space="preserve"> = 0.30 yr</w:t>
            </w:r>
            <w:r>
              <w:rPr>
                <w:b/>
                <w:vertAlign w:val="superscript"/>
              </w:rPr>
              <w:t>–1</w:t>
            </w:r>
          </w:p>
        </w:tc>
        <w:tc>
          <w:tcPr>
            <w:tcW w:w="0" w:type="auto"/>
            <w:gridSpan w:val="2"/>
            <w:tcBorders>
              <w:top w:val="single" w:sz="4" w:space="0" w:color="auto"/>
              <w:left w:val="single" w:sz="4" w:space="0" w:color="auto"/>
              <w:bottom w:val="nil"/>
              <w:right w:val="single" w:sz="4" w:space="0" w:color="auto"/>
            </w:tcBorders>
            <w:shd w:val="clear" w:color="auto" w:fill="F2F2F2" w:themeFill="background1" w:themeFillShade="F2"/>
          </w:tcPr>
          <w:p w:rsidR="0004197F" w:rsidRPr="00986781" w:rsidRDefault="0004197F" w:rsidP="00986781">
            <w:pPr>
              <w:jc w:val="center"/>
              <w:rPr>
                <w:b/>
              </w:rPr>
            </w:pPr>
            <w:r>
              <w:rPr>
                <w:b/>
                <w:i/>
              </w:rPr>
              <w:t>k</w:t>
            </w:r>
            <w:r>
              <w:rPr>
                <w:b/>
              </w:rPr>
              <w:t xml:space="preserve"> = 0.35 yr</w:t>
            </w:r>
            <w:r>
              <w:rPr>
                <w:b/>
                <w:vertAlign w:val="superscript"/>
              </w:rPr>
              <w:t>–1</w:t>
            </w:r>
          </w:p>
        </w:tc>
        <w:tc>
          <w:tcPr>
            <w:tcW w:w="0" w:type="auto"/>
            <w:gridSpan w:val="2"/>
            <w:tcBorders>
              <w:top w:val="single" w:sz="4" w:space="0" w:color="auto"/>
              <w:left w:val="single" w:sz="4" w:space="0" w:color="auto"/>
              <w:bottom w:val="nil"/>
              <w:right w:val="nil"/>
            </w:tcBorders>
            <w:shd w:val="clear" w:color="auto" w:fill="F2F2F2" w:themeFill="background1" w:themeFillShade="F2"/>
          </w:tcPr>
          <w:p w:rsidR="0004197F" w:rsidRPr="00986781" w:rsidRDefault="0004197F" w:rsidP="00986781">
            <w:pPr>
              <w:jc w:val="center"/>
              <w:rPr>
                <w:b/>
              </w:rPr>
            </w:pPr>
            <w:r>
              <w:rPr>
                <w:b/>
                <w:i/>
              </w:rPr>
              <w:t>k</w:t>
            </w:r>
            <w:r>
              <w:rPr>
                <w:b/>
              </w:rPr>
              <w:t xml:space="preserve"> = 0.40 yr</w:t>
            </w:r>
            <w:r>
              <w:rPr>
                <w:b/>
                <w:vertAlign w:val="superscript"/>
              </w:rPr>
              <w:t>–1</w:t>
            </w:r>
          </w:p>
        </w:tc>
      </w:tr>
      <w:tr w:rsidR="0004197F" w:rsidRPr="00986781" w:rsidTr="00B01BD6">
        <w:tc>
          <w:tcPr>
            <w:tcW w:w="0" w:type="auto"/>
            <w:tcBorders>
              <w:top w:val="single" w:sz="4" w:space="0" w:color="auto"/>
              <w:bottom w:val="nil"/>
              <w:right w:val="single" w:sz="4" w:space="0" w:color="auto"/>
            </w:tcBorders>
            <w:shd w:val="clear" w:color="auto" w:fill="F2F2F2" w:themeFill="background1" w:themeFillShade="F2"/>
          </w:tcPr>
          <w:p w:rsidR="0004197F" w:rsidRPr="00986781" w:rsidRDefault="0004197F" w:rsidP="008E3045">
            <w:pPr>
              <w:jc w:val="right"/>
              <w:rPr>
                <w:b/>
              </w:rPr>
            </w:pPr>
            <w:r w:rsidRPr="00986781">
              <w:rPr>
                <w:b/>
              </w:rPr>
              <w:t>Date</w:t>
            </w:r>
          </w:p>
        </w:tc>
        <w:tc>
          <w:tcPr>
            <w:tcW w:w="0" w:type="auto"/>
            <w:tcBorders>
              <w:top w:val="single" w:sz="4" w:space="0" w:color="auto"/>
              <w:bottom w:val="nil"/>
              <w:right w:val="single" w:sz="4" w:space="0" w:color="auto"/>
            </w:tcBorders>
            <w:shd w:val="clear" w:color="auto" w:fill="F2F2F2" w:themeFill="background1" w:themeFillShade="F2"/>
          </w:tcPr>
          <w:p w:rsidR="0004197F" w:rsidRPr="00986781" w:rsidRDefault="0004197F" w:rsidP="0004197F">
            <w:pPr>
              <w:jc w:val="center"/>
              <w:rPr>
                <w:b/>
              </w:rPr>
            </w:pPr>
          </w:p>
        </w:tc>
        <w:tc>
          <w:tcPr>
            <w:tcW w:w="0" w:type="auto"/>
            <w:tcBorders>
              <w:top w:val="single" w:sz="4" w:space="0" w:color="auto"/>
              <w:left w:val="single" w:sz="4" w:space="0" w:color="auto"/>
              <w:bottom w:val="nil"/>
            </w:tcBorders>
            <w:shd w:val="clear" w:color="auto" w:fill="F2F2F2" w:themeFill="background1" w:themeFillShade="F2"/>
          </w:tcPr>
          <w:p w:rsidR="0004197F" w:rsidRPr="00986781" w:rsidRDefault="0004197F" w:rsidP="00986781">
            <w:pPr>
              <w:jc w:val="center"/>
              <w:rPr>
                <w:b/>
              </w:rPr>
            </w:pPr>
            <w:r>
              <w:rPr>
                <w:b/>
              </w:rPr>
              <w:t>1/1/1999</w:t>
            </w:r>
          </w:p>
        </w:tc>
        <w:tc>
          <w:tcPr>
            <w:tcW w:w="0" w:type="auto"/>
            <w:tcBorders>
              <w:top w:val="single" w:sz="4" w:space="0" w:color="auto"/>
              <w:bottom w:val="nil"/>
              <w:right w:val="single" w:sz="4" w:space="0" w:color="auto"/>
            </w:tcBorders>
            <w:shd w:val="clear" w:color="auto" w:fill="F2F2F2" w:themeFill="background1" w:themeFillShade="F2"/>
          </w:tcPr>
          <w:p w:rsidR="0004197F" w:rsidRPr="00986781" w:rsidRDefault="0004197F" w:rsidP="00986781">
            <w:pPr>
              <w:jc w:val="center"/>
              <w:rPr>
                <w:b/>
              </w:rPr>
            </w:pPr>
            <w:r>
              <w:rPr>
                <w:b/>
              </w:rPr>
              <w:t>1/1/2009</w:t>
            </w:r>
          </w:p>
        </w:tc>
        <w:tc>
          <w:tcPr>
            <w:tcW w:w="0" w:type="auto"/>
            <w:tcBorders>
              <w:top w:val="single" w:sz="4" w:space="0" w:color="auto"/>
              <w:left w:val="single" w:sz="4" w:space="0" w:color="auto"/>
              <w:bottom w:val="nil"/>
            </w:tcBorders>
            <w:shd w:val="clear" w:color="auto" w:fill="F2F2F2" w:themeFill="background1" w:themeFillShade="F2"/>
          </w:tcPr>
          <w:p w:rsidR="0004197F" w:rsidRPr="00986781" w:rsidRDefault="0004197F" w:rsidP="00FA428F">
            <w:pPr>
              <w:jc w:val="center"/>
              <w:rPr>
                <w:b/>
              </w:rPr>
            </w:pPr>
            <w:r>
              <w:rPr>
                <w:b/>
              </w:rPr>
              <w:t>1/1/1999</w:t>
            </w:r>
          </w:p>
        </w:tc>
        <w:tc>
          <w:tcPr>
            <w:tcW w:w="0" w:type="auto"/>
            <w:tcBorders>
              <w:top w:val="single" w:sz="4" w:space="0" w:color="auto"/>
              <w:bottom w:val="nil"/>
              <w:right w:val="single" w:sz="4" w:space="0" w:color="auto"/>
            </w:tcBorders>
            <w:shd w:val="clear" w:color="auto" w:fill="F2F2F2" w:themeFill="background1" w:themeFillShade="F2"/>
          </w:tcPr>
          <w:p w:rsidR="0004197F" w:rsidRPr="00986781" w:rsidRDefault="0004197F" w:rsidP="00FA428F">
            <w:pPr>
              <w:jc w:val="center"/>
              <w:rPr>
                <w:b/>
              </w:rPr>
            </w:pPr>
            <w:r>
              <w:rPr>
                <w:b/>
              </w:rPr>
              <w:t>1/1/2009</w:t>
            </w:r>
          </w:p>
        </w:tc>
        <w:tc>
          <w:tcPr>
            <w:tcW w:w="0" w:type="auto"/>
            <w:tcBorders>
              <w:top w:val="single" w:sz="4" w:space="0" w:color="auto"/>
              <w:left w:val="single" w:sz="4" w:space="0" w:color="auto"/>
              <w:bottom w:val="nil"/>
            </w:tcBorders>
            <w:shd w:val="clear" w:color="auto" w:fill="F2F2F2" w:themeFill="background1" w:themeFillShade="F2"/>
          </w:tcPr>
          <w:p w:rsidR="0004197F" w:rsidRPr="00986781" w:rsidRDefault="0004197F" w:rsidP="00FA428F">
            <w:pPr>
              <w:jc w:val="center"/>
              <w:rPr>
                <w:b/>
              </w:rPr>
            </w:pPr>
            <w:r>
              <w:rPr>
                <w:b/>
              </w:rPr>
              <w:t>1/1/1999</w:t>
            </w:r>
          </w:p>
        </w:tc>
        <w:tc>
          <w:tcPr>
            <w:tcW w:w="0" w:type="auto"/>
            <w:tcBorders>
              <w:top w:val="single" w:sz="4" w:space="0" w:color="auto"/>
              <w:bottom w:val="nil"/>
              <w:right w:val="nil"/>
            </w:tcBorders>
            <w:shd w:val="clear" w:color="auto" w:fill="F2F2F2" w:themeFill="background1" w:themeFillShade="F2"/>
          </w:tcPr>
          <w:p w:rsidR="0004197F" w:rsidRPr="00986781" w:rsidRDefault="0004197F" w:rsidP="00FA428F">
            <w:pPr>
              <w:jc w:val="center"/>
              <w:rPr>
                <w:b/>
              </w:rPr>
            </w:pPr>
            <w:r>
              <w:rPr>
                <w:b/>
              </w:rPr>
              <w:t>1/1/2009</w:t>
            </w:r>
          </w:p>
        </w:tc>
      </w:tr>
      <w:tr w:rsidR="0004197F" w:rsidRPr="00986781" w:rsidTr="00B01BD6">
        <w:tc>
          <w:tcPr>
            <w:tcW w:w="0" w:type="auto"/>
            <w:tcBorders>
              <w:top w:val="nil"/>
              <w:bottom w:val="single" w:sz="4" w:space="0" w:color="auto"/>
              <w:right w:val="single" w:sz="4" w:space="0" w:color="auto"/>
            </w:tcBorders>
            <w:shd w:val="clear" w:color="auto" w:fill="F2F2F2" w:themeFill="background1" w:themeFillShade="F2"/>
          </w:tcPr>
          <w:p w:rsidR="0004197F" w:rsidRPr="00986781" w:rsidRDefault="0004197F" w:rsidP="008E3045">
            <w:pPr>
              <w:jc w:val="right"/>
              <w:rPr>
                <w:b/>
              </w:rPr>
            </w:pPr>
            <w:r w:rsidRPr="00986781">
              <w:rPr>
                <w:b/>
              </w:rPr>
              <w:t>Time</w:t>
            </w:r>
          </w:p>
        </w:tc>
        <w:tc>
          <w:tcPr>
            <w:tcW w:w="0" w:type="auto"/>
            <w:tcBorders>
              <w:top w:val="nil"/>
              <w:bottom w:val="single" w:sz="4" w:space="0" w:color="auto"/>
              <w:right w:val="single" w:sz="4" w:space="0" w:color="auto"/>
            </w:tcBorders>
            <w:shd w:val="clear" w:color="auto" w:fill="F2F2F2" w:themeFill="background1" w:themeFillShade="F2"/>
          </w:tcPr>
          <w:p w:rsidR="0004197F" w:rsidRPr="00986781" w:rsidRDefault="0004197F" w:rsidP="008E3045">
            <w:pPr>
              <w:rPr>
                <w:b/>
              </w:rPr>
            </w:pPr>
          </w:p>
        </w:tc>
        <w:tc>
          <w:tcPr>
            <w:tcW w:w="0" w:type="auto"/>
            <w:tcBorders>
              <w:top w:val="nil"/>
              <w:left w:val="single" w:sz="4" w:space="0" w:color="auto"/>
              <w:bottom w:val="single" w:sz="4" w:space="0" w:color="auto"/>
            </w:tcBorders>
            <w:shd w:val="clear" w:color="auto" w:fill="F2F2F2" w:themeFill="background1" w:themeFillShade="F2"/>
          </w:tcPr>
          <w:p w:rsidR="0004197F" w:rsidRPr="00986781" w:rsidRDefault="0004197F" w:rsidP="00986781">
            <w:pPr>
              <w:jc w:val="center"/>
              <w:rPr>
                <w:b/>
              </w:rPr>
            </w:pPr>
            <w:r w:rsidRPr="00986781">
              <w:rPr>
                <w:b/>
              </w:rPr>
              <w:t>10 yr</w:t>
            </w:r>
          </w:p>
        </w:tc>
        <w:tc>
          <w:tcPr>
            <w:tcW w:w="0" w:type="auto"/>
            <w:tcBorders>
              <w:top w:val="nil"/>
              <w:bottom w:val="single" w:sz="4" w:space="0" w:color="auto"/>
              <w:right w:val="single" w:sz="4" w:space="0" w:color="auto"/>
            </w:tcBorders>
            <w:shd w:val="clear" w:color="auto" w:fill="F2F2F2" w:themeFill="background1" w:themeFillShade="F2"/>
          </w:tcPr>
          <w:p w:rsidR="0004197F" w:rsidRPr="00986781" w:rsidRDefault="0004197F" w:rsidP="00986781">
            <w:pPr>
              <w:jc w:val="center"/>
              <w:rPr>
                <w:b/>
              </w:rPr>
            </w:pPr>
            <w:r w:rsidRPr="00986781">
              <w:rPr>
                <w:b/>
              </w:rPr>
              <w:t>20 yr</w:t>
            </w:r>
          </w:p>
        </w:tc>
        <w:tc>
          <w:tcPr>
            <w:tcW w:w="0" w:type="auto"/>
            <w:tcBorders>
              <w:top w:val="nil"/>
              <w:left w:val="single" w:sz="4" w:space="0" w:color="auto"/>
              <w:bottom w:val="single" w:sz="4" w:space="0" w:color="auto"/>
            </w:tcBorders>
            <w:shd w:val="clear" w:color="auto" w:fill="F2F2F2" w:themeFill="background1" w:themeFillShade="F2"/>
          </w:tcPr>
          <w:p w:rsidR="0004197F" w:rsidRPr="00986781" w:rsidRDefault="0004197F" w:rsidP="00FA428F">
            <w:pPr>
              <w:jc w:val="center"/>
              <w:rPr>
                <w:b/>
              </w:rPr>
            </w:pPr>
            <w:r w:rsidRPr="00986781">
              <w:rPr>
                <w:b/>
              </w:rPr>
              <w:t>10 yr</w:t>
            </w:r>
          </w:p>
        </w:tc>
        <w:tc>
          <w:tcPr>
            <w:tcW w:w="0" w:type="auto"/>
            <w:tcBorders>
              <w:top w:val="nil"/>
              <w:bottom w:val="single" w:sz="4" w:space="0" w:color="auto"/>
              <w:right w:val="single" w:sz="4" w:space="0" w:color="auto"/>
            </w:tcBorders>
            <w:shd w:val="clear" w:color="auto" w:fill="F2F2F2" w:themeFill="background1" w:themeFillShade="F2"/>
          </w:tcPr>
          <w:p w:rsidR="0004197F" w:rsidRPr="00986781" w:rsidRDefault="0004197F" w:rsidP="00FA428F">
            <w:pPr>
              <w:jc w:val="center"/>
              <w:rPr>
                <w:b/>
              </w:rPr>
            </w:pPr>
            <w:r w:rsidRPr="00986781">
              <w:rPr>
                <w:b/>
              </w:rPr>
              <w:t>20 yr</w:t>
            </w:r>
          </w:p>
        </w:tc>
        <w:tc>
          <w:tcPr>
            <w:tcW w:w="0" w:type="auto"/>
            <w:tcBorders>
              <w:top w:val="nil"/>
              <w:left w:val="single" w:sz="4" w:space="0" w:color="auto"/>
              <w:bottom w:val="single" w:sz="4" w:space="0" w:color="auto"/>
            </w:tcBorders>
            <w:shd w:val="clear" w:color="auto" w:fill="F2F2F2" w:themeFill="background1" w:themeFillShade="F2"/>
          </w:tcPr>
          <w:p w:rsidR="0004197F" w:rsidRPr="00986781" w:rsidRDefault="0004197F" w:rsidP="00FA428F">
            <w:pPr>
              <w:jc w:val="center"/>
              <w:rPr>
                <w:b/>
              </w:rPr>
            </w:pPr>
            <w:r w:rsidRPr="00986781">
              <w:rPr>
                <w:b/>
              </w:rPr>
              <w:t>10 yr</w:t>
            </w:r>
          </w:p>
        </w:tc>
        <w:tc>
          <w:tcPr>
            <w:tcW w:w="0" w:type="auto"/>
            <w:tcBorders>
              <w:top w:val="nil"/>
              <w:bottom w:val="single" w:sz="4" w:space="0" w:color="auto"/>
              <w:right w:val="nil"/>
            </w:tcBorders>
            <w:shd w:val="clear" w:color="auto" w:fill="F2F2F2" w:themeFill="background1" w:themeFillShade="F2"/>
          </w:tcPr>
          <w:p w:rsidR="0004197F" w:rsidRPr="00986781" w:rsidRDefault="0004197F" w:rsidP="00FA428F">
            <w:pPr>
              <w:jc w:val="center"/>
              <w:rPr>
                <w:b/>
              </w:rPr>
            </w:pPr>
            <w:r w:rsidRPr="00986781">
              <w:rPr>
                <w:b/>
              </w:rPr>
              <w:t>20 yr</w:t>
            </w:r>
          </w:p>
        </w:tc>
      </w:tr>
      <w:tr w:rsidR="0004197F" w:rsidTr="00B01BD6">
        <w:tc>
          <w:tcPr>
            <w:tcW w:w="0" w:type="auto"/>
            <w:tcBorders>
              <w:top w:val="single" w:sz="4" w:space="0" w:color="auto"/>
              <w:right w:val="single" w:sz="4" w:space="0" w:color="auto"/>
            </w:tcBorders>
            <w:shd w:val="clear" w:color="auto" w:fill="auto"/>
          </w:tcPr>
          <w:p w:rsidR="0004197F" w:rsidRDefault="0004197F" w:rsidP="007618AA">
            <w:r>
              <w:t>MW-7</w:t>
            </w:r>
          </w:p>
        </w:tc>
        <w:tc>
          <w:tcPr>
            <w:tcW w:w="0" w:type="auto"/>
            <w:tcBorders>
              <w:top w:val="single" w:sz="4" w:space="0" w:color="auto"/>
              <w:right w:val="single" w:sz="4" w:space="0" w:color="auto"/>
            </w:tcBorders>
            <w:shd w:val="clear" w:color="auto" w:fill="FDE9D9" w:themeFill="accent6" w:themeFillTint="33"/>
          </w:tcPr>
          <w:p w:rsidR="0004197F" w:rsidRDefault="0004197F" w:rsidP="0004197F">
            <w:pPr>
              <w:jc w:val="center"/>
            </w:pPr>
            <w:r>
              <w:t>0</w:t>
            </w:r>
          </w:p>
        </w:tc>
        <w:tc>
          <w:tcPr>
            <w:tcW w:w="0" w:type="auto"/>
            <w:tcBorders>
              <w:top w:val="single" w:sz="4" w:space="0" w:color="auto"/>
              <w:left w:val="single" w:sz="4" w:space="0" w:color="auto"/>
            </w:tcBorders>
          </w:tcPr>
          <w:p w:rsidR="0004197F" w:rsidRDefault="0004197F" w:rsidP="00986781">
            <w:pPr>
              <w:jc w:val="center"/>
            </w:pPr>
            <w:r>
              <w:t>1027</w:t>
            </w:r>
          </w:p>
        </w:tc>
        <w:tc>
          <w:tcPr>
            <w:tcW w:w="0" w:type="auto"/>
            <w:tcBorders>
              <w:top w:val="single" w:sz="4" w:space="0" w:color="auto"/>
              <w:right w:val="single" w:sz="4" w:space="0" w:color="auto"/>
            </w:tcBorders>
          </w:tcPr>
          <w:p w:rsidR="0004197F" w:rsidRDefault="0004197F" w:rsidP="00986781">
            <w:pPr>
              <w:jc w:val="center"/>
            </w:pPr>
            <w:r>
              <w:t>49</w:t>
            </w:r>
          </w:p>
        </w:tc>
        <w:tc>
          <w:tcPr>
            <w:tcW w:w="0" w:type="auto"/>
            <w:tcBorders>
              <w:top w:val="single" w:sz="4" w:space="0" w:color="auto"/>
              <w:left w:val="single" w:sz="4" w:space="0" w:color="auto"/>
            </w:tcBorders>
            <w:shd w:val="clear" w:color="auto" w:fill="FDE9D9" w:themeFill="accent6" w:themeFillTint="33"/>
          </w:tcPr>
          <w:p w:rsidR="0004197F" w:rsidRDefault="0004197F" w:rsidP="00FA428F">
            <w:pPr>
              <w:jc w:val="center"/>
            </w:pPr>
            <w:r>
              <w:t>1336</w:t>
            </w:r>
          </w:p>
        </w:tc>
        <w:tc>
          <w:tcPr>
            <w:tcW w:w="0" w:type="auto"/>
            <w:tcBorders>
              <w:top w:val="single" w:sz="4" w:space="0" w:color="auto"/>
              <w:right w:val="single" w:sz="4" w:space="0" w:color="auto"/>
            </w:tcBorders>
            <w:shd w:val="clear" w:color="auto" w:fill="FDE9D9" w:themeFill="accent6" w:themeFillTint="33"/>
          </w:tcPr>
          <w:p w:rsidR="0004197F" w:rsidRDefault="0004197F" w:rsidP="00FA428F">
            <w:pPr>
              <w:jc w:val="center"/>
            </w:pPr>
            <w:r>
              <w:t>39</w:t>
            </w:r>
          </w:p>
        </w:tc>
        <w:tc>
          <w:tcPr>
            <w:tcW w:w="0" w:type="auto"/>
            <w:tcBorders>
              <w:top w:val="single" w:sz="4" w:space="0" w:color="auto"/>
              <w:left w:val="single" w:sz="4" w:space="0" w:color="auto"/>
            </w:tcBorders>
          </w:tcPr>
          <w:p w:rsidR="0004197F" w:rsidRPr="000D5BF4" w:rsidRDefault="0004197F" w:rsidP="00986781">
            <w:pPr>
              <w:jc w:val="center"/>
            </w:pPr>
            <w:r>
              <w:t>1739</w:t>
            </w:r>
          </w:p>
        </w:tc>
        <w:tc>
          <w:tcPr>
            <w:tcW w:w="0" w:type="auto"/>
            <w:tcBorders>
              <w:top w:val="single" w:sz="4" w:space="0" w:color="auto"/>
              <w:right w:val="nil"/>
            </w:tcBorders>
          </w:tcPr>
          <w:p w:rsidR="0004197F" w:rsidRPr="000D5BF4" w:rsidRDefault="0004197F" w:rsidP="00986781">
            <w:pPr>
              <w:jc w:val="center"/>
            </w:pPr>
            <w:r>
              <w:t>30</w:t>
            </w:r>
          </w:p>
        </w:tc>
      </w:tr>
      <w:tr w:rsidR="0004197F" w:rsidTr="00B01BD6">
        <w:tc>
          <w:tcPr>
            <w:tcW w:w="0" w:type="auto"/>
            <w:tcBorders>
              <w:right w:val="single" w:sz="4" w:space="0" w:color="auto"/>
            </w:tcBorders>
            <w:shd w:val="clear" w:color="auto" w:fill="auto"/>
          </w:tcPr>
          <w:p w:rsidR="0004197F" w:rsidRDefault="0004197F" w:rsidP="007618AA">
            <w:r>
              <w:t>MW-3</w:t>
            </w:r>
          </w:p>
        </w:tc>
        <w:tc>
          <w:tcPr>
            <w:tcW w:w="0" w:type="auto"/>
            <w:tcBorders>
              <w:right w:val="single" w:sz="4" w:space="0" w:color="auto"/>
            </w:tcBorders>
            <w:shd w:val="clear" w:color="auto" w:fill="FDE9D9" w:themeFill="accent6" w:themeFillTint="33"/>
          </w:tcPr>
          <w:p w:rsidR="0004197F" w:rsidRDefault="0004197F" w:rsidP="0004197F">
            <w:pPr>
              <w:jc w:val="center"/>
            </w:pPr>
            <w:r>
              <w:t>35</w:t>
            </w:r>
          </w:p>
        </w:tc>
        <w:tc>
          <w:tcPr>
            <w:tcW w:w="0" w:type="auto"/>
            <w:tcBorders>
              <w:left w:val="single" w:sz="4" w:space="0" w:color="auto"/>
            </w:tcBorders>
          </w:tcPr>
          <w:p w:rsidR="0004197F" w:rsidRDefault="0004197F" w:rsidP="00986781">
            <w:pPr>
              <w:jc w:val="center"/>
            </w:pPr>
            <w:r>
              <w:t>276</w:t>
            </w:r>
          </w:p>
        </w:tc>
        <w:tc>
          <w:tcPr>
            <w:tcW w:w="0" w:type="auto"/>
            <w:tcBorders>
              <w:right w:val="single" w:sz="4" w:space="0" w:color="auto"/>
            </w:tcBorders>
          </w:tcPr>
          <w:p w:rsidR="0004197F" w:rsidRDefault="0004197F" w:rsidP="00986781">
            <w:pPr>
              <w:jc w:val="center"/>
            </w:pPr>
            <w:r>
              <w:t>13</w:t>
            </w:r>
          </w:p>
        </w:tc>
        <w:tc>
          <w:tcPr>
            <w:tcW w:w="0" w:type="auto"/>
            <w:tcBorders>
              <w:left w:val="single" w:sz="4" w:space="0" w:color="auto"/>
            </w:tcBorders>
            <w:shd w:val="clear" w:color="auto" w:fill="FDE9D9" w:themeFill="accent6" w:themeFillTint="33"/>
          </w:tcPr>
          <w:p w:rsidR="0004197F" w:rsidRDefault="0004197F" w:rsidP="00FA428F">
            <w:pPr>
              <w:jc w:val="center"/>
            </w:pPr>
            <w:r>
              <w:t>359</w:t>
            </w:r>
          </w:p>
        </w:tc>
        <w:tc>
          <w:tcPr>
            <w:tcW w:w="0" w:type="auto"/>
            <w:tcBorders>
              <w:right w:val="single" w:sz="4" w:space="0" w:color="auto"/>
            </w:tcBorders>
            <w:shd w:val="clear" w:color="auto" w:fill="FDE9D9" w:themeFill="accent6" w:themeFillTint="33"/>
          </w:tcPr>
          <w:p w:rsidR="0004197F" w:rsidRDefault="0004197F" w:rsidP="00FA428F">
            <w:pPr>
              <w:jc w:val="center"/>
            </w:pPr>
            <w:r>
              <w:t>10</w:t>
            </w:r>
          </w:p>
        </w:tc>
        <w:tc>
          <w:tcPr>
            <w:tcW w:w="0" w:type="auto"/>
            <w:tcBorders>
              <w:left w:val="single" w:sz="4" w:space="0" w:color="auto"/>
            </w:tcBorders>
          </w:tcPr>
          <w:p w:rsidR="0004197F" w:rsidRPr="000D5BF4" w:rsidRDefault="0004197F" w:rsidP="00986781">
            <w:pPr>
              <w:jc w:val="center"/>
            </w:pPr>
            <w:r>
              <w:t>427</w:t>
            </w:r>
          </w:p>
        </w:tc>
        <w:tc>
          <w:tcPr>
            <w:tcW w:w="0" w:type="auto"/>
            <w:tcBorders>
              <w:right w:val="nil"/>
            </w:tcBorders>
          </w:tcPr>
          <w:p w:rsidR="0004197F" w:rsidRPr="000D5BF4" w:rsidRDefault="0004197F" w:rsidP="00986781">
            <w:pPr>
              <w:jc w:val="center"/>
            </w:pPr>
            <w:r>
              <w:t>8</w:t>
            </w:r>
          </w:p>
        </w:tc>
      </w:tr>
      <w:tr w:rsidR="0004197F" w:rsidTr="00B01BD6">
        <w:tc>
          <w:tcPr>
            <w:tcW w:w="0" w:type="auto"/>
            <w:tcBorders>
              <w:bottom w:val="single" w:sz="4" w:space="0" w:color="auto"/>
              <w:right w:val="single" w:sz="4" w:space="0" w:color="auto"/>
            </w:tcBorders>
            <w:shd w:val="clear" w:color="auto" w:fill="auto"/>
          </w:tcPr>
          <w:p w:rsidR="0004197F" w:rsidRDefault="0004197F" w:rsidP="007618AA">
            <w:r>
              <w:t>MW-10</w:t>
            </w:r>
          </w:p>
        </w:tc>
        <w:tc>
          <w:tcPr>
            <w:tcW w:w="0" w:type="auto"/>
            <w:tcBorders>
              <w:bottom w:val="single" w:sz="4" w:space="0" w:color="auto"/>
              <w:right w:val="single" w:sz="4" w:space="0" w:color="auto"/>
            </w:tcBorders>
            <w:shd w:val="clear" w:color="auto" w:fill="FDE9D9" w:themeFill="accent6" w:themeFillTint="33"/>
          </w:tcPr>
          <w:p w:rsidR="0004197F" w:rsidRDefault="0004197F" w:rsidP="0004197F">
            <w:pPr>
              <w:jc w:val="center"/>
            </w:pPr>
            <w:r>
              <w:t>53</w:t>
            </w:r>
          </w:p>
        </w:tc>
        <w:tc>
          <w:tcPr>
            <w:tcW w:w="0" w:type="auto"/>
            <w:tcBorders>
              <w:left w:val="single" w:sz="4" w:space="0" w:color="auto"/>
            </w:tcBorders>
          </w:tcPr>
          <w:p w:rsidR="0004197F" w:rsidRDefault="0004197F" w:rsidP="00986781">
            <w:pPr>
              <w:jc w:val="center"/>
            </w:pPr>
            <w:r>
              <w:t>—</w:t>
            </w:r>
          </w:p>
        </w:tc>
        <w:tc>
          <w:tcPr>
            <w:tcW w:w="0" w:type="auto"/>
            <w:tcBorders>
              <w:bottom w:val="single" w:sz="4" w:space="0" w:color="auto"/>
              <w:right w:val="single" w:sz="4" w:space="0" w:color="auto"/>
            </w:tcBorders>
          </w:tcPr>
          <w:p w:rsidR="0004197F" w:rsidRDefault="0004197F" w:rsidP="00986781">
            <w:pPr>
              <w:jc w:val="center"/>
            </w:pPr>
            <w:r>
              <w:t>2</w:t>
            </w:r>
          </w:p>
        </w:tc>
        <w:tc>
          <w:tcPr>
            <w:tcW w:w="0" w:type="auto"/>
            <w:tcBorders>
              <w:left w:val="single" w:sz="4" w:space="0" w:color="auto"/>
              <w:bottom w:val="single" w:sz="4" w:space="0" w:color="auto"/>
            </w:tcBorders>
            <w:shd w:val="clear" w:color="auto" w:fill="FDE9D9" w:themeFill="accent6" w:themeFillTint="33"/>
          </w:tcPr>
          <w:p w:rsidR="0004197F" w:rsidRDefault="0004197F" w:rsidP="00FA428F">
            <w:pPr>
              <w:jc w:val="center"/>
            </w:pPr>
            <w:r>
              <w:t>—</w:t>
            </w:r>
          </w:p>
        </w:tc>
        <w:tc>
          <w:tcPr>
            <w:tcW w:w="0" w:type="auto"/>
            <w:tcBorders>
              <w:bottom w:val="single" w:sz="4" w:space="0" w:color="auto"/>
              <w:right w:val="single" w:sz="4" w:space="0" w:color="auto"/>
            </w:tcBorders>
            <w:shd w:val="clear" w:color="auto" w:fill="FDE9D9" w:themeFill="accent6" w:themeFillTint="33"/>
          </w:tcPr>
          <w:p w:rsidR="0004197F" w:rsidRDefault="0004197F" w:rsidP="00FA428F">
            <w:pPr>
              <w:jc w:val="center"/>
            </w:pPr>
            <w:r>
              <w:t>6</w:t>
            </w:r>
          </w:p>
        </w:tc>
        <w:tc>
          <w:tcPr>
            <w:tcW w:w="0" w:type="auto"/>
            <w:tcBorders>
              <w:left w:val="single" w:sz="4" w:space="0" w:color="auto"/>
            </w:tcBorders>
          </w:tcPr>
          <w:p w:rsidR="0004197F" w:rsidRPr="000D5BF4" w:rsidRDefault="0004197F" w:rsidP="00986781">
            <w:pPr>
              <w:jc w:val="center"/>
            </w:pPr>
            <w:r w:rsidRPr="000D5BF4">
              <w:t>—</w:t>
            </w:r>
          </w:p>
        </w:tc>
        <w:tc>
          <w:tcPr>
            <w:tcW w:w="0" w:type="auto"/>
            <w:tcBorders>
              <w:bottom w:val="single" w:sz="4" w:space="0" w:color="auto"/>
              <w:right w:val="nil"/>
            </w:tcBorders>
          </w:tcPr>
          <w:p w:rsidR="0004197F" w:rsidRPr="000D5BF4" w:rsidRDefault="0004197F" w:rsidP="00986781">
            <w:pPr>
              <w:jc w:val="center"/>
            </w:pPr>
            <w:r>
              <w:t>1</w:t>
            </w:r>
          </w:p>
        </w:tc>
      </w:tr>
    </w:tbl>
    <w:p w:rsidR="00AF3AC3" w:rsidRPr="006763AF" w:rsidRDefault="00AF3AC3"/>
    <w:p w:rsidR="00DF6A30" w:rsidRDefault="00DF6A30">
      <w:pPr>
        <w:sectPr w:rsidR="00DF6A30" w:rsidSect="00CC1320">
          <w:footerReference w:type="default" r:id="rId12"/>
          <w:pgSz w:w="12240" w:h="15840"/>
          <w:pgMar w:top="1440" w:right="1440" w:bottom="1440" w:left="1440" w:header="720" w:footer="720" w:gutter="0"/>
          <w:cols w:space="720"/>
          <w:docGrid w:linePitch="360"/>
        </w:sectPr>
      </w:pPr>
    </w:p>
    <w:p w:rsidR="00817E98" w:rsidRPr="00DF6A30" w:rsidRDefault="00817E98">
      <w:pPr>
        <w:rPr>
          <w:sz w:val="12"/>
        </w:rPr>
      </w:pPr>
    </w:p>
    <w:p w:rsidR="00DF6A30" w:rsidRPr="00DF6A30" w:rsidRDefault="00214C84">
      <w:r>
        <w:rPr>
          <w:noProof/>
        </w:rPr>
        <w:drawing>
          <wp:inline distT="0" distB="0" distL="0" distR="0">
            <wp:extent cx="7747086" cy="5273040"/>
            <wp:effectExtent l="19050" t="19050" r="2540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7951" cy="5280436"/>
                    </a:xfrm>
                    <a:prstGeom prst="rect">
                      <a:avLst/>
                    </a:prstGeom>
                    <a:noFill/>
                    <a:ln w="6350" cmpd="sng">
                      <a:solidFill>
                        <a:srgbClr val="000000"/>
                      </a:solidFill>
                      <a:miter lim="800000"/>
                      <a:headEnd/>
                      <a:tailEnd/>
                    </a:ln>
                    <a:effectLst/>
                  </pic:spPr>
                </pic:pic>
              </a:graphicData>
            </a:graphic>
          </wp:inline>
        </w:drawing>
      </w:r>
    </w:p>
    <w:p w:rsidR="00DF6A30" w:rsidRPr="00DF6A30" w:rsidRDefault="00DF6A30" w:rsidP="003E2684">
      <w:pPr>
        <w:ind w:right="3600"/>
      </w:pPr>
      <w:r>
        <w:rPr>
          <w:b/>
        </w:rPr>
        <w:t xml:space="preserve">Figure </w:t>
      </w:r>
      <w:r w:rsidR="001F2841">
        <w:rPr>
          <w:b/>
        </w:rPr>
        <w:t>A4</w:t>
      </w:r>
      <w:r w:rsidR="00CB1549">
        <w:rPr>
          <w:b/>
        </w:rPr>
        <w:t>.2-</w:t>
      </w:r>
      <w:r>
        <w:rPr>
          <w:b/>
        </w:rPr>
        <w:t xml:space="preserve">2. </w:t>
      </w:r>
      <w:r>
        <w:t>Benzene data for three monitoring wells. The dashed lines for MW-3 and MW-10 are least squares fits, whereas the solid lines force the slope to be the same as for the MW-7 regression (0.35 yr</w:t>
      </w:r>
      <w:r>
        <w:rPr>
          <w:vertAlign w:val="superscript"/>
        </w:rPr>
        <w:t>–1</w:t>
      </w:r>
      <w:r>
        <w:t>).</w:t>
      </w:r>
    </w:p>
    <w:p w:rsidR="00DF6A30" w:rsidRDefault="00DF6A30" w:rsidP="003E2684">
      <w:pPr>
        <w:ind w:right="3600"/>
        <w:sectPr w:rsidR="00DF6A30" w:rsidSect="00DF6A30">
          <w:footerReference w:type="default" r:id="rId14"/>
          <w:pgSz w:w="15840" w:h="12240" w:orient="landscape"/>
          <w:pgMar w:top="1440" w:right="1440" w:bottom="1440" w:left="1440" w:header="720" w:footer="720" w:gutter="0"/>
          <w:cols w:space="720"/>
          <w:docGrid w:linePitch="360"/>
        </w:sectPr>
      </w:pPr>
    </w:p>
    <w:p w:rsidR="00AA1FC7" w:rsidRPr="00BE55FA" w:rsidRDefault="001F2841" w:rsidP="00AA1FC7">
      <w:pPr>
        <w:tabs>
          <w:tab w:val="left" w:pos="900"/>
        </w:tabs>
        <w:rPr>
          <w:rFonts w:ascii="Arial" w:hAnsi="Arial" w:cs="Arial"/>
          <w:b/>
          <w:sz w:val="26"/>
        </w:rPr>
      </w:pPr>
      <w:r>
        <w:rPr>
          <w:rFonts w:ascii="Arial" w:hAnsi="Arial" w:cs="Arial"/>
          <w:b/>
          <w:sz w:val="26"/>
        </w:rPr>
        <w:lastRenderedPageBreak/>
        <w:t>A4</w:t>
      </w:r>
      <w:r w:rsidR="00AA1FC7" w:rsidRPr="00BE55FA">
        <w:rPr>
          <w:rFonts w:ascii="Arial" w:hAnsi="Arial" w:cs="Arial"/>
          <w:b/>
          <w:sz w:val="26"/>
        </w:rPr>
        <w:t>.2.</w:t>
      </w:r>
      <w:r w:rsidR="00AA1FC7">
        <w:rPr>
          <w:rFonts w:ascii="Arial" w:hAnsi="Arial" w:cs="Arial"/>
          <w:b/>
          <w:sz w:val="26"/>
        </w:rPr>
        <w:t>4</w:t>
      </w:r>
      <w:r w:rsidR="00AA1FC7" w:rsidRPr="00BE55FA">
        <w:rPr>
          <w:rFonts w:ascii="Arial" w:hAnsi="Arial" w:cs="Arial"/>
          <w:b/>
          <w:sz w:val="26"/>
        </w:rPr>
        <w:t>.</w:t>
      </w:r>
      <w:r w:rsidR="00AA1FC7" w:rsidRPr="00BE55FA">
        <w:rPr>
          <w:rFonts w:ascii="Arial" w:hAnsi="Arial" w:cs="Arial"/>
          <w:b/>
          <w:sz w:val="26"/>
        </w:rPr>
        <w:tab/>
      </w:r>
      <w:r w:rsidR="00AA1FC7">
        <w:rPr>
          <w:rFonts w:ascii="Arial" w:hAnsi="Arial" w:cs="Arial"/>
          <w:b/>
          <w:sz w:val="26"/>
        </w:rPr>
        <w:t>Model Parameter Values</w:t>
      </w:r>
    </w:p>
    <w:p w:rsidR="003B358F" w:rsidRDefault="003B358F">
      <w:r>
        <w:t xml:space="preserve">We select the following </w:t>
      </w:r>
      <w:r w:rsidR="008273F2">
        <w:t xml:space="preserve">baseline </w:t>
      </w:r>
      <w:r>
        <w:t>parameter values for the QD and Bioscreen-AT benzene models.</w:t>
      </w:r>
    </w:p>
    <w:p w:rsidR="00EB4463" w:rsidRDefault="00EB4463"/>
    <w:p w:rsidR="00EB4463" w:rsidRPr="00EB4463" w:rsidRDefault="00CB1549">
      <w:r>
        <w:rPr>
          <w:b/>
        </w:rPr>
        <w:t>Table A4.2-</w:t>
      </w:r>
      <w:r w:rsidR="00EB4463">
        <w:rPr>
          <w:b/>
        </w:rPr>
        <w:t xml:space="preserve">3. </w:t>
      </w:r>
      <w:r w:rsidR="00EB4463">
        <w:t>Bioscreen-AT model input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55"/>
        <w:gridCol w:w="990"/>
        <w:gridCol w:w="1493"/>
        <w:gridCol w:w="4169"/>
      </w:tblGrid>
      <w:tr w:rsidR="003B358F" w:rsidRPr="00646B75" w:rsidTr="00102F11">
        <w:trPr>
          <w:tblHeader/>
        </w:trPr>
        <w:tc>
          <w:tcPr>
            <w:tcW w:w="0" w:type="auto"/>
            <w:tcBorders>
              <w:top w:val="single" w:sz="4" w:space="0" w:color="auto"/>
              <w:bottom w:val="single" w:sz="4" w:space="0" w:color="auto"/>
            </w:tcBorders>
            <w:shd w:val="clear" w:color="auto" w:fill="F2F2F2" w:themeFill="background1" w:themeFillShade="F2"/>
          </w:tcPr>
          <w:p w:rsidR="003B358F" w:rsidRPr="00646B75" w:rsidRDefault="003B358F" w:rsidP="000C4778">
            <w:pPr>
              <w:pStyle w:val="Header"/>
              <w:tabs>
                <w:tab w:val="clear" w:pos="4320"/>
                <w:tab w:val="clear" w:pos="8640"/>
              </w:tabs>
              <w:rPr>
                <w:b/>
              </w:rPr>
            </w:pPr>
            <w:r>
              <w:rPr>
                <w:b/>
              </w:rPr>
              <w:t>Parameter</w:t>
            </w:r>
          </w:p>
        </w:tc>
        <w:tc>
          <w:tcPr>
            <w:tcW w:w="0" w:type="auto"/>
            <w:tcBorders>
              <w:top w:val="single" w:sz="4" w:space="0" w:color="auto"/>
              <w:bottom w:val="single" w:sz="4" w:space="0" w:color="auto"/>
            </w:tcBorders>
            <w:shd w:val="clear" w:color="auto" w:fill="F2F2F2" w:themeFill="background1" w:themeFillShade="F2"/>
          </w:tcPr>
          <w:p w:rsidR="003B358F" w:rsidRPr="00327784" w:rsidRDefault="003B358F" w:rsidP="000C4778">
            <w:pPr>
              <w:pStyle w:val="Header"/>
              <w:tabs>
                <w:tab w:val="clear" w:pos="4320"/>
                <w:tab w:val="clear" w:pos="8640"/>
              </w:tabs>
              <w:jc w:val="center"/>
              <w:rPr>
                <w:b/>
              </w:rPr>
            </w:pPr>
            <w:r>
              <w:rPr>
                <w:b/>
              </w:rPr>
              <w:t>Symbol</w:t>
            </w:r>
          </w:p>
        </w:tc>
        <w:tc>
          <w:tcPr>
            <w:tcW w:w="0" w:type="auto"/>
            <w:tcBorders>
              <w:top w:val="single" w:sz="4" w:space="0" w:color="auto"/>
              <w:bottom w:val="single" w:sz="4" w:space="0" w:color="auto"/>
            </w:tcBorders>
            <w:shd w:val="clear" w:color="auto" w:fill="F2F2F2" w:themeFill="background1" w:themeFillShade="F2"/>
          </w:tcPr>
          <w:p w:rsidR="003B358F" w:rsidRPr="00646B75" w:rsidRDefault="003B358F" w:rsidP="000C4778">
            <w:pPr>
              <w:pStyle w:val="Header"/>
              <w:tabs>
                <w:tab w:val="clear" w:pos="4320"/>
                <w:tab w:val="clear" w:pos="8640"/>
              </w:tabs>
              <w:jc w:val="center"/>
              <w:rPr>
                <w:b/>
              </w:rPr>
            </w:pPr>
            <w:r>
              <w:rPr>
                <w:b/>
              </w:rPr>
              <w:t>Value</w:t>
            </w:r>
          </w:p>
        </w:tc>
        <w:tc>
          <w:tcPr>
            <w:tcW w:w="0" w:type="auto"/>
            <w:tcBorders>
              <w:top w:val="single" w:sz="4" w:space="0" w:color="auto"/>
              <w:bottom w:val="single" w:sz="4" w:space="0" w:color="auto"/>
            </w:tcBorders>
            <w:shd w:val="clear" w:color="auto" w:fill="F2F2F2" w:themeFill="background1" w:themeFillShade="F2"/>
          </w:tcPr>
          <w:p w:rsidR="003B358F" w:rsidRDefault="003B358F" w:rsidP="000C4778">
            <w:pPr>
              <w:pStyle w:val="Header"/>
              <w:tabs>
                <w:tab w:val="clear" w:pos="4320"/>
                <w:tab w:val="clear" w:pos="8640"/>
              </w:tabs>
              <w:rPr>
                <w:b/>
              </w:rPr>
            </w:pPr>
            <w:r>
              <w:rPr>
                <w:b/>
              </w:rPr>
              <w:t>Comments</w:t>
            </w:r>
          </w:p>
        </w:tc>
      </w:tr>
      <w:tr w:rsidR="003B358F">
        <w:tc>
          <w:tcPr>
            <w:tcW w:w="0" w:type="auto"/>
            <w:tcBorders>
              <w:top w:val="single" w:sz="4" w:space="0" w:color="auto"/>
            </w:tcBorders>
          </w:tcPr>
          <w:p w:rsidR="003B358F" w:rsidRDefault="003B358F" w:rsidP="000C4778">
            <w:pPr>
              <w:pStyle w:val="Header"/>
              <w:tabs>
                <w:tab w:val="clear" w:pos="4320"/>
                <w:tab w:val="clear" w:pos="8640"/>
              </w:tabs>
            </w:pPr>
            <w:r>
              <w:t>Source concentration</w:t>
            </w:r>
          </w:p>
        </w:tc>
        <w:tc>
          <w:tcPr>
            <w:tcW w:w="0" w:type="auto"/>
            <w:tcBorders>
              <w:top w:val="single" w:sz="4" w:space="0" w:color="auto"/>
            </w:tcBorders>
          </w:tcPr>
          <w:p w:rsidR="003B358F" w:rsidRPr="00327784" w:rsidRDefault="003B358F" w:rsidP="000C4778">
            <w:pPr>
              <w:pStyle w:val="Header"/>
              <w:tabs>
                <w:tab w:val="clear" w:pos="4320"/>
                <w:tab w:val="clear" w:pos="8640"/>
              </w:tabs>
              <w:jc w:val="center"/>
              <w:rPr>
                <w:vertAlign w:val="subscript"/>
              </w:rPr>
            </w:pPr>
            <w:r>
              <w:rPr>
                <w:i/>
              </w:rPr>
              <w:t>C</w:t>
            </w:r>
            <w:r>
              <w:rPr>
                <w:vertAlign w:val="subscript"/>
              </w:rPr>
              <w:t>0</w:t>
            </w:r>
          </w:p>
        </w:tc>
        <w:tc>
          <w:tcPr>
            <w:tcW w:w="0" w:type="auto"/>
            <w:tcBorders>
              <w:top w:val="single" w:sz="4" w:space="0" w:color="auto"/>
            </w:tcBorders>
          </w:tcPr>
          <w:p w:rsidR="003B358F" w:rsidRPr="00B614F1" w:rsidRDefault="003B358F" w:rsidP="000C4778">
            <w:pPr>
              <w:pStyle w:val="Header"/>
              <w:tabs>
                <w:tab w:val="clear" w:pos="4320"/>
                <w:tab w:val="clear" w:pos="8640"/>
              </w:tabs>
              <w:jc w:val="center"/>
            </w:pPr>
            <w:r>
              <w:t>46.28 mg/L</w:t>
            </w:r>
          </w:p>
        </w:tc>
        <w:tc>
          <w:tcPr>
            <w:tcW w:w="0" w:type="auto"/>
            <w:tcBorders>
              <w:top w:val="single" w:sz="4" w:space="0" w:color="auto"/>
            </w:tcBorders>
          </w:tcPr>
          <w:p w:rsidR="003B358F" w:rsidRPr="00B614F1" w:rsidRDefault="005633A0" w:rsidP="000C4778">
            <w:pPr>
              <w:pStyle w:val="Header"/>
              <w:tabs>
                <w:tab w:val="clear" w:pos="4320"/>
                <w:tab w:val="clear" w:pos="8640"/>
              </w:tabs>
            </w:pPr>
            <w:r>
              <w:t xml:space="preserve">best fit </w:t>
            </w:r>
            <w:r w:rsidR="003B358F">
              <w:t>initial concentration 1 Jan 1989</w:t>
            </w:r>
          </w:p>
        </w:tc>
      </w:tr>
      <w:tr w:rsidR="008273F2">
        <w:tc>
          <w:tcPr>
            <w:tcW w:w="0" w:type="auto"/>
          </w:tcPr>
          <w:p w:rsidR="008273F2" w:rsidRDefault="008273F2" w:rsidP="000C4778">
            <w:pPr>
              <w:pStyle w:val="Header"/>
              <w:tabs>
                <w:tab w:val="clear" w:pos="4320"/>
                <w:tab w:val="clear" w:pos="8640"/>
              </w:tabs>
            </w:pPr>
            <w:r>
              <w:t>Source decay coefficient</w:t>
            </w:r>
          </w:p>
        </w:tc>
        <w:tc>
          <w:tcPr>
            <w:tcW w:w="0" w:type="auto"/>
          </w:tcPr>
          <w:p w:rsidR="008273F2" w:rsidRPr="008273F2" w:rsidRDefault="008273F2" w:rsidP="000C4778">
            <w:pPr>
              <w:pStyle w:val="Header"/>
              <w:tabs>
                <w:tab w:val="clear" w:pos="4320"/>
                <w:tab w:val="clear" w:pos="8640"/>
              </w:tabs>
              <w:jc w:val="center"/>
              <w:rPr>
                <w:i/>
              </w:rPr>
            </w:pPr>
            <w:r>
              <w:rPr>
                <w:i/>
              </w:rPr>
              <w:t>k</w:t>
            </w:r>
          </w:p>
        </w:tc>
        <w:tc>
          <w:tcPr>
            <w:tcW w:w="0" w:type="auto"/>
          </w:tcPr>
          <w:p w:rsidR="008273F2" w:rsidRPr="008273F2" w:rsidRDefault="008273F2" w:rsidP="000C4778">
            <w:pPr>
              <w:pStyle w:val="Header"/>
              <w:tabs>
                <w:tab w:val="clear" w:pos="4320"/>
                <w:tab w:val="clear" w:pos="8640"/>
              </w:tabs>
              <w:jc w:val="center"/>
              <w:rPr>
                <w:vertAlign w:val="superscript"/>
              </w:rPr>
            </w:pPr>
            <w:r w:rsidRPr="008273F2">
              <w:t>0.3545 yr</w:t>
            </w:r>
            <w:r w:rsidRPr="008273F2">
              <w:rPr>
                <w:vertAlign w:val="superscript"/>
              </w:rPr>
              <w:t>–1</w:t>
            </w:r>
          </w:p>
        </w:tc>
        <w:tc>
          <w:tcPr>
            <w:tcW w:w="0" w:type="auto"/>
          </w:tcPr>
          <w:p w:rsidR="008273F2" w:rsidRDefault="008273F2" w:rsidP="000C4778">
            <w:pPr>
              <w:pStyle w:val="Header"/>
              <w:tabs>
                <w:tab w:val="clear" w:pos="4320"/>
                <w:tab w:val="clear" w:pos="8640"/>
              </w:tabs>
            </w:pPr>
            <w:r>
              <w:t>from linear regression to data</w:t>
            </w:r>
          </w:p>
        </w:tc>
      </w:tr>
      <w:tr w:rsidR="003B358F" w:rsidTr="00102F11">
        <w:tc>
          <w:tcPr>
            <w:tcW w:w="0" w:type="auto"/>
            <w:shd w:val="clear" w:color="auto" w:fill="FDE9D9" w:themeFill="accent6" w:themeFillTint="33"/>
          </w:tcPr>
          <w:p w:rsidR="003B358F" w:rsidRDefault="003B358F" w:rsidP="000C4778">
            <w:pPr>
              <w:pStyle w:val="Header"/>
              <w:tabs>
                <w:tab w:val="clear" w:pos="4320"/>
                <w:tab w:val="clear" w:pos="8640"/>
              </w:tabs>
            </w:pPr>
            <w:r>
              <w:t>Longitudinal dispersivity</w:t>
            </w:r>
          </w:p>
        </w:tc>
        <w:tc>
          <w:tcPr>
            <w:tcW w:w="0" w:type="auto"/>
            <w:shd w:val="clear" w:color="auto" w:fill="FDE9D9" w:themeFill="accent6" w:themeFillTint="33"/>
          </w:tcPr>
          <w:p w:rsidR="003B358F" w:rsidRPr="00327784" w:rsidRDefault="003B358F" w:rsidP="000C4778">
            <w:pPr>
              <w:pStyle w:val="Header"/>
              <w:tabs>
                <w:tab w:val="clear" w:pos="4320"/>
                <w:tab w:val="clear" w:pos="8640"/>
              </w:tabs>
              <w:jc w:val="center"/>
              <w:rPr>
                <w:rFonts w:ascii="Symbol" w:hAnsi="Symbol"/>
                <w:i/>
                <w:vertAlign w:val="subscript"/>
              </w:rPr>
            </w:pPr>
            <w:r w:rsidRPr="00327784">
              <w:rPr>
                <w:rFonts w:ascii="Symbol" w:hAnsi="Symbol"/>
                <w:i/>
              </w:rPr>
              <w:t></w:t>
            </w:r>
            <w:r w:rsidRPr="00327784">
              <w:rPr>
                <w:i/>
                <w:vertAlign w:val="subscript"/>
              </w:rPr>
              <w:t>x</w:t>
            </w:r>
          </w:p>
        </w:tc>
        <w:tc>
          <w:tcPr>
            <w:tcW w:w="0" w:type="auto"/>
            <w:shd w:val="clear" w:color="auto" w:fill="FDE9D9" w:themeFill="accent6" w:themeFillTint="33"/>
          </w:tcPr>
          <w:p w:rsidR="003B358F" w:rsidRPr="00F97D44" w:rsidRDefault="00F97D44" w:rsidP="000C4778">
            <w:pPr>
              <w:pStyle w:val="Header"/>
              <w:tabs>
                <w:tab w:val="clear" w:pos="4320"/>
                <w:tab w:val="clear" w:pos="8640"/>
              </w:tabs>
              <w:jc w:val="center"/>
              <w:rPr>
                <w:i/>
              </w:rPr>
            </w:pPr>
            <w:r w:rsidRPr="00F97D44">
              <w:rPr>
                <w:i/>
              </w:rPr>
              <w:t>~7.5′</w:t>
            </w:r>
          </w:p>
        </w:tc>
        <w:tc>
          <w:tcPr>
            <w:tcW w:w="0" w:type="auto"/>
            <w:shd w:val="clear" w:color="auto" w:fill="FDE9D9" w:themeFill="accent6" w:themeFillTint="33"/>
          </w:tcPr>
          <w:p w:rsidR="003B358F" w:rsidRPr="00B614F1" w:rsidRDefault="003B358F" w:rsidP="000C4778">
            <w:pPr>
              <w:pStyle w:val="Header"/>
              <w:tabs>
                <w:tab w:val="clear" w:pos="4320"/>
                <w:tab w:val="clear" w:pos="8640"/>
              </w:tabs>
            </w:pPr>
            <w:r>
              <w:t>variable</w:t>
            </w:r>
          </w:p>
        </w:tc>
      </w:tr>
      <w:tr w:rsidR="003B358F">
        <w:tc>
          <w:tcPr>
            <w:tcW w:w="0" w:type="auto"/>
          </w:tcPr>
          <w:p w:rsidR="003B358F" w:rsidRDefault="003B358F" w:rsidP="000C4778">
            <w:pPr>
              <w:pStyle w:val="Header"/>
              <w:tabs>
                <w:tab w:val="clear" w:pos="4320"/>
                <w:tab w:val="clear" w:pos="8640"/>
              </w:tabs>
            </w:pPr>
            <w:r>
              <w:t>Transverse dispersivity</w:t>
            </w:r>
          </w:p>
        </w:tc>
        <w:tc>
          <w:tcPr>
            <w:tcW w:w="0" w:type="auto"/>
          </w:tcPr>
          <w:p w:rsidR="003B358F" w:rsidRPr="00327784" w:rsidRDefault="003B358F" w:rsidP="000C4778">
            <w:pPr>
              <w:pStyle w:val="Header"/>
              <w:tabs>
                <w:tab w:val="clear" w:pos="4320"/>
                <w:tab w:val="clear" w:pos="8640"/>
              </w:tabs>
              <w:jc w:val="center"/>
            </w:pPr>
            <w:r w:rsidRPr="00327784">
              <w:rPr>
                <w:rFonts w:ascii="Symbol" w:hAnsi="Symbol"/>
                <w:i/>
              </w:rPr>
              <w:t></w:t>
            </w:r>
            <w:r>
              <w:rPr>
                <w:i/>
                <w:vertAlign w:val="subscript"/>
              </w:rPr>
              <w:t>y</w:t>
            </w:r>
          </w:p>
        </w:tc>
        <w:tc>
          <w:tcPr>
            <w:tcW w:w="0" w:type="auto"/>
          </w:tcPr>
          <w:p w:rsidR="003B358F" w:rsidRPr="003B358F" w:rsidRDefault="003B358F" w:rsidP="000C4778">
            <w:pPr>
              <w:pStyle w:val="Header"/>
              <w:tabs>
                <w:tab w:val="clear" w:pos="4320"/>
                <w:tab w:val="clear" w:pos="8640"/>
              </w:tabs>
              <w:jc w:val="center"/>
              <w:rPr>
                <w:rFonts w:ascii="Symbol" w:hAnsi="Symbol"/>
              </w:rPr>
            </w:pPr>
            <w:r>
              <w:rPr>
                <w:rFonts w:ascii="Symbol" w:hAnsi="Symbol"/>
                <w:i/>
              </w:rPr>
              <w:t></w:t>
            </w:r>
            <w:r>
              <w:rPr>
                <w:i/>
                <w:vertAlign w:val="subscript"/>
              </w:rPr>
              <w:t>x</w:t>
            </w:r>
            <w:r>
              <w:t>/10</w:t>
            </w:r>
          </w:p>
        </w:tc>
        <w:tc>
          <w:tcPr>
            <w:tcW w:w="0" w:type="auto"/>
          </w:tcPr>
          <w:p w:rsidR="003B358F" w:rsidRPr="00B614F1" w:rsidRDefault="00191D62" w:rsidP="000C4778">
            <w:pPr>
              <w:pStyle w:val="Header"/>
              <w:tabs>
                <w:tab w:val="clear" w:pos="4320"/>
                <w:tab w:val="clear" w:pos="8640"/>
              </w:tabs>
            </w:pPr>
            <w:r>
              <w:t>estimate</w:t>
            </w:r>
          </w:p>
        </w:tc>
      </w:tr>
      <w:tr w:rsidR="003B358F">
        <w:tc>
          <w:tcPr>
            <w:tcW w:w="0" w:type="auto"/>
          </w:tcPr>
          <w:p w:rsidR="003B358F" w:rsidRDefault="003B358F" w:rsidP="000C4778">
            <w:pPr>
              <w:pStyle w:val="Header"/>
              <w:tabs>
                <w:tab w:val="clear" w:pos="4320"/>
                <w:tab w:val="clear" w:pos="8640"/>
              </w:tabs>
            </w:pPr>
            <w:r>
              <w:t>Vertical dispersivity</w:t>
            </w:r>
          </w:p>
        </w:tc>
        <w:tc>
          <w:tcPr>
            <w:tcW w:w="0" w:type="auto"/>
          </w:tcPr>
          <w:p w:rsidR="003B358F" w:rsidRPr="00327784" w:rsidRDefault="003B358F" w:rsidP="000C4778">
            <w:pPr>
              <w:pStyle w:val="Header"/>
              <w:tabs>
                <w:tab w:val="clear" w:pos="4320"/>
                <w:tab w:val="clear" w:pos="8640"/>
              </w:tabs>
              <w:jc w:val="center"/>
            </w:pPr>
            <w:r w:rsidRPr="00327784">
              <w:rPr>
                <w:rFonts w:ascii="Symbol" w:hAnsi="Symbol"/>
                <w:i/>
              </w:rPr>
              <w:t></w:t>
            </w:r>
            <w:r>
              <w:rPr>
                <w:i/>
                <w:vertAlign w:val="subscript"/>
              </w:rPr>
              <w:t>z</w:t>
            </w:r>
          </w:p>
        </w:tc>
        <w:tc>
          <w:tcPr>
            <w:tcW w:w="0" w:type="auto"/>
          </w:tcPr>
          <w:p w:rsidR="003B358F" w:rsidRPr="00B614F1" w:rsidRDefault="003B358F" w:rsidP="000C4778">
            <w:pPr>
              <w:pStyle w:val="Header"/>
              <w:tabs>
                <w:tab w:val="clear" w:pos="4320"/>
                <w:tab w:val="clear" w:pos="8640"/>
              </w:tabs>
              <w:jc w:val="center"/>
            </w:pPr>
            <w:r>
              <w:t>0.001′</w:t>
            </w:r>
          </w:p>
        </w:tc>
        <w:tc>
          <w:tcPr>
            <w:tcW w:w="0" w:type="auto"/>
          </w:tcPr>
          <w:p w:rsidR="003B358F" w:rsidRPr="00B614F1" w:rsidRDefault="00191D62" w:rsidP="000C4778">
            <w:pPr>
              <w:pStyle w:val="Header"/>
              <w:tabs>
                <w:tab w:val="clear" w:pos="4320"/>
                <w:tab w:val="clear" w:pos="8640"/>
              </w:tabs>
            </w:pPr>
            <w:r>
              <w:t>minimized for two-dimensional transport</w:t>
            </w:r>
          </w:p>
        </w:tc>
      </w:tr>
      <w:tr w:rsidR="003B358F">
        <w:tc>
          <w:tcPr>
            <w:tcW w:w="0" w:type="auto"/>
          </w:tcPr>
          <w:p w:rsidR="003B358F" w:rsidRDefault="003B358F" w:rsidP="000C4778">
            <w:pPr>
              <w:pStyle w:val="Header"/>
              <w:tabs>
                <w:tab w:val="clear" w:pos="4320"/>
                <w:tab w:val="clear" w:pos="8640"/>
              </w:tabs>
            </w:pPr>
            <w:r>
              <w:t>Source width</w:t>
            </w:r>
          </w:p>
        </w:tc>
        <w:tc>
          <w:tcPr>
            <w:tcW w:w="0" w:type="auto"/>
          </w:tcPr>
          <w:p w:rsidR="003B358F" w:rsidRPr="00327784" w:rsidRDefault="001D137C" w:rsidP="000C4778">
            <w:pPr>
              <w:pStyle w:val="Header"/>
              <w:tabs>
                <w:tab w:val="clear" w:pos="4320"/>
                <w:tab w:val="clear" w:pos="8640"/>
              </w:tabs>
              <w:jc w:val="center"/>
              <w:rPr>
                <w:vertAlign w:val="subscript"/>
              </w:rPr>
            </w:pPr>
            <w:r>
              <w:rPr>
                <w:i/>
              </w:rPr>
              <w:t>Y</w:t>
            </w:r>
          </w:p>
        </w:tc>
        <w:tc>
          <w:tcPr>
            <w:tcW w:w="0" w:type="auto"/>
          </w:tcPr>
          <w:p w:rsidR="003B358F" w:rsidRPr="00B614F1" w:rsidRDefault="003B358F" w:rsidP="000C4778">
            <w:pPr>
              <w:pStyle w:val="Header"/>
              <w:tabs>
                <w:tab w:val="clear" w:pos="4320"/>
                <w:tab w:val="clear" w:pos="8640"/>
              </w:tabs>
              <w:jc w:val="center"/>
            </w:pPr>
            <w:r>
              <w:t>75′</w:t>
            </w:r>
          </w:p>
        </w:tc>
        <w:tc>
          <w:tcPr>
            <w:tcW w:w="0" w:type="auto"/>
          </w:tcPr>
          <w:p w:rsidR="003B358F" w:rsidRPr="00B614F1" w:rsidRDefault="00191D62" w:rsidP="000C4778">
            <w:pPr>
              <w:pStyle w:val="Header"/>
              <w:tabs>
                <w:tab w:val="clear" w:pos="4320"/>
                <w:tab w:val="clear" w:pos="8640"/>
              </w:tabs>
            </w:pPr>
            <w:r>
              <w:t>site characterization</w:t>
            </w:r>
          </w:p>
        </w:tc>
      </w:tr>
      <w:tr w:rsidR="003B358F">
        <w:tc>
          <w:tcPr>
            <w:tcW w:w="0" w:type="auto"/>
          </w:tcPr>
          <w:p w:rsidR="003B358F" w:rsidRDefault="003B358F" w:rsidP="000C4778">
            <w:pPr>
              <w:pStyle w:val="Header"/>
              <w:tabs>
                <w:tab w:val="clear" w:pos="4320"/>
                <w:tab w:val="clear" w:pos="8640"/>
              </w:tabs>
            </w:pPr>
            <w:r>
              <w:t>Source depth (thickness)</w:t>
            </w:r>
          </w:p>
        </w:tc>
        <w:tc>
          <w:tcPr>
            <w:tcW w:w="0" w:type="auto"/>
          </w:tcPr>
          <w:p w:rsidR="003B358F" w:rsidRPr="00327784" w:rsidRDefault="001D137C" w:rsidP="000C4778">
            <w:pPr>
              <w:pStyle w:val="Header"/>
              <w:tabs>
                <w:tab w:val="clear" w:pos="4320"/>
                <w:tab w:val="clear" w:pos="8640"/>
              </w:tabs>
              <w:jc w:val="center"/>
              <w:rPr>
                <w:vertAlign w:val="subscript"/>
              </w:rPr>
            </w:pPr>
            <w:r>
              <w:rPr>
                <w:i/>
              </w:rPr>
              <w:t>Z</w:t>
            </w:r>
          </w:p>
        </w:tc>
        <w:tc>
          <w:tcPr>
            <w:tcW w:w="0" w:type="auto"/>
          </w:tcPr>
          <w:p w:rsidR="003B358F" w:rsidRPr="00B614F1" w:rsidRDefault="003B358F" w:rsidP="000C4778">
            <w:pPr>
              <w:pStyle w:val="Header"/>
              <w:tabs>
                <w:tab w:val="clear" w:pos="4320"/>
                <w:tab w:val="clear" w:pos="8640"/>
              </w:tabs>
              <w:jc w:val="center"/>
            </w:pPr>
            <w:r>
              <w:t>10′</w:t>
            </w:r>
          </w:p>
        </w:tc>
        <w:tc>
          <w:tcPr>
            <w:tcW w:w="0" w:type="auto"/>
          </w:tcPr>
          <w:p w:rsidR="003B358F" w:rsidRPr="00B614F1" w:rsidRDefault="00191D62" w:rsidP="000C4778">
            <w:pPr>
              <w:pStyle w:val="Header"/>
              <w:tabs>
                <w:tab w:val="clear" w:pos="4320"/>
                <w:tab w:val="clear" w:pos="8640"/>
              </w:tabs>
            </w:pPr>
            <w:r>
              <w:t>site characterization</w:t>
            </w:r>
          </w:p>
        </w:tc>
      </w:tr>
      <w:tr w:rsidR="003B358F" w:rsidTr="00102F11">
        <w:tc>
          <w:tcPr>
            <w:tcW w:w="0" w:type="auto"/>
            <w:shd w:val="clear" w:color="auto" w:fill="FDE9D9" w:themeFill="accent6" w:themeFillTint="33"/>
          </w:tcPr>
          <w:p w:rsidR="003B358F" w:rsidRDefault="003B358F" w:rsidP="000C4778">
            <w:pPr>
              <w:pStyle w:val="Header"/>
              <w:tabs>
                <w:tab w:val="clear" w:pos="4320"/>
                <w:tab w:val="clear" w:pos="8640"/>
              </w:tabs>
            </w:pPr>
            <w:r>
              <w:t>Hydraulic conductivity</w:t>
            </w:r>
          </w:p>
        </w:tc>
        <w:tc>
          <w:tcPr>
            <w:tcW w:w="0" w:type="auto"/>
            <w:shd w:val="clear" w:color="auto" w:fill="FDE9D9" w:themeFill="accent6" w:themeFillTint="33"/>
          </w:tcPr>
          <w:p w:rsidR="003B358F" w:rsidRPr="00327784" w:rsidRDefault="003B358F" w:rsidP="000C4778">
            <w:pPr>
              <w:pStyle w:val="Header"/>
              <w:tabs>
                <w:tab w:val="clear" w:pos="4320"/>
                <w:tab w:val="clear" w:pos="8640"/>
              </w:tabs>
              <w:jc w:val="center"/>
            </w:pPr>
            <w:r>
              <w:rPr>
                <w:i/>
              </w:rPr>
              <w:t>K</w:t>
            </w:r>
          </w:p>
        </w:tc>
        <w:tc>
          <w:tcPr>
            <w:tcW w:w="0" w:type="auto"/>
            <w:shd w:val="clear" w:color="auto" w:fill="FDE9D9" w:themeFill="accent6" w:themeFillTint="33"/>
          </w:tcPr>
          <w:p w:rsidR="003B358F" w:rsidRPr="00F97D44" w:rsidRDefault="008273F2" w:rsidP="000C4778">
            <w:pPr>
              <w:pStyle w:val="Header"/>
              <w:tabs>
                <w:tab w:val="clear" w:pos="4320"/>
                <w:tab w:val="clear" w:pos="8640"/>
              </w:tabs>
              <w:jc w:val="center"/>
              <w:rPr>
                <w:i/>
              </w:rPr>
            </w:pPr>
            <w:r>
              <w:rPr>
                <w:i/>
              </w:rPr>
              <w:t>~</w:t>
            </w:r>
            <w:r w:rsidR="00F97D44">
              <w:rPr>
                <w:i/>
              </w:rPr>
              <w:t>0.472 ft/day</w:t>
            </w:r>
          </w:p>
        </w:tc>
        <w:tc>
          <w:tcPr>
            <w:tcW w:w="0" w:type="auto"/>
            <w:shd w:val="clear" w:color="auto" w:fill="FDE9D9" w:themeFill="accent6" w:themeFillTint="33"/>
          </w:tcPr>
          <w:p w:rsidR="003B358F" w:rsidRPr="00B614F1" w:rsidRDefault="00F97D44" w:rsidP="000C4778">
            <w:pPr>
              <w:pStyle w:val="Header"/>
              <w:tabs>
                <w:tab w:val="clear" w:pos="4320"/>
                <w:tab w:val="clear" w:pos="8640"/>
              </w:tabs>
            </w:pPr>
            <w:r>
              <w:t>variable</w:t>
            </w:r>
          </w:p>
        </w:tc>
      </w:tr>
      <w:tr w:rsidR="003B358F">
        <w:tc>
          <w:tcPr>
            <w:tcW w:w="0" w:type="auto"/>
          </w:tcPr>
          <w:p w:rsidR="003B358F" w:rsidRDefault="003B358F" w:rsidP="000C4778">
            <w:pPr>
              <w:pStyle w:val="Header"/>
              <w:tabs>
                <w:tab w:val="clear" w:pos="4320"/>
                <w:tab w:val="clear" w:pos="8640"/>
              </w:tabs>
            </w:pPr>
            <w:r>
              <w:t>Hydraulic gradient</w:t>
            </w:r>
          </w:p>
        </w:tc>
        <w:tc>
          <w:tcPr>
            <w:tcW w:w="0" w:type="auto"/>
          </w:tcPr>
          <w:p w:rsidR="003B358F" w:rsidRPr="00327784" w:rsidRDefault="003B358F" w:rsidP="000C4778">
            <w:pPr>
              <w:pStyle w:val="Header"/>
              <w:tabs>
                <w:tab w:val="clear" w:pos="4320"/>
                <w:tab w:val="clear" w:pos="8640"/>
              </w:tabs>
              <w:jc w:val="center"/>
              <w:rPr>
                <w:i/>
              </w:rPr>
            </w:pPr>
            <w:r>
              <w:rPr>
                <w:i/>
              </w:rPr>
              <w:t>i</w:t>
            </w:r>
          </w:p>
        </w:tc>
        <w:tc>
          <w:tcPr>
            <w:tcW w:w="0" w:type="auto"/>
          </w:tcPr>
          <w:p w:rsidR="003B358F" w:rsidRPr="00B614F1" w:rsidRDefault="00F97D44" w:rsidP="000C4778">
            <w:pPr>
              <w:pStyle w:val="Header"/>
              <w:tabs>
                <w:tab w:val="clear" w:pos="4320"/>
                <w:tab w:val="clear" w:pos="8640"/>
              </w:tabs>
              <w:jc w:val="center"/>
            </w:pPr>
            <w:r>
              <w:t>0.035 ft/ft</w:t>
            </w:r>
          </w:p>
        </w:tc>
        <w:tc>
          <w:tcPr>
            <w:tcW w:w="0" w:type="auto"/>
          </w:tcPr>
          <w:p w:rsidR="003B358F" w:rsidRPr="00B614F1" w:rsidRDefault="00F97D44" w:rsidP="000C4778">
            <w:pPr>
              <w:pStyle w:val="Header"/>
              <w:tabs>
                <w:tab w:val="clear" w:pos="4320"/>
                <w:tab w:val="clear" w:pos="8640"/>
              </w:tabs>
            </w:pPr>
            <w:r>
              <w:t>based on well data</w:t>
            </w:r>
          </w:p>
        </w:tc>
      </w:tr>
      <w:tr w:rsidR="003B358F">
        <w:tc>
          <w:tcPr>
            <w:tcW w:w="0" w:type="auto"/>
          </w:tcPr>
          <w:p w:rsidR="003B358F" w:rsidRDefault="003B358F" w:rsidP="000C4778">
            <w:pPr>
              <w:pStyle w:val="Header"/>
              <w:tabs>
                <w:tab w:val="clear" w:pos="4320"/>
                <w:tab w:val="clear" w:pos="8640"/>
              </w:tabs>
            </w:pPr>
            <w:r>
              <w:t>Effective porosity</w:t>
            </w:r>
          </w:p>
        </w:tc>
        <w:tc>
          <w:tcPr>
            <w:tcW w:w="0" w:type="auto"/>
          </w:tcPr>
          <w:p w:rsidR="003B358F" w:rsidRPr="00327784" w:rsidRDefault="003B358F" w:rsidP="000C4778">
            <w:pPr>
              <w:pStyle w:val="Header"/>
              <w:tabs>
                <w:tab w:val="clear" w:pos="4320"/>
                <w:tab w:val="clear" w:pos="8640"/>
              </w:tabs>
              <w:jc w:val="center"/>
              <w:rPr>
                <w:vertAlign w:val="subscript"/>
              </w:rPr>
            </w:pPr>
            <w:r>
              <w:rPr>
                <w:i/>
              </w:rPr>
              <w:t>n</w:t>
            </w:r>
            <w:r>
              <w:rPr>
                <w:vertAlign w:val="subscript"/>
              </w:rPr>
              <w:t>e</w:t>
            </w:r>
          </w:p>
        </w:tc>
        <w:tc>
          <w:tcPr>
            <w:tcW w:w="0" w:type="auto"/>
          </w:tcPr>
          <w:p w:rsidR="003B358F" w:rsidRPr="00B614F1" w:rsidRDefault="00F97D44" w:rsidP="000C4778">
            <w:pPr>
              <w:pStyle w:val="Header"/>
              <w:tabs>
                <w:tab w:val="clear" w:pos="4320"/>
                <w:tab w:val="clear" w:pos="8640"/>
              </w:tabs>
              <w:jc w:val="center"/>
            </w:pPr>
            <w:r>
              <w:t>0.35</w:t>
            </w:r>
          </w:p>
        </w:tc>
        <w:tc>
          <w:tcPr>
            <w:tcW w:w="0" w:type="auto"/>
          </w:tcPr>
          <w:p w:rsidR="003B358F" w:rsidRPr="00B614F1" w:rsidRDefault="00191D62" w:rsidP="000C4778">
            <w:pPr>
              <w:pStyle w:val="Header"/>
              <w:tabs>
                <w:tab w:val="clear" w:pos="4320"/>
                <w:tab w:val="clear" w:pos="8640"/>
              </w:tabs>
            </w:pPr>
            <w:r>
              <w:t>estimate</w:t>
            </w:r>
          </w:p>
        </w:tc>
      </w:tr>
      <w:tr w:rsidR="003B358F">
        <w:tc>
          <w:tcPr>
            <w:tcW w:w="0" w:type="auto"/>
          </w:tcPr>
          <w:p w:rsidR="003B358F" w:rsidRDefault="003B358F" w:rsidP="000C4778">
            <w:pPr>
              <w:pStyle w:val="Header"/>
              <w:tabs>
                <w:tab w:val="clear" w:pos="4320"/>
                <w:tab w:val="clear" w:pos="8640"/>
              </w:tabs>
            </w:pPr>
            <w:r>
              <w:t>Density</w:t>
            </w:r>
          </w:p>
        </w:tc>
        <w:tc>
          <w:tcPr>
            <w:tcW w:w="0" w:type="auto"/>
          </w:tcPr>
          <w:p w:rsidR="003B358F" w:rsidRPr="005115BF" w:rsidRDefault="003B358F" w:rsidP="000C4778">
            <w:pPr>
              <w:pStyle w:val="Header"/>
              <w:tabs>
                <w:tab w:val="clear" w:pos="4320"/>
                <w:tab w:val="clear" w:pos="8640"/>
              </w:tabs>
              <w:jc w:val="center"/>
              <w:rPr>
                <w:vertAlign w:val="subscript"/>
              </w:rPr>
            </w:pPr>
            <w:r w:rsidRPr="00327784">
              <w:rPr>
                <w:rFonts w:ascii="Symbol" w:hAnsi="Symbol"/>
                <w:i/>
              </w:rPr>
              <w:t></w:t>
            </w:r>
            <w:r>
              <w:rPr>
                <w:vertAlign w:val="subscript"/>
              </w:rPr>
              <w:t>b</w:t>
            </w:r>
          </w:p>
        </w:tc>
        <w:tc>
          <w:tcPr>
            <w:tcW w:w="0" w:type="auto"/>
          </w:tcPr>
          <w:p w:rsidR="003B358F" w:rsidRPr="00F97D44" w:rsidRDefault="00F97D44" w:rsidP="000C4778">
            <w:pPr>
              <w:pStyle w:val="Header"/>
              <w:tabs>
                <w:tab w:val="clear" w:pos="4320"/>
                <w:tab w:val="clear" w:pos="8640"/>
              </w:tabs>
              <w:jc w:val="center"/>
            </w:pPr>
            <w:r>
              <w:t>1.7 g/cm</w:t>
            </w:r>
            <w:r>
              <w:rPr>
                <w:vertAlign w:val="superscript"/>
              </w:rPr>
              <w:t>3</w:t>
            </w:r>
          </w:p>
        </w:tc>
        <w:tc>
          <w:tcPr>
            <w:tcW w:w="0" w:type="auto"/>
          </w:tcPr>
          <w:p w:rsidR="003B358F" w:rsidRPr="00B614F1" w:rsidRDefault="00191D62" w:rsidP="000C4778">
            <w:pPr>
              <w:pStyle w:val="Header"/>
              <w:tabs>
                <w:tab w:val="clear" w:pos="4320"/>
                <w:tab w:val="clear" w:pos="8640"/>
              </w:tabs>
            </w:pPr>
            <w:r>
              <w:t>estimate</w:t>
            </w:r>
          </w:p>
        </w:tc>
      </w:tr>
      <w:tr w:rsidR="003B358F">
        <w:tc>
          <w:tcPr>
            <w:tcW w:w="0" w:type="auto"/>
          </w:tcPr>
          <w:p w:rsidR="003B358F" w:rsidRDefault="003B358F" w:rsidP="000C4778">
            <w:pPr>
              <w:pStyle w:val="Header"/>
              <w:tabs>
                <w:tab w:val="clear" w:pos="4320"/>
                <w:tab w:val="clear" w:pos="8640"/>
              </w:tabs>
            </w:pPr>
            <w:r>
              <w:t>Organic carbon coefficient</w:t>
            </w:r>
          </w:p>
        </w:tc>
        <w:tc>
          <w:tcPr>
            <w:tcW w:w="0" w:type="auto"/>
          </w:tcPr>
          <w:p w:rsidR="003B358F" w:rsidRPr="005115BF" w:rsidRDefault="003B358F" w:rsidP="000C4778">
            <w:pPr>
              <w:pStyle w:val="Header"/>
              <w:tabs>
                <w:tab w:val="clear" w:pos="4320"/>
                <w:tab w:val="clear" w:pos="8640"/>
              </w:tabs>
              <w:jc w:val="center"/>
              <w:rPr>
                <w:vertAlign w:val="subscript"/>
              </w:rPr>
            </w:pPr>
            <w:r w:rsidRPr="005115BF">
              <w:rPr>
                <w:i/>
              </w:rPr>
              <w:t>K</w:t>
            </w:r>
            <w:r w:rsidRPr="005115BF">
              <w:rPr>
                <w:vertAlign w:val="subscript"/>
              </w:rPr>
              <w:t>oc</w:t>
            </w:r>
          </w:p>
        </w:tc>
        <w:tc>
          <w:tcPr>
            <w:tcW w:w="0" w:type="auto"/>
          </w:tcPr>
          <w:p w:rsidR="003B358F" w:rsidRPr="00395DF9" w:rsidRDefault="008273F2" w:rsidP="000C4778">
            <w:pPr>
              <w:pStyle w:val="Header"/>
              <w:tabs>
                <w:tab w:val="clear" w:pos="4320"/>
                <w:tab w:val="clear" w:pos="8640"/>
              </w:tabs>
              <w:jc w:val="center"/>
            </w:pPr>
            <w:r>
              <w:t>58 L/kg</w:t>
            </w:r>
          </w:p>
        </w:tc>
        <w:tc>
          <w:tcPr>
            <w:tcW w:w="0" w:type="auto"/>
          </w:tcPr>
          <w:p w:rsidR="003B358F" w:rsidRPr="00B614F1" w:rsidRDefault="008273F2" w:rsidP="000C4778">
            <w:pPr>
              <w:pStyle w:val="Header"/>
              <w:tabs>
                <w:tab w:val="clear" w:pos="4320"/>
                <w:tab w:val="clear" w:pos="8640"/>
              </w:tabs>
            </w:pPr>
            <w:r>
              <w:t>DEP Ch. 250 Table 5A value</w:t>
            </w:r>
          </w:p>
        </w:tc>
      </w:tr>
      <w:tr w:rsidR="003B358F">
        <w:tc>
          <w:tcPr>
            <w:tcW w:w="0" w:type="auto"/>
          </w:tcPr>
          <w:p w:rsidR="003B358F" w:rsidRDefault="003B358F" w:rsidP="000C4778">
            <w:pPr>
              <w:pStyle w:val="Header"/>
              <w:tabs>
                <w:tab w:val="clear" w:pos="4320"/>
                <w:tab w:val="clear" w:pos="8640"/>
              </w:tabs>
            </w:pPr>
            <w:r>
              <w:t>Fraction of organic carbon</w:t>
            </w:r>
          </w:p>
        </w:tc>
        <w:tc>
          <w:tcPr>
            <w:tcW w:w="0" w:type="auto"/>
          </w:tcPr>
          <w:p w:rsidR="003B358F" w:rsidRPr="005115BF" w:rsidRDefault="003B358F" w:rsidP="000C4778">
            <w:pPr>
              <w:pStyle w:val="Header"/>
              <w:tabs>
                <w:tab w:val="clear" w:pos="4320"/>
                <w:tab w:val="clear" w:pos="8640"/>
              </w:tabs>
              <w:jc w:val="center"/>
              <w:rPr>
                <w:vertAlign w:val="subscript"/>
              </w:rPr>
            </w:pPr>
            <w:r>
              <w:rPr>
                <w:i/>
              </w:rPr>
              <w:t>f</w:t>
            </w:r>
            <w:r>
              <w:rPr>
                <w:vertAlign w:val="subscript"/>
              </w:rPr>
              <w:t>oc</w:t>
            </w:r>
          </w:p>
        </w:tc>
        <w:tc>
          <w:tcPr>
            <w:tcW w:w="0" w:type="auto"/>
          </w:tcPr>
          <w:p w:rsidR="003B358F" w:rsidRPr="00B614F1" w:rsidRDefault="008273F2" w:rsidP="000C4778">
            <w:pPr>
              <w:pStyle w:val="Header"/>
              <w:tabs>
                <w:tab w:val="clear" w:pos="4320"/>
                <w:tab w:val="clear" w:pos="8640"/>
              </w:tabs>
              <w:jc w:val="center"/>
            </w:pPr>
            <w:r>
              <w:t>0.005</w:t>
            </w:r>
          </w:p>
        </w:tc>
        <w:tc>
          <w:tcPr>
            <w:tcW w:w="0" w:type="auto"/>
          </w:tcPr>
          <w:p w:rsidR="003B358F" w:rsidRPr="00B614F1" w:rsidRDefault="00191D62" w:rsidP="000C4778">
            <w:pPr>
              <w:pStyle w:val="Header"/>
              <w:tabs>
                <w:tab w:val="clear" w:pos="4320"/>
                <w:tab w:val="clear" w:pos="8640"/>
              </w:tabs>
            </w:pPr>
            <w:r>
              <w:t>estimate</w:t>
            </w:r>
          </w:p>
        </w:tc>
      </w:tr>
      <w:tr w:rsidR="003B358F">
        <w:tc>
          <w:tcPr>
            <w:tcW w:w="0" w:type="auto"/>
          </w:tcPr>
          <w:p w:rsidR="003B358F" w:rsidRDefault="003B358F" w:rsidP="000C4778">
            <w:pPr>
              <w:pStyle w:val="Header"/>
              <w:tabs>
                <w:tab w:val="clear" w:pos="4320"/>
                <w:tab w:val="clear" w:pos="8640"/>
              </w:tabs>
            </w:pPr>
            <w:r>
              <w:t>Time</w:t>
            </w:r>
          </w:p>
        </w:tc>
        <w:tc>
          <w:tcPr>
            <w:tcW w:w="0" w:type="auto"/>
          </w:tcPr>
          <w:p w:rsidR="003B358F" w:rsidRDefault="003B358F" w:rsidP="000C4778">
            <w:pPr>
              <w:pStyle w:val="Header"/>
              <w:tabs>
                <w:tab w:val="clear" w:pos="4320"/>
                <w:tab w:val="clear" w:pos="8640"/>
              </w:tabs>
              <w:jc w:val="center"/>
              <w:rPr>
                <w:i/>
              </w:rPr>
            </w:pPr>
            <w:r>
              <w:rPr>
                <w:i/>
              </w:rPr>
              <w:t>t</w:t>
            </w:r>
          </w:p>
        </w:tc>
        <w:tc>
          <w:tcPr>
            <w:tcW w:w="0" w:type="auto"/>
          </w:tcPr>
          <w:p w:rsidR="003B358F" w:rsidRPr="005F143F" w:rsidRDefault="008273F2" w:rsidP="000C4778">
            <w:pPr>
              <w:pStyle w:val="Header"/>
              <w:tabs>
                <w:tab w:val="clear" w:pos="4320"/>
                <w:tab w:val="clear" w:pos="8640"/>
              </w:tabs>
              <w:jc w:val="center"/>
            </w:pPr>
            <w:r>
              <w:t>0–30 yr</w:t>
            </w:r>
          </w:p>
        </w:tc>
        <w:tc>
          <w:tcPr>
            <w:tcW w:w="0" w:type="auto"/>
          </w:tcPr>
          <w:p w:rsidR="003B358F" w:rsidRPr="00B614F1" w:rsidRDefault="003B358F" w:rsidP="000C4778">
            <w:pPr>
              <w:pStyle w:val="Header"/>
              <w:tabs>
                <w:tab w:val="clear" w:pos="4320"/>
                <w:tab w:val="clear" w:pos="8640"/>
              </w:tabs>
            </w:pPr>
          </w:p>
        </w:tc>
      </w:tr>
      <w:tr w:rsidR="003B358F" w:rsidTr="00102F11">
        <w:tc>
          <w:tcPr>
            <w:tcW w:w="0" w:type="auto"/>
            <w:tcBorders>
              <w:bottom w:val="single" w:sz="4" w:space="0" w:color="auto"/>
            </w:tcBorders>
            <w:shd w:val="clear" w:color="auto" w:fill="FDE9D9" w:themeFill="accent6" w:themeFillTint="33"/>
          </w:tcPr>
          <w:p w:rsidR="003B358F" w:rsidRDefault="00191D62" w:rsidP="000C4778">
            <w:pPr>
              <w:pStyle w:val="Header"/>
              <w:tabs>
                <w:tab w:val="clear" w:pos="4320"/>
                <w:tab w:val="clear" w:pos="8640"/>
              </w:tabs>
            </w:pPr>
            <w:r>
              <w:t>Transport decay</w:t>
            </w:r>
            <w:r w:rsidR="003B358F">
              <w:t xml:space="preserve"> coefficient</w:t>
            </w:r>
          </w:p>
        </w:tc>
        <w:tc>
          <w:tcPr>
            <w:tcW w:w="0" w:type="auto"/>
            <w:tcBorders>
              <w:bottom w:val="single" w:sz="4" w:space="0" w:color="auto"/>
            </w:tcBorders>
            <w:shd w:val="clear" w:color="auto" w:fill="FDE9D9" w:themeFill="accent6" w:themeFillTint="33"/>
          </w:tcPr>
          <w:p w:rsidR="003B358F" w:rsidRPr="005115BF" w:rsidRDefault="003B358F" w:rsidP="000C4778">
            <w:pPr>
              <w:pStyle w:val="Header"/>
              <w:tabs>
                <w:tab w:val="clear" w:pos="4320"/>
                <w:tab w:val="clear" w:pos="8640"/>
              </w:tabs>
              <w:jc w:val="center"/>
              <w:rPr>
                <w:rFonts w:ascii="Symbol" w:hAnsi="Symbol"/>
                <w:i/>
              </w:rPr>
            </w:pPr>
            <w:r>
              <w:rPr>
                <w:rFonts w:ascii="Symbol" w:hAnsi="Symbol"/>
                <w:i/>
              </w:rPr>
              <w:t></w:t>
            </w:r>
          </w:p>
        </w:tc>
        <w:tc>
          <w:tcPr>
            <w:tcW w:w="0" w:type="auto"/>
            <w:tcBorders>
              <w:bottom w:val="single" w:sz="4" w:space="0" w:color="auto"/>
            </w:tcBorders>
            <w:shd w:val="clear" w:color="auto" w:fill="FDE9D9" w:themeFill="accent6" w:themeFillTint="33"/>
          </w:tcPr>
          <w:p w:rsidR="003B358F" w:rsidRPr="00854FE5" w:rsidRDefault="00854FE5" w:rsidP="000C4778">
            <w:pPr>
              <w:pStyle w:val="Header"/>
              <w:tabs>
                <w:tab w:val="clear" w:pos="4320"/>
                <w:tab w:val="clear" w:pos="8640"/>
              </w:tabs>
              <w:jc w:val="center"/>
              <w:rPr>
                <w:i/>
              </w:rPr>
            </w:pPr>
            <w:r w:rsidRPr="00854FE5">
              <w:rPr>
                <w:i/>
              </w:rPr>
              <w:t>0.35 yr</w:t>
            </w:r>
            <w:r w:rsidRPr="00854FE5">
              <w:rPr>
                <w:i/>
                <w:vertAlign w:val="superscript"/>
              </w:rPr>
              <w:t>–1</w:t>
            </w:r>
          </w:p>
        </w:tc>
        <w:tc>
          <w:tcPr>
            <w:tcW w:w="0" w:type="auto"/>
            <w:tcBorders>
              <w:bottom w:val="single" w:sz="4" w:space="0" w:color="auto"/>
            </w:tcBorders>
            <w:shd w:val="clear" w:color="auto" w:fill="FDE9D9" w:themeFill="accent6" w:themeFillTint="33"/>
          </w:tcPr>
          <w:p w:rsidR="003B358F" w:rsidRPr="00B614F1" w:rsidRDefault="00854FE5" w:rsidP="000C4778">
            <w:pPr>
              <w:pStyle w:val="Header"/>
              <w:tabs>
                <w:tab w:val="clear" w:pos="4320"/>
                <w:tab w:val="clear" w:pos="8640"/>
              </w:tabs>
            </w:pPr>
            <w:r>
              <w:t>variable</w:t>
            </w:r>
          </w:p>
        </w:tc>
      </w:tr>
    </w:tbl>
    <w:p w:rsidR="003B358F" w:rsidRDefault="003B358F"/>
    <w:p w:rsidR="00333612" w:rsidRDefault="00333612">
      <w:r>
        <w:t>Note that necessary unit conversions for QD and Bioscreen are:</w:t>
      </w:r>
    </w:p>
    <w:p w:rsidR="00333612" w:rsidRDefault="00333612" w:rsidP="00333612">
      <w:pPr>
        <w:tabs>
          <w:tab w:val="left" w:pos="360"/>
        </w:tabs>
      </w:pPr>
      <w:r>
        <w:tab/>
      </w:r>
      <w:r>
        <w:rPr>
          <w:i/>
        </w:rPr>
        <w:t>K</w:t>
      </w:r>
      <w:r>
        <w:t>: 2835 (ft/day)/(cm/s)</w:t>
      </w:r>
    </w:p>
    <w:p w:rsidR="00333612" w:rsidRPr="00333612" w:rsidRDefault="00333612" w:rsidP="00333612">
      <w:pPr>
        <w:tabs>
          <w:tab w:val="left" w:pos="360"/>
        </w:tabs>
        <w:rPr>
          <w:rFonts w:ascii="Symbol" w:hAnsi="Symbol"/>
        </w:rPr>
      </w:pPr>
      <w:r>
        <w:tab/>
      </w:r>
      <w:r>
        <w:rPr>
          <w:rFonts w:ascii="Symbol" w:hAnsi="Symbol"/>
          <w:i/>
        </w:rPr>
        <w:t></w:t>
      </w:r>
      <w:r>
        <w:t>: 365.25 (yr</w:t>
      </w:r>
      <w:r>
        <w:rPr>
          <w:vertAlign w:val="superscript"/>
        </w:rPr>
        <w:t>–1</w:t>
      </w:r>
      <w:r>
        <w:t>)/(day</w:t>
      </w:r>
      <w:r>
        <w:rPr>
          <w:vertAlign w:val="superscript"/>
        </w:rPr>
        <w:t>–1</w:t>
      </w:r>
      <w:r>
        <w:t>).</w:t>
      </w:r>
    </w:p>
    <w:p w:rsidR="00333612" w:rsidRDefault="00333612"/>
    <w:p w:rsidR="0077525D" w:rsidRDefault="00854FE5">
      <w:r>
        <w:t xml:space="preserve">We focus on three variables in the modeling: </w:t>
      </w:r>
      <w:r w:rsidR="00A81C4C">
        <w:rPr>
          <w:rFonts w:ascii="Symbol" w:hAnsi="Symbol"/>
          <w:i/>
        </w:rPr>
        <w:t></w:t>
      </w:r>
      <w:r w:rsidR="00A81C4C">
        <w:rPr>
          <w:i/>
          <w:vertAlign w:val="subscript"/>
        </w:rPr>
        <w:t>x</w:t>
      </w:r>
      <w:r w:rsidR="00A81C4C">
        <w:t xml:space="preserve">, </w:t>
      </w:r>
      <w:r w:rsidR="00A81C4C">
        <w:rPr>
          <w:i/>
        </w:rPr>
        <w:t>K</w:t>
      </w:r>
      <w:r w:rsidR="00A81C4C">
        <w:t xml:space="preserve">, and </w:t>
      </w:r>
      <w:r w:rsidR="00A81C4C">
        <w:rPr>
          <w:rFonts w:ascii="Symbol" w:hAnsi="Symbol"/>
          <w:i/>
        </w:rPr>
        <w:t></w:t>
      </w:r>
      <w:r w:rsidR="00A81C4C">
        <w:t xml:space="preserve">. </w:t>
      </w:r>
    </w:p>
    <w:p w:rsidR="00CB1549" w:rsidRDefault="00CB1549"/>
    <w:p w:rsidR="00CB1549" w:rsidRDefault="0077525D" w:rsidP="0077525D">
      <w:pPr>
        <w:ind w:left="180" w:hanging="180"/>
      </w:pPr>
      <w:r>
        <w:t>•</w:t>
      </w:r>
      <w:r>
        <w:tab/>
      </w:r>
      <w:r w:rsidR="00A81C4C">
        <w:t xml:space="preserve">The initial value of the longitudinal dispersivity is set to 10% of the distance from the source to the point of compliance, which is the property boundary. This is the location where we want to </w:t>
      </w:r>
      <w:r>
        <w:t>assess</w:t>
      </w:r>
      <w:r w:rsidR="00A81C4C">
        <w:t xml:space="preserve"> </w:t>
      </w:r>
      <w:r w:rsidR="00CB1549">
        <w:t>potential exceedences</w:t>
      </w:r>
      <w:r w:rsidR="00A81C4C">
        <w:t>, so it is the scale of interest. The variation from this baseline value can be an order of magnitude.</w:t>
      </w:r>
    </w:p>
    <w:p w:rsidR="0077525D" w:rsidRDefault="00A81C4C" w:rsidP="0077525D">
      <w:pPr>
        <w:ind w:left="180" w:hanging="180"/>
      </w:pPr>
      <w:r>
        <w:t xml:space="preserve"> </w:t>
      </w:r>
    </w:p>
    <w:p w:rsidR="0077525D" w:rsidRDefault="0077525D" w:rsidP="0077525D">
      <w:pPr>
        <w:ind w:left="180" w:hanging="180"/>
      </w:pPr>
      <w:r>
        <w:t>•</w:t>
      </w:r>
      <w:r>
        <w:tab/>
      </w:r>
      <w:r w:rsidR="00A81C4C">
        <w:t xml:space="preserve">The initial value of the hydraulic conductivity is taken from the average slug test results. It, too, can vary by a factor of 10. </w:t>
      </w:r>
    </w:p>
    <w:p w:rsidR="00CB1549" w:rsidRDefault="00CB1549" w:rsidP="0077525D">
      <w:pPr>
        <w:ind w:left="180" w:hanging="180"/>
      </w:pPr>
    </w:p>
    <w:p w:rsidR="00AA1FC7" w:rsidRDefault="0077525D" w:rsidP="0077525D">
      <w:pPr>
        <w:ind w:left="180" w:hanging="180"/>
      </w:pPr>
      <w:r>
        <w:t>•</w:t>
      </w:r>
      <w:r>
        <w:tab/>
      </w:r>
      <w:r w:rsidR="00CC4FAD">
        <w:t xml:space="preserve">The initial degradation rate is DEP’s Ch. 250 Table 5A value. This is uncertain by at least an order of magnitude, and it </w:t>
      </w:r>
      <w:r w:rsidR="001655BC">
        <w:t>is</w:t>
      </w:r>
      <w:r w:rsidR="00CC4FAD">
        <w:t xml:space="preserve"> the primary variable for calibrating the models.</w:t>
      </w:r>
    </w:p>
    <w:p w:rsidR="00CC4FAD" w:rsidRDefault="00CC4FAD"/>
    <w:p w:rsidR="00CC4FAD" w:rsidRDefault="00CC4FAD">
      <w:r>
        <w:t>Therefore, we model the following parameter space</w:t>
      </w:r>
      <w:r w:rsidR="000C4778">
        <w:t xml:space="preserve">, varying </w:t>
      </w:r>
      <w:r w:rsidR="000C4778">
        <w:rPr>
          <w:rFonts w:ascii="Symbol" w:hAnsi="Symbol"/>
          <w:i/>
        </w:rPr>
        <w:t></w:t>
      </w:r>
      <w:r w:rsidR="000C4778">
        <w:t xml:space="preserve"> in each simulation to best fit the MW-3 and MW-10 calibration points at two times, </w:t>
      </w:r>
      <w:r w:rsidR="000C4778">
        <w:rPr>
          <w:i/>
        </w:rPr>
        <w:t>t</w:t>
      </w:r>
      <w:r w:rsidR="000C4778">
        <w:t xml:space="preserve"> = 10 yr and 20 yr</w:t>
      </w:r>
      <w:r>
        <w:t xml:space="preserve">. </w:t>
      </w:r>
      <w:r w:rsidR="002E23F6">
        <w:t xml:space="preserve">The source decay rate, </w:t>
      </w:r>
      <w:r w:rsidR="002E23F6">
        <w:rPr>
          <w:i/>
        </w:rPr>
        <w:t>k</w:t>
      </w:r>
      <w:r w:rsidR="002E23F6">
        <w:t>, is constant for these first nine models.</w:t>
      </w:r>
    </w:p>
    <w:p w:rsidR="00EB4463" w:rsidRDefault="00EB4463"/>
    <w:p w:rsidR="00BD5B12" w:rsidRDefault="00BD5B12">
      <w:pPr>
        <w:rPr>
          <w:b/>
        </w:rPr>
      </w:pPr>
      <w:r>
        <w:rPr>
          <w:b/>
        </w:rPr>
        <w:br w:type="page"/>
      </w:r>
    </w:p>
    <w:p w:rsidR="00EB4463" w:rsidRPr="00EB4463" w:rsidRDefault="00CB1549">
      <w:r>
        <w:rPr>
          <w:b/>
        </w:rPr>
        <w:lastRenderedPageBreak/>
        <w:t>Table A4.2-</w:t>
      </w:r>
      <w:r w:rsidR="00EB4463">
        <w:rPr>
          <w:b/>
        </w:rPr>
        <w:t xml:space="preserve">4. </w:t>
      </w:r>
      <w:r w:rsidR="00EB4463">
        <w:t>Model parameter ranges</w:t>
      </w:r>
    </w:p>
    <w:tbl>
      <w:tblPr>
        <w:tblStyle w:val="TableStyleCDB"/>
        <w:tblW w:w="0" w:type="auto"/>
        <w:tblLook w:val="01E0" w:firstRow="1" w:lastRow="1" w:firstColumn="1" w:lastColumn="1" w:noHBand="0" w:noVBand="0"/>
      </w:tblPr>
      <w:tblGrid>
        <w:gridCol w:w="870"/>
        <w:gridCol w:w="828"/>
        <w:gridCol w:w="1196"/>
      </w:tblGrid>
      <w:tr w:rsidR="00D042A4" w:rsidRPr="00CC4FAD" w:rsidTr="00C5276F">
        <w:trPr>
          <w:cnfStyle w:val="100000000000" w:firstRow="1" w:lastRow="0" w:firstColumn="0" w:lastColumn="0" w:oddVBand="0" w:evenVBand="0" w:oddHBand="0" w:evenHBand="0" w:firstRowFirstColumn="0" w:firstRowLastColumn="0" w:lastRowFirstColumn="0" w:lastRowLastColumn="0"/>
        </w:trPr>
        <w:tc>
          <w:tcPr>
            <w:tcW w:w="0" w:type="auto"/>
            <w:shd w:val="clear" w:color="auto" w:fill="F2F2F2" w:themeFill="background1" w:themeFillShade="F2"/>
          </w:tcPr>
          <w:p w:rsidR="00D042A4" w:rsidRPr="00CC4FAD" w:rsidRDefault="00D042A4">
            <w:pPr>
              <w:rPr>
                <w:b/>
              </w:rPr>
            </w:pPr>
            <w:r w:rsidRPr="00CC4FAD">
              <w:rPr>
                <w:b/>
              </w:rPr>
              <w:t>Model</w:t>
            </w:r>
          </w:p>
        </w:tc>
        <w:tc>
          <w:tcPr>
            <w:tcW w:w="0" w:type="auto"/>
            <w:shd w:val="clear" w:color="auto" w:fill="F2F2F2" w:themeFill="background1" w:themeFillShade="F2"/>
          </w:tcPr>
          <w:p w:rsidR="00D042A4" w:rsidRPr="00CC4FAD" w:rsidRDefault="00D042A4" w:rsidP="00CC4FAD">
            <w:pPr>
              <w:jc w:val="center"/>
              <w:rPr>
                <w:b/>
              </w:rPr>
            </w:pPr>
            <w:r w:rsidRPr="00CC4FAD">
              <w:rPr>
                <w:rFonts w:ascii="Symbol" w:hAnsi="Symbol"/>
                <w:b/>
                <w:i/>
              </w:rPr>
              <w:t></w:t>
            </w:r>
            <w:r w:rsidRPr="00CC4FAD">
              <w:rPr>
                <w:b/>
                <w:i/>
                <w:vertAlign w:val="subscript"/>
              </w:rPr>
              <w:t>x</w:t>
            </w:r>
            <w:r w:rsidRPr="00CC4FAD">
              <w:rPr>
                <w:b/>
              </w:rPr>
              <w:t xml:space="preserve"> (ft)</w:t>
            </w:r>
          </w:p>
        </w:tc>
        <w:tc>
          <w:tcPr>
            <w:tcW w:w="0" w:type="auto"/>
            <w:shd w:val="clear" w:color="auto" w:fill="F2F2F2" w:themeFill="background1" w:themeFillShade="F2"/>
          </w:tcPr>
          <w:p w:rsidR="00D042A4" w:rsidRPr="00CC4FAD" w:rsidRDefault="00D042A4" w:rsidP="00CC4FAD">
            <w:pPr>
              <w:jc w:val="center"/>
              <w:rPr>
                <w:b/>
              </w:rPr>
            </w:pPr>
            <w:r w:rsidRPr="00CC4FAD">
              <w:rPr>
                <w:b/>
                <w:i/>
              </w:rPr>
              <w:t>K</w:t>
            </w:r>
            <w:r w:rsidRPr="00CC4FAD">
              <w:rPr>
                <w:b/>
              </w:rPr>
              <w:t xml:space="preserve"> (ft/day)</w:t>
            </w:r>
          </w:p>
        </w:tc>
      </w:tr>
      <w:tr w:rsidR="00D042A4" w:rsidRPr="00CC4FAD" w:rsidTr="00C5276F">
        <w:tc>
          <w:tcPr>
            <w:tcW w:w="0" w:type="auto"/>
            <w:shd w:val="clear" w:color="auto" w:fill="FDE9D9" w:themeFill="accent6" w:themeFillTint="33"/>
          </w:tcPr>
          <w:p w:rsidR="00D042A4" w:rsidRPr="00CC4FAD" w:rsidRDefault="00D042A4">
            <w:r>
              <w:t>01</w:t>
            </w:r>
          </w:p>
        </w:tc>
        <w:tc>
          <w:tcPr>
            <w:tcW w:w="0" w:type="auto"/>
            <w:shd w:val="clear" w:color="auto" w:fill="FDE9D9" w:themeFill="accent6" w:themeFillTint="33"/>
          </w:tcPr>
          <w:p w:rsidR="00D042A4" w:rsidRPr="00CC4FAD" w:rsidRDefault="00D042A4" w:rsidP="00BD5B12">
            <w:pPr>
              <w:tabs>
                <w:tab w:val="decimal" w:pos="294"/>
              </w:tabs>
            </w:pPr>
            <w:r>
              <w:t>7.5</w:t>
            </w:r>
          </w:p>
        </w:tc>
        <w:tc>
          <w:tcPr>
            <w:tcW w:w="0" w:type="auto"/>
            <w:shd w:val="clear" w:color="auto" w:fill="FDE9D9" w:themeFill="accent6" w:themeFillTint="33"/>
          </w:tcPr>
          <w:p w:rsidR="00D042A4" w:rsidRPr="00CC4FAD" w:rsidRDefault="00D042A4" w:rsidP="00BD5B12">
            <w:pPr>
              <w:tabs>
                <w:tab w:val="decimal" w:pos="372"/>
              </w:tabs>
            </w:pPr>
            <w:r>
              <w:t>0.472</w:t>
            </w:r>
          </w:p>
        </w:tc>
      </w:tr>
      <w:tr w:rsidR="00D042A4" w:rsidRPr="00CC4FAD">
        <w:tc>
          <w:tcPr>
            <w:tcW w:w="0" w:type="auto"/>
          </w:tcPr>
          <w:p w:rsidR="00D042A4" w:rsidRPr="00CC4FAD" w:rsidRDefault="00D042A4">
            <w:r>
              <w:t>02</w:t>
            </w:r>
          </w:p>
        </w:tc>
        <w:tc>
          <w:tcPr>
            <w:tcW w:w="0" w:type="auto"/>
          </w:tcPr>
          <w:p w:rsidR="00D042A4" w:rsidRPr="00CC4FAD" w:rsidRDefault="00D042A4" w:rsidP="00BD5B12">
            <w:pPr>
              <w:tabs>
                <w:tab w:val="decimal" w:pos="294"/>
              </w:tabs>
            </w:pPr>
            <w:r>
              <w:t>0.75</w:t>
            </w:r>
          </w:p>
        </w:tc>
        <w:tc>
          <w:tcPr>
            <w:tcW w:w="0" w:type="auto"/>
          </w:tcPr>
          <w:p w:rsidR="00D042A4" w:rsidRPr="00CC4FAD" w:rsidRDefault="00D042A4" w:rsidP="00BD5B12">
            <w:pPr>
              <w:tabs>
                <w:tab w:val="decimal" w:pos="372"/>
              </w:tabs>
            </w:pPr>
            <w:r>
              <w:t>0.472</w:t>
            </w:r>
          </w:p>
        </w:tc>
      </w:tr>
      <w:tr w:rsidR="00D042A4" w:rsidRPr="00CC4FAD">
        <w:tc>
          <w:tcPr>
            <w:tcW w:w="0" w:type="auto"/>
          </w:tcPr>
          <w:p w:rsidR="00D042A4" w:rsidRPr="00CC4FAD" w:rsidRDefault="00D042A4">
            <w:r>
              <w:t>03</w:t>
            </w:r>
          </w:p>
        </w:tc>
        <w:tc>
          <w:tcPr>
            <w:tcW w:w="0" w:type="auto"/>
          </w:tcPr>
          <w:p w:rsidR="00D042A4" w:rsidRPr="00CC4FAD" w:rsidRDefault="00D042A4" w:rsidP="00BD5B12">
            <w:pPr>
              <w:tabs>
                <w:tab w:val="decimal" w:pos="294"/>
              </w:tabs>
            </w:pPr>
            <w:r>
              <w:t>75</w:t>
            </w:r>
          </w:p>
        </w:tc>
        <w:tc>
          <w:tcPr>
            <w:tcW w:w="0" w:type="auto"/>
          </w:tcPr>
          <w:p w:rsidR="00D042A4" w:rsidRPr="00CC4FAD" w:rsidRDefault="00D042A4" w:rsidP="00BD5B12">
            <w:pPr>
              <w:tabs>
                <w:tab w:val="decimal" w:pos="372"/>
              </w:tabs>
            </w:pPr>
            <w:r>
              <w:t>0.472</w:t>
            </w:r>
          </w:p>
        </w:tc>
      </w:tr>
      <w:tr w:rsidR="00D042A4" w:rsidRPr="00CC4FAD">
        <w:tc>
          <w:tcPr>
            <w:tcW w:w="0" w:type="auto"/>
          </w:tcPr>
          <w:p w:rsidR="00D042A4" w:rsidRPr="00CC4FAD" w:rsidRDefault="00D042A4">
            <w:r>
              <w:t>04</w:t>
            </w:r>
          </w:p>
        </w:tc>
        <w:tc>
          <w:tcPr>
            <w:tcW w:w="0" w:type="auto"/>
          </w:tcPr>
          <w:p w:rsidR="00D042A4" w:rsidRPr="00CC4FAD" w:rsidRDefault="00D042A4" w:rsidP="00BD5B12">
            <w:pPr>
              <w:tabs>
                <w:tab w:val="decimal" w:pos="294"/>
              </w:tabs>
            </w:pPr>
            <w:r>
              <w:t>0.75</w:t>
            </w:r>
          </w:p>
        </w:tc>
        <w:tc>
          <w:tcPr>
            <w:tcW w:w="0" w:type="auto"/>
          </w:tcPr>
          <w:p w:rsidR="00D042A4" w:rsidRPr="00CC4FAD" w:rsidRDefault="00D042A4" w:rsidP="00BD5B12">
            <w:pPr>
              <w:tabs>
                <w:tab w:val="decimal" w:pos="372"/>
              </w:tabs>
            </w:pPr>
            <w:r>
              <w:t>0.047</w:t>
            </w:r>
          </w:p>
        </w:tc>
      </w:tr>
      <w:tr w:rsidR="00D042A4" w:rsidRPr="00CC4FAD">
        <w:tc>
          <w:tcPr>
            <w:tcW w:w="0" w:type="auto"/>
          </w:tcPr>
          <w:p w:rsidR="00D042A4" w:rsidRPr="00CC4FAD" w:rsidRDefault="00D042A4">
            <w:r>
              <w:t>05</w:t>
            </w:r>
          </w:p>
        </w:tc>
        <w:tc>
          <w:tcPr>
            <w:tcW w:w="0" w:type="auto"/>
          </w:tcPr>
          <w:p w:rsidR="00D042A4" w:rsidRPr="00CC4FAD" w:rsidRDefault="00D042A4" w:rsidP="00BD5B12">
            <w:pPr>
              <w:tabs>
                <w:tab w:val="decimal" w:pos="294"/>
              </w:tabs>
            </w:pPr>
            <w:r>
              <w:t>7.5</w:t>
            </w:r>
          </w:p>
        </w:tc>
        <w:tc>
          <w:tcPr>
            <w:tcW w:w="0" w:type="auto"/>
          </w:tcPr>
          <w:p w:rsidR="00D042A4" w:rsidRPr="00CC4FAD" w:rsidRDefault="00D042A4" w:rsidP="00BD5B12">
            <w:pPr>
              <w:tabs>
                <w:tab w:val="decimal" w:pos="372"/>
              </w:tabs>
            </w:pPr>
            <w:r>
              <w:t>0.047</w:t>
            </w:r>
          </w:p>
        </w:tc>
      </w:tr>
      <w:tr w:rsidR="00D042A4" w:rsidRPr="00CC4FAD">
        <w:tc>
          <w:tcPr>
            <w:tcW w:w="0" w:type="auto"/>
          </w:tcPr>
          <w:p w:rsidR="00D042A4" w:rsidRPr="00CC4FAD" w:rsidRDefault="00D042A4">
            <w:r>
              <w:t>06</w:t>
            </w:r>
          </w:p>
        </w:tc>
        <w:tc>
          <w:tcPr>
            <w:tcW w:w="0" w:type="auto"/>
          </w:tcPr>
          <w:p w:rsidR="00D042A4" w:rsidRPr="00CC4FAD" w:rsidRDefault="00D042A4" w:rsidP="00BD5B12">
            <w:pPr>
              <w:tabs>
                <w:tab w:val="decimal" w:pos="294"/>
              </w:tabs>
            </w:pPr>
            <w:r>
              <w:t>75</w:t>
            </w:r>
          </w:p>
        </w:tc>
        <w:tc>
          <w:tcPr>
            <w:tcW w:w="0" w:type="auto"/>
          </w:tcPr>
          <w:p w:rsidR="00D042A4" w:rsidRPr="00CC4FAD" w:rsidRDefault="00D042A4" w:rsidP="00BD5B12">
            <w:pPr>
              <w:tabs>
                <w:tab w:val="decimal" w:pos="372"/>
              </w:tabs>
            </w:pPr>
            <w:r>
              <w:t>0.047</w:t>
            </w:r>
          </w:p>
        </w:tc>
      </w:tr>
      <w:tr w:rsidR="00D042A4" w:rsidRPr="00CC4FAD">
        <w:tc>
          <w:tcPr>
            <w:tcW w:w="0" w:type="auto"/>
          </w:tcPr>
          <w:p w:rsidR="00D042A4" w:rsidRPr="00CC4FAD" w:rsidRDefault="00D042A4">
            <w:r>
              <w:t>07</w:t>
            </w:r>
          </w:p>
        </w:tc>
        <w:tc>
          <w:tcPr>
            <w:tcW w:w="0" w:type="auto"/>
          </w:tcPr>
          <w:p w:rsidR="00D042A4" w:rsidRPr="00CC4FAD" w:rsidRDefault="00D042A4" w:rsidP="00BD5B12">
            <w:pPr>
              <w:tabs>
                <w:tab w:val="decimal" w:pos="294"/>
              </w:tabs>
            </w:pPr>
            <w:r>
              <w:t>0.75</w:t>
            </w:r>
          </w:p>
        </w:tc>
        <w:tc>
          <w:tcPr>
            <w:tcW w:w="0" w:type="auto"/>
          </w:tcPr>
          <w:p w:rsidR="00D042A4" w:rsidRPr="00CC4FAD" w:rsidRDefault="00D042A4" w:rsidP="00BD5B12">
            <w:pPr>
              <w:tabs>
                <w:tab w:val="decimal" w:pos="372"/>
              </w:tabs>
            </w:pPr>
            <w:r>
              <w:t>4.7</w:t>
            </w:r>
          </w:p>
        </w:tc>
      </w:tr>
      <w:tr w:rsidR="00D042A4" w:rsidRPr="00CC4FAD">
        <w:tc>
          <w:tcPr>
            <w:tcW w:w="0" w:type="auto"/>
          </w:tcPr>
          <w:p w:rsidR="00D042A4" w:rsidRPr="00CC4FAD" w:rsidRDefault="00D042A4">
            <w:r>
              <w:t>08</w:t>
            </w:r>
          </w:p>
        </w:tc>
        <w:tc>
          <w:tcPr>
            <w:tcW w:w="0" w:type="auto"/>
          </w:tcPr>
          <w:p w:rsidR="00D042A4" w:rsidRPr="00CC4FAD" w:rsidRDefault="00D042A4" w:rsidP="00BD5B12">
            <w:pPr>
              <w:tabs>
                <w:tab w:val="decimal" w:pos="294"/>
              </w:tabs>
            </w:pPr>
            <w:r>
              <w:t>7.5</w:t>
            </w:r>
          </w:p>
        </w:tc>
        <w:tc>
          <w:tcPr>
            <w:tcW w:w="0" w:type="auto"/>
          </w:tcPr>
          <w:p w:rsidR="00D042A4" w:rsidRPr="00CC4FAD" w:rsidRDefault="00D042A4" w:rsidP="00BD5B12">
            <w:pPr>
              <w:tabs>
                <w:tab w:val="decimal" w:pos="372"/>
              </w:tabs>
            </w:pPr>
            <w:r>
              <w:t>4.7</w:t>
            </w:r>
          </w:p>
        </w:tc>
      </w:tr>
      <w:tr w:rsidR="00D042A4" w:rsidRPr="00CC4FAD">
        <w:tc>
          <w:tcPr>
            <w:tcW w:w="0" w:type="auto"/>
          </w:tcPr>
          <w:p w:rsidR="00D042A4" w:rsidRPr="00CC4FAD" w:rsidRDefault="00D042A4">
            <w:r>
              <w:t>09</w:t>
            </w:r>
          </w:p>
        </w:tc>
        <w:tc>
          <w:tcPr>
            <w:tcW w:w="0" w:type="auto"/>
          </w:tcPr>
          <w:p w:rsidR="00D042A4" w:rsidRPr="00CC4FAD" w:rsidRDefault="00D042A4" w:rsidP="00BD5B12">
            <w:pPr>
              <w:tabs>
                <w:tab w:val="decimal" w:pos="294"/>
              </w:tabs>
            </w:pPr>
            <w:r>
              <w:t>75</w:t>
            </w:r>
          </w:p>
        </w:tc>
        <w:tc>
          <w:tcPr>
            <w:tcW w:w="0" w:type="auto"/>
          </w:tcPr>
          <w:p w:rsidR="00D042A4" w:rsidRPr="00CC4FAD" w:rsidRDefault="00D042A4" w:rsidP="00BD5B12">
            <w:pPr>
              <w:tabs>
                <w:tab w:val="decimal" w:pos="372"/>
              </w:tabs>
            </w:pPr>
            <w:r>
              <w:t>4.7</w:t>
            </w:r>
          </w:p>
        </w:tc>
      </w:tr>
    </w:tbl>
    <w:p w:rsidR="00AA1FC7" w:rsidRDefault="00AA1FC7"/>
    <w:p w:rsidR="008D7217" w:rsidRDefault="001F129F">
      <w:r>
        <w:t xml:space="preserve">Figure </w:t>
      </w:r>
      <w:r w:rsidR="001F2841">
        <w:t>A4</w:t>
      </w:r>
      <w:r w:rsidR="00CB1549">
        <w:t>.2-</w:t>
      </w:r>
      <w:r>
        <w:t>3 illustrates the input screen for Model 01.</w:t>
      </w:r>
    </w:p>
    <w:p w:rsidR="0063656D" w:rsidRDefault="0063656D"/>
    <w:p w:rsidR="0063656D" w:rsidRPr="0063656D" w:rsidRDefault="0063656D">
      <w:pPr>
        <w:rPr>
          <w:rFonts w:ascii="Symbol" w:hAnsi="Symbol"/>
        </w:rPr>
        <w:sectPr w:rsidR="0063656D" w:rsidRPr="0063656D" w:rsidSect="00DF6A30">
          <w:footerReference w:type="default" r:id="rId15"/>
          <w:pgSz w:w="12240" w:h="15840"/>
          <w:pgMar w:top="1440" w:right="1440" w:bottom="1440" w:left="1440" w:header="720" w:footer="720" w:gutter="0"/>
          <w:cols w:space="720"/>
          <w:docGrid w:linePitch="360"/>
        </w:sectPr>
      </w:pPr>
      <w:r>
        <w:t xml:space="preserve">In addition, we run two models with the alternate formulas for the </w:t>
      </w:r>
      <w:r w:rsidR="00CB1549">
        <w:t xml:space="preserve">minimum and maximum </w:t>
      </w:r>
      <w:r>
        <w:t>source concentration</w:t>
      </w:r>
      <w:r w:rsidR="00CB1549">
        <w:t>s</w:t>
      </w:r>
      <w:r>
        <w:t xml:space="preserve"> (</w:t>
      </w:r>
      <w:r>
        <w:rPr>
          <w:i/>
        </w:rPr>
        <w:t>C</w:t>
      </w:r>
      <w:r>
        <w:rPr>
          <w:vertAlign w:val="subscript"/>
        </w:rPr>
        <w:t>MW-7 lo</w:t>
      </w:r>
      <w:r>
        <w:t xml:space="preserve"> and </w:t>
      </w:r>
      <w:r>
        <w:rPr>
          <w:i/>
        </w:rPr>
        <w:t>C</w:t>
      </w:r>
      <w:r>
        <w:rPr>
          <w:vertAlign w:val="subscript"/>
        </w:rPr>
        <w:t>MW-7 hi</w:t>
      </w:r>
      <w:r>
        <w:t xml:space="preserve"> above), Models 10 and 11. They have the same values of </w:t>
      </w:r>
      <w:r>
        <w:rPr>
          <w:rFonts w:ascii="Symbol" w:hAnsi="Symbol"/>
          <w:i/>
        </w:rPr>
        <w:t></w:t>
      </w:r>
      <w:r>
        <w:rPr>
          <w:i/>
          <w:vertAlign w:val="subscript"/>
        </w:rPr>
        <w:t>x</w:t>
      </w:r>
      <w:r>
        <w:t xml:space="preserve"> and </w:t>
      </w:r>
      <w:r>
        <w:rPr>
          <w:i/>
        </w:rPr>
        <w:t>K</w:t>
      </w:r>
      <w:r>
        <w:t xml:space="preserve"> as the baseline Model 01.</w:t>
      </w:r>
      <w:r w:rsidR="002053A2">
        <w:t xml:space="preserve"> (Note that the calibration point concentrations are redefined for these models using the alternate slopes.)</w:t>
      </w:r>
    </w:p>
    <w:p w:rsidR="001F129F" w:rsidRDefault="00214C84">
      <w:r>
        <w:rPr>
          <w:noProof/>
        </w:rPr>
        <w:lastRenderedPageBreak/>
        <w:drawing>
          <wp:inline distT="0" distB="0" distL="0" distR="0">
            <wp:extent cx="7894320" cy="5707380"/>
            <wp:effectExtent l="0" t="0" r="0" b="7620"/>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94320" cy="5707380"/>
                    </a:xfrm>
                    <a:prstGeom prst="rect">
                      <a:avLst/>
                    </a:prstGeom>
                    <a:noFill/>
                    <a:ln>
                      <a:noFill/>
                    </a:ln>
                  </pic:spPr>
                </pic:pic>
              </a:graphicData>
            </a:graphic>
          </wp:inline>
        </w:drawing>
      </w:r>
    </w:p>
    <w:p w:rsidR="00AA2220" w:rsidRPr="00AA2220" w:rsidRDefault="00AA2220">
      <w:r>
        <w:rPr>
          <w:b/>
        </w:rPr>
        <w:t xml:space="preserve">Figure </w:t>
      </w:r>
      <w:r w:rsidR="001F2841">
        <w:rPr>
          <w:b/>
        </w:rPr>
        <w:t>A4</w:t>
      </w:r>
      <w:r w:rsidR="00CB1549">
        <w:rPr>
          <w:b/>
        </w:rPr>
        <w:t>.2-</w:t>
      </w:r>
      <w:r>
        <w:rPr>
          <w:b/>
        </w:rPr>
        <w:t xml:space="preserve">3. </w:t>
      </w:r>
      <w:r>
        <w:t>Bioscreen-AT screenshot of data input worksheet for Model 01.</w:t>
      </w:r>
    </w:p>
    <w:p w:rsidR="008D7217" w:rsidRDefault="008D7217">
      <w:pPr>
        <w:sectPr w:rsidR="008D7217" w:rsidSect="008D7217">
          <w:footerReference w:type="default" r:id="rId17"/>
          <w:pgSz w:w="15840" w:h="12240" w:orient="landscape"/>
          <w:pgMar w:top="1440" w:right="1440" w:bottom="1440" w:left="1440" w:header="720" w:footer="720" w:gutter="0"/>
          <w:cols w:space="720"/>
          <w:docGrid w:linePitch="360"/>
        </w:sectPr>
      </w:pPr>
    </w:p>
    <w:p w:rsidR="0077525D" w:rsidRDefault="0077525D" w:rsidP="0077525D"/>
    <w:tbl>
      <w:tblPr>
        <w:tblStyle w:val="TableStyleCDB"/>
        <w:tblW w:w="5000" w:type="pct"/>
        <w:tblBorders>
          <w:left w:val="single" w:sz="4" w:space="0" w:color="auto"/>
          <w:right w:val="single" w:sz="4" w:space="0" w:color="auto"/>
        </w:tblBorders>
        <w:shd w:val="clear" w:color="auto" w:fill="FFCCFF"/>
        <w:tblLook w:val="01E0" w:firstRow="1" w:lastRow="1" w:firstColumn="1" w:lastColumn="1" w:noHBand="0" w:noVBand="0"/>
      </w:tblPr>
      <w:tblGrid>
        <w:gridCol w:w="9576"/>
      </w:tblGrid>
      <w:tr w:rsidR="0077525D">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FCCFF"/>
          </w:tcPr>
          <w:p w:rsidR="0077525D" w:rsidRPr="0050390D" w:rsidRDefault="0077525D" w:rsidP="0050390D">
            <w:pPr>
              <w:tabs>
                <w:tab w:val="left" w:pos="180"/>
              </w:tabs>
              <w:spacing w:before="120" w:after="120"/>
              <w:ind w:left="187" w:hanging="187"/>
              <w:rPr>
                <w:rFonts w:ascii="Arial" w:hAnsi="Arial" w:cs="Arial"/>
                <w:b/>
              </w:rPr>
            </w:pPr>
            <w:r w:rsidRPr="00B26DD9">
              <w:rPr>
                <w:rFonts w:ascii="Arial" w:hAnsi="Arial" w:cs="Arial"/>
                <w:b/>
              </w:rPr>
              <w:t>Important Bioscreen-AT Tips</w:t>
            </w:r>
          </w:p>
        </w:tc>
      </w:tr>
      <w:tr w:rsidR="0077525D">
        <w:tc>
          <w:tcPr>
            <w:tcW w:w="5000" w:type="pct"/>
            <w:shd w:val="clear" w:color="auto" w:fill="FFCCFF"/>
          </w:tcPr>
          <w:p w:rsidR="0077525D" w:rsidRDefault="0077525D" w:rsidP="0050390D">
            <w:pPr>
              <w:tabs>
                <w:tab w:val="left" w:pos="180"/>
              </w:tabs>
              <w:spacing w:before="120"/>
              <w:ind w:left="187" w:hanging="187"/>
            </w:pPr>
            <w:r>
              <w:t>•</w:t>
            </w:r>
            <w:r>
              <w:tab/>
              <w:t>Be certain to enter parameter values with the correct units, as some units are different than QD.</w:t>
            </w:r>
          </w:p>
          <w:tbl>
            <w:tblPr>
              <w:tblStyle w:val="TableStyleCDB"/>
              <w:tblW w:w="0" w:type="auto"/>
              <w:tblInd w:w="180" w:type="dxa"/>
              <w:tblLook w:val="01E0" w:firstRow="1" w:lastRow="1" w:firstColumn="1" w:lastColumn="1" w:noHBand="0" w:noVBand="0"/>
            </w:tblPr>
            <w:tblGrid>
              <w:gridCol w:w="2436"/>
              <w:gridCol w:w="1823"/>
              <w:gridCol w:w="2369"/>
            </w:tblGrid>
            <w:tr w:rsidR="0077525D" w:rsidRPr="004F487F">
              <w:trPr>
                <w:cnfStyle w:val="100000000000" w:firstRow="1" w:lastRow="0" w:firstColumn="0" w:lastColumn="0" w:oddVBand="0" w:evenVBand="0" w:oddHBand="0" w:evenHBand="0" w:firstRowFirstColumn="0" w:firstRowLastColumn="0" w:lastRowFirstColumn="0" w:lastRowLastColumn="0"/>
              </w:trPr>
              <w:tc>
                <w:tcPr>
                  <w:tcW w:w="0" w:type="auto"/>
                </w:tcPr>
                <w:p w:rsidR="0077525D" w:rsidRPr="004F487F" w:rsidRDefault="0077525D" w:rsidP="0046735D">
                  <w:pPr>
                    <w:tabs>
                      <w:tab w:val="left" w:pos="180"/>
                    </w:tabs>
                    <w:rPr>
                      <w:b/>
                    </w:rPr>
                  </w:pPr>
                  <w:r w:rsidRPr="004F487F">
                    <w:rPr>
                      <w:b/>
                    </w:rPr>
                    <w:t>Parameter</w:t>
                  </w:r>
                </w:p>
              </w:tc>
              <w:tc>
                <w:tcPr>
                  <w:tcW w:w="0" w:type="auto"/>
                </w:tcPr>
                <w:p w:rsidR="0077525D" w:rsidRPr="004F487F" w:rsidRDefault="0077525D" w:rsidP="0046735D">
                  <w:pPr>
                    <w:tabs>
                      <w:tab w:val="left" w:pos="180"/>
                    </w:tabs>
                    <w:jc w:val="center"/>
                    <w:rPr>
                      <w:b/>
                    </w:rPr>
                  </w:pPr>
                  <w:r w:rsidRPr="004F487F">
                    <w:rPr>
                      <w:b/>
                    </w:rPr>
                    <w:t>Bioscreen Units</w:t>
                  </w:r>
                </w:p>
              </w:tc>
              <w:tc>
                <w:tcPr>
                  <w:tcW w:w="0" w:type="auto"/>
                </w:tcPr>
                <w:p w:rsidR="0077525D" w:rsidRPr="004F487F" w:rsidRDefault="0077525D" w:rsidP="0046735D">
                  <w:pPr>
                    <w:tabs>
                      <w:tab w:val="left" w:pos="180"/>
                    </w:tabs>
                    <w:rPr>
                      <w:b/>
                    </w:rPr>
                  </w:pPr>
                  <w:r w:rsidRPr="004F487F">
                    <w:rPr>
                      <w:b/>
                    </w:rPr>
                    <w:t>Conversion</w:t>
                  </w:r>
                </w:p>
              </w:tc>
            </w:tr>
            <w:tr w:rsidR="0077525D">
              <w:tc>
                <w:tcPr>
                  <w:tcW w:w="0" w:type="auto"/>
                </w:tcPr>
                <w:p w:rsidR="0077525D" w:rsidRDefault="0077525D" w:rsidP="0046735D">
                  <w:pPr>
                    <w:tabs>
                      <w:tab w:val="left" w:pos="180"/>
                    </w:tabs>
                  </w:pPr>
                  <w:r>
                    <w:t>Hydraulic conductivity</w:t>
                  </w:r>
                </w:p>
              </w:tc>
              <w:tc>
                <w:tcPr>
                  <w:tcW w:w="0" w:type="auto"/>
                </w:tcPr>
                <w:p w:rsidR="0077525D" w:rsidRDefault="0077525D" w:rsidP="0046735D">
                  <w:pPr>
                    <w:tabs>
                      <w:tab w:val="left" w:pos="180"/>
                    </w:tabs>
                    <w:jc w:val="center"/>
                  </w:pPr>
                  <w:r>
                    <w:t>cm/sec</w:t>
                  </w:r>
                </w:p>
              </w:tc>
              <w:tc>
                <w:tcPr>
                  <w:tcW w:w="0" w:type="auto"/>
                </w:tcPr>
                <w:p w:rsidR="0077525D" w:rsidRDefault="0077525D" w:rsidP="0046735D">
                  <w:pPr>
                    <w:tabs>
                      <w:tab w:val="left" w:pos="180"/>
                    </w:tabs>
                  </w:pPr>
                  <w:r>
                    <w:t>(cm/sec)/(2835 ft/day)</w:t>
                  </w:r>
                </w:p>
              </w:tc>
            </w:tr>
            <w:tr w:rsidR="0077525D">
              <w:tc>
                <w:tcPr>
                  <w:tcW w:w="0" w:type="auto"/>
                </w:tcPr>
                <w:p w:rsidR="0077525D" w:rsidRDefault="0077525D" w:rsidP="0046735D">
                  <w:pPr>
                    <w:tabs>
                      <w:tab w:val="left" w:pos="180"/>
                    </w:tabs>
                  </w:pPr>
                  <w:r>
                    <w:t>Decay rates</w:t>
                  </w:r>
                </w:p>
              </w:tc>
              <w:tc>
                <w:tcPr>
                  <w:tcW w:w="0" w:type="auto"/>
                </w:tcPr>
                <w:p w:rsidR="0077525D" w:rsidRPr="004F487F" w:rsidRDefault="0077525D" w:rsidP="0046735D">
                  <w:pPr>
                    <w:tabs>
                      <w:tab w:val="left" w:pos="180"/>
                    </w:tabs>
                    <w:jc w:val="center"/>
                  </w:pPr>
                  <w:r>
                    <w:t>yr</w:t>
                  </w:r>
                  <w:r>
                    <w:rPr>
                      <w:vertAlign w:val="superscript"/>
                    </w:rPr>
                    <w:t>–1</w:t>
                  </w:r>
                </w:p>
              </w:tc>
              <w:tc>
                <w:tcPr>
                  <w:tcW w:w="0" w:type="auto"/>
                </w:tcPr>
                <w:p w:rsidR="0077525D" w:rsidRPr="004F487F" w:rsidRDefault="0077525D" w:rsidP="0046735D">
                  <w:pPr>
                    <w:tabs>
                      <w:tab w:val="left" w:pos="180"/>
                    </w:tabs>
                  </w:pPr>
                  <w:r>
                    <w:t>(365</w:t>
                  </w:r>
                  <w:r w:rsidR="00CB1549">
                    <w:t>.25</w:t>
                  </w:r>
                  <w:r>
                    <w:t xml:space="preserve"> yr</w:t>
                  </w:r>
                  <w:r>
                    <w:rPr>
                      <w:vertAlign w:val="superscript"/>
                    </w:rPr>
                    <w:t>–1</w:t>
                  </w:r>
                  <w:r>
                    <w:t>)/(day</w:t>
                  </w:r>
                  <w:r>
                    <w:rPr>
                      <w:vertAlign w:val="superscript"/>
                    </w:rPr>
                    <w:t>–1</w:t>
                  </w:r>
                  <w:r>
                    <w:t>)</w:t>
                  </w:r>
                </w:p>
              </w:tc>
            </w:tr>
            <w:tr w:rsidR="0077525D">
              <w:tc>
                <w:tcPr>
                  <w:tcW w:w="0" w:type="auto"/>
                </w:tcPr>
                <w:p w:rsidR="0077525D" w:rsidRDefault="0077525D" w:rsidP="0046735D">
                  <w:pPr>
                    <w:tabs>
                      <w:tab w:val="left" w:pos="180"/>
                    </w:tabs>
                  </w:pPr>
                  <w:r>
                    <w:t>Time</w:t>
                  </w:r>
                </w:p>
              </w:tc>
              <w:tc>
                <w:tcPr>
                  <w:tcW w:w="0" w:type="auto"/>
                </w:tcPr>
                <w:p w:rsidR="0077525D" w:rsidRDefault="0077525D" w:rsidP="0046735D">
                  <w:pPr>
                    <w:tabs>
                      <w:tab w:val="left" w:pos="180"/>
                    </w:tabs>
                    <w:jc w:val="center"/>
                  </w:pPr>
                  <w:r>
                    <w:t>yr</w:t>
                  </w:r>
                </w:p>
              </w:tc>
              <w:tc>
                <w:tcPr>
                  <w:tcW w:w="0" w:type="auto"/>
                </w:tcPr>
                <w:p w:rsidR="0077525D" w:rsidRDefault="0077525D" w:rsidP="0046735D">
                  <w:pPr>
                    <w:tabs>
                      <w:tab w:val="left" w:pos="180"/>
                    </w:tabs>
                  </w:pPr>
                  <w:r>
                    <w:t>(yr)/(365</w:t>
                  </w:r>
                  <w:r w:rsidR="00CB1549">
                    <w:t>.25</w:t>
                  </w:r>
                  <w:r>
                    <w:t xml:space="preserve"> day)</w:t>
                  </w:r>
                </w:p>
              </w:tc>
            </w:tr>
          </w:tbl>
          <w:p w:rsidR="0077525D" w:rsidRDefault="0077525D" w:rsidP="0046735D">
            <w:pPr>
              <w:tabs>
                <w:tab w:val="left" w:pos="180"/>
              </w:tabs>
              <w:ind w:left="180" w:hanging="180"/>
            </w:pPr>
            <w:r>
              <w:tab/>
              <w:t>For example,</w:t>
            </w:r>
          </w:p>
          <w:p w:rsidR="0077525D" w:rsidRDefault="0077525D" w:rsidP="0046735D">
            <w:pPr>
              <w:tabs>
                <w:tab w:val="left" w:pos="180"/>
              </w:tabs>
              <w:ind w:left="180" w:hanging="180"/>
            </w:pPr>
            <w:r>
              <w:tab/>
            </w:r>
            <w:r w:rsidR="00F2553E" w:rsidRPr="008246C5">
              <w:rPr>
                <w:position w:val="-28"/>
              </w:rPr>
              <w:object w:dxaOrig="4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33pt" o:ole="">
                  <v:imagedata r:id="rId18" o:title=""/>
                </v:shape>
                <o:OLEObject Type="Embed" ProgID="Equation.3" ShapeID="_x0000_i1025" DrawAspect="Content" ObjectID="_1456567622" r:id="rId19"/>
              </w:object>
            </w:r>
          </w:p>
          <w:p w:rsidR="0077525D" w:rsidRDefault="0077525D" w:rsidP="0046735D">
            <w:pPr>
              <w:tabs>
                <w:tab w:val="left" w:pos="180"/>
              </w:tabs>
              <w:ind w:left="180" w:hanging="180"/>
            </w:pPr>
          </w:p>
        </w:tc>
      </w:tr>
      <w:tr w:rsidR="0077525D">
        <w:tc>
          <w:tcPr>
            <w:tcW w:w="5000" w:type="pct"/>
            <w:shd w:val="clear" w:color="auto" w:fill="FFCCFF"/>
          </w:tcPr>
          <w:p w:rsidR="0077525D" w:rsidRDefault="0077525D" w:rsidP="0046735D">
            <w:pPr>
              <w:tabs>
                <w:tab w:val="left" w:pos="180"/>
              </w:tabs>
              <w:ind w:left="180" w:hanging="180"/>
            </w:pPr>
            <w:r>
              <w:t>•</w:t>
            </w:r>
            <w:r>
              <w:tab/>
              <w:t xml:space="preserve">When changing input values, check carefully that other dependent variables are recalculated. For </w:t>
            </w:r>
            <w:r w:rsidR="0050390D">
              <w:t>instance</w:t>
            </w:r>
            <w:r>
              <w:t>, when entering a new value of hydraulic conductivity, make sure that the seepage velocity is also updated. If it isn’t, click the “Restore Formulas” button in the lower right corner of the screen. Then you must check all other calculated variables (e.g., dispersion, first-order decay, source decay) and reenter them if they have inadvertently changed.</w:t>
            </w:r>
          </w:p>
          <w:p w:rsidR="0077525D" w:rsidRDefault="0077525D" w:rsidP="0046735D">
            <w:pPr>
              <w:tabs>
                <w:tab w:val="left" w:pos="180"/>
              </w:tabs>
              <w:ind w:left="180" w:hanging="180"/>
            </w:pPr>
          </w:p>
        </w:tc>
      </w:tr>
      <w:tr w:rsidR="0077525D">
        <w:tc>
          <w:tcPr>
            <w:tcW w:w="5000" w:type="pct"/>
            <w:shd w:val="clear" w:color="auto" w:fill="FFCCFF"/>
          </w:tcPr>
          <w:p w:rsidR="0077525D" w:rsidRDefault="0077525D" w:rsidP="0046735D">
            <w:pPr>
              <w:tabs>
                <w:tab w:val="left" w:pos="180"/>
              </w:tabs>
              <w:ind w:left="180" w:hanging="180"/>
            </w:pPr>
            <w:r>
              <w:t>•</w:t>
            </w:r>
            <w:r>
              <w:tab/>
              <w:t>In the “Field Data for Comparison” area of the input screen, you can enter up to 11 distance–concentration pairs. In fact, you can enter data at the same distance more than once. This allows you to see the field data at different times, making the calibration easier.</w:t>
            </w:r>
          </w:p>
          <w:p w:rsidR="0077525D" w:rsidRDefault="0077525D" w:rsidP="0046735D">
            <w:pPr>
              <w:tabs>
                <w:tab w:val="left" w:pos="180"/>
              </w:tabs>
              <w:ind w:left="180" w:hanging="180"/>
            </w:pPr>
          </w:p>
        </w:tc>
      </w:tr>
      <w:tr w:rsidR="0077525D">
        <w:tc>
          <w:tcPr>
            <w:tcW w:w="5000" w:type="pct"/>
            <w:shd w:val="clear" w:color="auto" w:fill="FFCCFF"/>
          </w:tcPr>
          <w:p w:rsidR="0077525D" w:rsidRDefault="0077525D" w:rsidP="0046735D">
            <w:pPr>
              <w:tabs>
                <w:tab w:val="left" w:pos="180"/>
              </w:tabs>
              <w:ind w:left="180" w:hanging="180"/>
            </w:pPr>
            <w:r>
              <w:t>•</w:t>
            </w:r>
            <w:r>
              <w:tab/>
              <w:t>On the centerline results screen, you are unable to display the graph with a logarithmic vertical scale. However, you can change the scale range if you wish by right clicking on the axis and selecting “Format Axis…”.</w:t>
            </w:r>
          </w:p>
          <w:p w:rsidR="0077525D" w:rsidRDefault="0077525D" w:rsidP="0046735D">
            <w:pPr>
              <w:tabs>
                <w:tab w:val="left" w:pos="180"/>
              </w:tabs>
              <w:ind w:left="180" w:hanging="180"/>
            </w:pPr>
          </w:p>
        </w:tc>
      </w:tr>
    </w:tbl>
    <w:p w:rsidR="00AB6127" w:rsidRDefault="00AB6127"/>
    <w:p w:rsidR="00AA1FC7" w:rsidRPr="00BE55FA" w:rsidRDefault="001F2841" w:rsidP="00AA1FC7">
      <w:pPr>
        <w:tabs>
          <w:tab w:val="left" w:pos="900"/>
        </w:tabs>
        <w:rPr>
          <w:rFonts w:ascii="Arial" w:hAnsi="Arial" w:cs="Arial"/>
          <w:b/>
          <w:sz w:val="26"/>
        </w:rPr>
      </w:pPr>
      <w:r>
        <w:rPr>
          <w:rFonts w:ascii="Arial" w:hAnsi="Arial" w:cs="Arial"/>
          <w:b/>
          <w:sz w:val="26"/>
        </w:rPr>
        <w:t>A4</w:t>
      </w:r>
      <w:r w:rsidR="00AA1FC7" w:rsidRPr="00BE55FA">
        <w:rPr>
          <w:rFonts w:ascii="Arial" w:hAnsi="Arial" w:cs="Arial"/>
          <w:b/>
          <w:sz w:val="26"/>
        </w:rPr>
        <w:t>.2.</w:t>
      </w:r>
      <w:r w:rsidR="00AA1FC7">
        <w:rPr>
          <w:rFonts w:ascii="Arial" w:hAnsi="Arial" w:cs="Arial"/>
          <w:b/>
          <w:sz w:val="26"/>
        </w:rPr>
        <w:t>5</w:t>
      </w:r>
      <w:r w:rsidR="00AA1FC7" w:rsidRPr="00BE55FA">
        <w:rPr>
          <w:rFonts w:ascii="Arial" w:hAnsi="Arial" w:cs="Arial"/>
          <w:b/>
          <w:sz w:val="26"/>
        </w:rPr>
        <w:t>.</w:t>
      </w:r>
      <w:r w:rsidR="00AA1FC7" w:rsidRPr="00BE55FA">
        <w:rPr>
          <w:rFonts w:ascii="Arial" w:hAnsi="Arial" w:cs="Arial"/>
          <w:b/>
          <w:sz w:val="26"/>
        </w:rPr>
        <w:tab/>
      </w:r>
      <w:r w:rsidR="00AA1FC7">
        <w:rPr>
          <w:rFonts w:ascii="Arial" w:hAnsi="Arial" w:cs="Arial"/>
          <w:b/>
          <w:sz w:val="26"/>
        </w:rPr>
        <w:t>Bioscreen Model Calibration</w:t>
      </w:r>
      <w:r w:rsidR="00D042A4">
        <w:rPr>
          <w:rFonts w:ascii="Arial" w:hAnsi="Arial" w:cs="Arial"/>
          <w:b/>
          <w:sz w:val="26"/>
        </w:rPr>
        <w:t xml:space="preserve"> and Results</w:t>
      </w:r>
    </w:p>
    <w:p w:rsidR="00AA1FC7" w:rsidRPr="00653837" w:rsidRDefault="00653837">
      <w:pPr>
        <w:rPr>
          <w:rFonts w:ascii="Symbol" w:hAnsi="Symbol"/>
        </w:rPr>
      </w:pPr>
      <w:r>
        <w:t>We visually calibrate the model for the selected parameter space</w:t>
      </w:r>
      <w:r w:rsidR="00F2553E">
        <w:t xml:space="preserve"> of </w:t>
      </w:r>
      <w:r w:rsidR="00F2553E">
        <w:rPr>
          <w:i/>
        </w:rPr>
        <w:t>K</w:t>
      </w:r>
      <w:r w:rsidR="00F2553E">
        <w:t xml:space="preserve"> and </w:t>
      </w:r>
      <w:r w:rsidR="00F2553E">
        <w:rPr>
          <w:rFonts w:ascii="Symbol" w:hAnsi="Symbol"/>
          <w:i/>
        </w:rPr>
        <w:t></w:t>
      </w:r>
      <w:r w:rsidR="00F2553E">
        <w:rPr>
          <w:i/>
          <w:vertAlign w:val="subscript"/>
        </w:rPr>
        <w:t>x</w:t>
      </w:r>
      <w:r w:rsidR="00A90C16">
        <w:t xml:space="preserve"> defined in Table A4.2-4</w:t>
      </w:r>
      <w:r>
        <w:t xml:space="preserve">. The best-fit values of </w:t>
      </w:r>
      <w:r>
        <w:rPr>
          <w:rFonts w:ascii="Symbol" w:hAnsi="Symbol"/>
          <w:i/>
        </w:rPr>
        <w:t></w:t>
      </w:r>
      <w:r>
        <w:t xml:space="preserve"> and the resulting benzene concentration at the property boundary (</w:t>
      </w:r>
      <w:r>
        <w:rPr>
          <w:i/>
        </w:rPr>
        <w:t>x</w:t>
      </w:r>
      <w:r w:rsidR="00CB1549">
        <w:t xml:space="preserve"> = 75′</w:t>
      </w:r>
      <w:r>
        <w:t>) are as follows.</w:t>
      </w:r>
      <w:r w:rsidR="00AB6127">
        <w:t xml:space="preserve"> A solution at 1</w:t>
      </w:r>
      <w:r w:rsidR="00CB1549">
        <w:t>0 yr is depicted in Figure A4.2-</w:t>
      </w:r>
      <w:r w:rsidR="00AB6127">
        <w:t>4.</w:t>
      </w:r>
    </w:p>
    <w:p w:rsidR="00AA1FC7" w:rsidRDefault="00AA1FC7"/>
    <w:p w:rsidR="00BD5B12" w:rsidRPr="00BD5B12" w:rsidRDefault="00CB1549">
      <w:r>
        <w:rPr>
          <w:b/>
        </w:rPr>
        <w:t>Table A4.2-</w:t>
      </w:r>
      <w:r w:rsidR="00BD5B12">
        <w:rPr>
          <w:b/>
        </w:rPr>
        <w:t xml:space="preserve">5. </w:t>
      </w:r>
      <w:r w:rsidR="00BD5B12">
        <w:t xml:space="preserve">Benzene modeling results for </w:t>
      </w:r>
      <w:r w:rsidR="00BD5B12">
        <w:rPr>
          <w:i/>
        </w:rPr>
        <w:t>t</w:t>
      </w:r>
      <w:r w:rsidR="00BD5B12">
        <w:t xml:space="preserve"> = 20 yr (1 Jan 2009)</w:t>
      </w:r>
    </w:p>
    <w:tbl>
      <w:tblPr>
        <w:tblStyle w:val="TableStyleCDB"/>
        <w:tblW w:w="0" w:type="auto"/>
        <w:tblLook w:val="01E0" w:firstRow="1" w:lastRow="1" w:firstColumn="1" w:lastColumn="1" w:noHBand="0" w:noVBand="0"/>
      </w:tblPr>
      <w:tblGrid>
        <w:gridCol w:w="870"/>
        <w:gridCol w:w="834"/>
        <w:gridCol w:w="1196"/>
        <w:gridCol w:w="955"/>
        <w:gridCol w:w="1785"/>
        <w:gridCol w:w="3562"/>
      </w:tblGrid>
      <w:tr w:rsidR="008D3142" w:rsidRPr="00CC4FAD" w:rsidTr="00BD5B12">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tcBorders>
            <w:shd w:val="clear" w:color="auto" w:fill="F2F2F2" w:themeFill="background1" w:themeFillShade="F2"/>
          </w:tcPr>
          <w:p w:rsidR="008D3142" w:rsidRPr="00CC4FAD" w:rsidRDefault="008D3142" w:rsidP="008D1FDA">
            <w:pPr>
              <w:rPr>
                <w:b/>
              </w:rPr>
            </w:pPr>
            <w:r w:rsidRPr="00CC4FAD">
              <w:rPr>
                <w:b/>
              </w:rPr>
              <w:t>Model</w:t>
            </w:r>
          </w:p>
        </w:tc>
        <w:tc>
          <w:tcPr>
            <w:tcW w:w="0" w:type="auto"/>
            <w:tcBorders>
              <w:top w:val="single" w:sz="4" w:space="0" w:color="auto"/>
            </w:tcBorders>
            <w:shd w:val="clear" w:color="auto" w:fill="F2F2F2" w:themeFill="background1" w:themeFillShade="F2"/>
          </w:tcPr>
          <w:p w:rsidR="008D3142" w:rsidRPr="00CC4FAD" w:rsidRDefault="008D3142" w:rsidP="008D1FDA">
            <w:pPr>
              <w:jc w:val="center"/>
              <w:rPr>
                <w:b/>
              </w:rPr>
            </w:pPr>
            <w:r w:rsidRPr="00CC4FAD">
              <w:rPr>
                <w:rFonts w:ascii="Symbol" w:hAnsi="Symbol"/>
                <w:b/>
                <w:i/>
              </w:rPr>
              <w:t></w:t>
            </w:r>
            <w:r w:rsidRPr="00CC4FAD">
              <w:rPr>
                <w:b/>
                <w:i/>
                <w:vertAlign w:val="subscript"/>
              </w:rPr>
              <w:t>x</w:t>
            </w:r>
            <w:r w:rsidRPr="00CC4FAD">
              <w:rPr>
                <w:b/>
              </w:rPr>
              <w:t xml:space="preserve"> (ft)</w:t>
            </w:r>
          </w:p>
        </w:tc>
        <w:tc>
          <w:tcPr>
            <w:tcW w:w="0" w:type="auto"/>
            <w:tcBorders>
              <w:top w:val="single" w:sz="4" w:space="0" w:color="auto"/>
            </w:tcBorders>
            <w:shd w:val="clear" w:color="auto" w:fill="F2F2F2" w:themeFill="background1" w:themeFillShade="F2"/>
          </w:tcPr>
          <w:p w:rsidR="008D3142" w:rsidRPr="00CC4FAD" w:rsidRDefault="008D3142" w:rsidP="008D1FDA">
            <w:pPr>
              <w:jc w:val="center"/>
              <w:rPr>
                <w:b/>
              </w:rPr>
            </w:pPr>
            <w:r w:rsidRPr="00CC4FAD">
              <w:rPr>
                <w:b/>
                <w:i/>
              </w:rPr>
              <w:t>K</w:t>
            </w:r>
            <w:r w:rsidRPr="00CC4FAD">
              <w:rPr>
                <w:b/>
              </w:rPr>
              <w:t xml:space="preserve"> (ft/day)</w:t>
            </w:r>
          </w:p>
        </w:tc>
        <w:tc>
          <w:tcPr>
            <w:tcW w:w="0" w:type="auto"/>
            <w:tcBorders>
              <w:top w:val="single" w:sz="4" w:space="0" w:color="auto"/>
            </w:tcBorders>
            <w:shd w:val="clear" w:color="auto" w:fill="F2F2F2" w:themeFill="background1" w:themeFillShade="F2"/>
          </w:tcPr>
          <w:p w:rsidR="008D3142" w:rsidRPr="001414BE" w:rsidRDefault="008D3142" w:rsidP="008D1FDA">
            <w:pPr>
              <w:jc w:val="center"/>
              <w:rPr>
                <w:rFonts w:ascii="Symbol" w:hAnsi="Symbol"/>
                <w:b/>
              </w:rPr>
            </w:pPr>
            <w:r w:rsidRPr="001414BE">
              <w:rPr>
                <w:rFonts w:ascii="Symbol" w:hAnsi="Symbol"/>
                <w:b/>
                <w:i/>
              </w:rPr>
              <w:t></w:t>
            </w:r>
            <w:r>
              <w:rPr>
                <w:rFonts w:ascii="Symbol" w:hAnsi="Symbol"/>
                <w:b/>
              </w:rPr>
              <w:t></w:t>
            </w:r>
            <w:r w:rsidRPr="001414BE">
              <w:rPr>
                <w:b/>
              </w:rPr>
              <w:t>(</w:t>
            </w:r>
            <w:r>
              <w:rPr>
                <w:b/>
              </w:rPr>
              <w:t>yr</w:t>
            </w:r>
            <w:r w:rsidRPr="001414BE">
              <w:rPr>
                <w:b/>
                <w:vertAlign w:val="superscript"/>
              </w:rPr>
              <w:t>–1</w:t>
            </w:r>
            <w:r w:rsidRPr="001414BE">
              <w:rPr>
                <w:b/>
              </w:rPr>
              <w:t>)</w:t>
            </w:r>
          </w:p>
        </w:tc>
        <w:tc>
          <w:tcPr>
            <w:tcW w:w="0" w:type="auto"/>
            <w:tcBorders>
              <w:top w:val="single" w:sz="4" w:space="0" w:color="auto"/>
            </w:tcBorders>
            <w:shd w:val="clear" w:color="auto" w:fill="F2F2F2" w:themeFill="background1" w:themeFillShade="F2"/>
          </w:tcPr>
          <w:p w:rsidR="008D3142" w:rsidRPr="00AC1EC1" w:rsidRDefault="008D3142" w:rsidP="008D1FDA">
            <w:pPr>
              <w:jc w:val="center"/>
              <w:rPr>
                <w:rFonts w:ascii="Symbol" w:hAnsi="Symbol"/>
                <w:b/>
                <w:u w:val="words"/>
              </w:rPr>
            </w:pPr>
            <w:r>
              <w:rPr>
                <w:b/>
                <w:i/>
              </w:rPr>
              <w:t>C</w:t>
            </w:r>
            <w:r w:rsidRPr="00BD5B12">
              <w:rPr>
                <w:b/>
                <w:sz w:val="20"/>
              </w:rPr>
              <w:t>(</w:t>
            </w:r>
            <w:r w:rsidRPr="00BD5B12">
              <w:rPr>
                <w:b/>
                <w:i/>
                <w:sz w:val="20"/>
              </w:rPr>
              <w:t>x</w:t>
            </w:r>
            <w:r w:rsidRPr="00BD5B12">
              <w:rPr>
                <w:b/>
                <w:sz w:val="20"/>
              </w:rPr>
              <w:t xml:space="preserve"> = 75′)</w:t>
            </w:r>
            <w:r>
              <w:rPr>
                <w:b/>
              </w:rPr>
              <w:t xml:space="preserve"> </w:t>
            </w:r>
            <w:r w:rsidRPr="00AC1EC1">
              <w:rPr>
                <w:b/>
              </w:rPr>
              <w:t>(</w:t>
            </w:r>
            <w:r w:rsidRPr="00AC1EC1">
              <w:rPr>
                <w:rFonts w:ascii="Symbol" w:hAnsi="Symbol"/>
                <w:b/>
              </w:rPr>
              <w:t></w:t>
            </w:r>
            <w:r w:rsidRPr="00AC1EC1">
              <w:rPr>
                <w:b/>
              </w:rPr>
              <w:t>g/L)</w:t>
            </w:r>
          </w:p>
        </w:tc>
        <w:tc>
          <w:tcPr>
            <w:tcW w:w="0" w:type="auto"/>
            <w:tcBorders>
              <w:top w:val="single" w:sz="4" w:space="0" w:color="auto"/>
            </w:tcBorders>
            <w:shd w:val="clear" w:color="auto" w:fill="F2F2F2" w:themeFill="background1" w:themeFillShade="F2"/>
          </w:tcPr>
          <w:p w:rsidR="008D3142" w:rsidRPr="008D3142" w:rsidRDefault="008D3142" w:rsidP="008D3142">
            <w:pPr>
              <w:rPr>
                <w:b/>
              </w:rPr>
            </w:pPr>
            <w:r w:rsidRPr="008D3142">
              <w:rPr>
                <w:b/>
              </w:rPr>
              <w:t>Comments</w:t>
            </w:r>
          </w:p>
        </w:tc>
      </w:tr>
      <w:tr w:rsidR="008D3142" w:rsidRPr="00CC4FAD" w:rsidTr="00BD5B12">
        <w:tc>
          <w:tcPr>
            <w:tcW w:w="0" w:type="auto"/>
            <w:tcBorders>
              <w:top w:val="single" w:sz="4" w:space="0" w:color="auto"/>
              <w:bottom w:val="nil"/>
            </w:tcBorders>
            <w:shd w:val="clear" w:color="auto" w:fill="FDE9D9" w:themeFill="accent6" w:themeFillTint="33"/>
          </w:tcPr>
          <w:p w:rsidR="008D3142" w:rsidRPr="00CC4FAD" w:rsidRDefault="008D3142" w:rsidP="008D1FDA">
            <w:r>
              <w:t>01</w:t>
            </w:r>
          </w:p>
        </w:tc>
        <w:tc>
          <w:tcPr>
            <w:tcW w:w="0" w:type="auto"/>
            <w:tcBorders>
              <w:top w:val="single" w:sz="4" w:space="0" w:color="auto"/>
              <w:bottom w:val="nil"/>
            </w:tcBorders>
            <w:shd w:val="clear" w:color="auto" w:fill="FDE9D9" w:themeFill="accent6" w:themeFillTint="33"/>
          </w:tcPr>
          <w:p w:rsidR="008D3142" w:rsidRPr="00CC4FAD" w:rsidRDefault="008D3142" w:rsidP="00BD5B12">
            <w:pPr>
              <w:tabs>
                <w:tab w:val="decimal" w:pos="318"/>
              </w:tabs>
            </w:pPr>
            <w:r>
              <w:t>7.5</w:t>
            </w:r>
          </w:p>
        </w:tc>
        <w:tc>
          <w:tcPr>
            <w:tcW w:w="0" w:type="auto"/>
            <w:tcBorders>
              <w:top w:val="single" w:sz="4" w:space="0" w:color="auto"/>
              <w:bottom w:val="nil"/>
            </w:tcBorders>
            <w:shd w:val="clear" w:color="auto" w:fill="FDE9D9" w:themeFill="accent6" w:themeFillTint="33"/>
          </w:tcPr>
          <w:p w:rsidR="008D3142" w:rsidRPr="00CC4FAD" w:rsidRDefault="008D3142" w:rsidP="00BD5B12">
            <w:pPr>
              <w:tabs>
                <w:tab w:val="decimal" w:pos="384"/>
              </w:tabs>
            </w:pPr>
            <w:r>
              <w:t>0.472</w:t>
            </w:r>
          </w:p>
        </w:tc>
        <w:tc>
          <w:tcPr>
            <w:tcW w:w="0" w:type="auto"/>
            <w:tcBorders>
              <w:top w:val="single" w:sz="4" w:space="0" w:color="auto"/>
              <w:bottom w:val="nil"/>
            </w:tcBorders>
            <w:shd w:val="clear" w:color="auto" w:fill="FDE9D9" w:themeFill="accent6" w:themeFillTint="33"/>
          </w:tcPr>
          <w:p w:rsidR="008D3142" w:rsidRPr="00447889" w:rsidRDefault="008D3142" w:rsidP="00BD5B12">
            <w:pPr>
              <w:tabs>
                <w:tab w:val="decimal" w:pos="340"/>
              </w:tabs>
            </w:pPr>
            <w:r w:rsidRPr="00447889">
              <w:t>0.65</w:t>
            </w:r>
          </w:p>
        </w:tc>
        <w:tc>
          <w:tcPr>
            <w:tcW w:w="0" w:type="auto"/>
            <w:tcBorders>
              <w:top w:val="single" w:sz="4" w:space="0" w:color="auto"/>
              <w:bottom w:val="nil"/>
            </w:tcBorders>
            <w:shd w:val="clear" w:color="auto" w:fill="FDE9D9" w:themeFill="accent6" w:themeFillTint="33"/>
          </w:tcPr>
          <w:p w:rsidR="008D3142" w:rsidRPr="00447889" w:rsidRDefault="008D3142" w:rsidP="008D1FDA">
            <w:pPr>
              <w:jc w:val="center"/>
            </w:pPr>
            <w:r>
              <w:t>2</w:t>
            </w:r>
          </w:p>
        </w:tc>
        <w:tc>
          <w:tcPr>
            <w:tcW w:w="0" w:type="auto"/>
            <w:tcBorders>
              <w:top w:val="single" w:sz="4" w:space="0" w:color="auto"/>
              <w:bottom w:val="nil"/>
            </w:tcBorders>
            <w:shd w:val="clear" w:color="auto" w:fill="FDE9D9" w:themeFill="accent6" w:themeFillTint="33"/>
          </w:tcPr>
          <w:p w:rsidR="008D3142" w:rsidRDefault="008D3142" w:rsidP="00CB1549">
            <w:r>
              <w:t>Baseline model.</w:t>
            </w:r>
            <w:r w:rsidR="00AA2220">
              <w:t xml:space="preserve"> Fig</w:t>
            </w:r>
            <w:r w:rsidR="00CB1549">
              <w:t>ure</w:t>
            </w:r>
            <w:r w:rsidR="00AA2220">
              <w:t xml:space="preserve"> </w:t>
            </w:r>
            <w:r w:rsidR="001F2841">
              <w:t>A4</w:t>
            </w:r>
            <w:r w:rsidR="00CB1549">
              <w:t>.2-</w:t>
            </w:r>
            <w:r w:rsidR="00AA2220">
              <w:t>4.</w:t>
            </w:r>
          </w:p>
        </w:tc>
      </w:tr>
      <w:tr w:rsidR="008D3142" w:rsidRPr="00CC4FAD">
        <w:tc>
          <w:tcPr>
            <w:tcW w:w="0" w:type="auto"/>
            <w:tcBorders>
              <w:top w:val="nil"/>
            </w:tcBorders>
          </w:tcPr>
          <w:p w:rsidR="008D3142" w:rsidRPr="00CC4FAD" w:rsidRDefault="008D3142" w:rsidP="008D1FDA">
            <w:r>
              <w:t>02</w:t>
            </w:r>
          </w:p>
        </w:tc>
        <w:tc>
          <w:tcPr>
            <w:tcW w:w="0" w:type="auto"/>
            <w:tcBorders>
              <w:top w:val="nil"/>
            </w:tcBorders>
          </w:tcPr>
          <w:p w:rsidR="008D3142" w:rsidRPr="00CC4FAD" w:rsidRDefault="008D3142" w:rsidP="00BD5B12">
            <w:pPr>
              <w:tabs>
                <w:tab w:val="decimal" w:pos="318"/>
              </w:tabs>
            </w:pPr>
            <w:r>
              <w:t>0.75</w:t>
            </w:r>
          </w:p>
        </w:tc>
        <w:tc>
          <w:tcPr>
            <w:tcW w:w="0" w:type="auto"/>
            <w:tcBorders>
              <w:top w:val="nil"/>
            </w:tcBorders>
          </w:tcPr>
          <w:p w:rsidR="008D3142" w:rsidRPr="00CC4FAD" w:rsidRDefault="008D3142" w:rsidP="00BD5B12">
            <w:pPr>
              <w:tabs>
                <w:tab w:val="decimal" w:pos="384"/>
              </w:tabs>
            </w:pPr>
            <w:r>
              <w:t>0.472</w:t>
            </w:r>
          </w:p>
        </w:tc>
        <w:tc>
          <w:tcPr>
            <w:tcW w:w="0" w:type="auto"/>
            <w:tcBorders>
              <w:top w:val="nil"/>
            </w:tcBorders>
          </w:tcPr>
          <w:p w:rsidR="008D3142" w:rsidRPr="00447889" w:rsidRDefault="008D3142" w:rsidP="00BD5B12">
            <w:pPr>
              <w:tabs>
                <w:tab w:val="decimal" w:pos="340"/>
              </w:tabs>
            </w:pPr>
            <w:r w:rsidRPr="00447889">
              <w:t>0.59</w:t>
            </w:r>
          </w:p>
        </w:tc>
        <w:tc>
          <w:tcPr>
            <w:tcW w:w="0" w:type="auto"/>
            <w:tcBorders>
              <w:top w:val="nil"/>
            </w:tcBorders>
          </w:tcPr>
          <w:p w:rsidR="008D3142" w:rsidRPr="00447889" w:rsidRDefault="008D3142" w:rsidP="008D1FDA">
            <w:pPr>
              <w:jc w:val="center"/>
            </w:pPr>
            <w:r>
              <w:t>2</w:t>
            </w:r>
          </w:p>
        </w:tc>
        <w:tc>
          <w:tcPr>
            <w:tcW w:w="0" w:type="auto"/>
            <w:tcBorders>
              <w:top w:val="nil"/>
            </w:tcBorders>
          </w:tcPr>
          <w:p w:rsidR="008D3142" w:rsidRDefault="008D3142" w:rsidP="008D3142"/>
        </w:tc>
      </w:tr>
      <w:tr w:rsidR="008D3142" w:rsidRPr="00CC4FAD">
        <w:tc>
          <w:tcPr>
            <w:tcW w:w="0" w:type="auto"/>
          </w:tcPr>
          <w:p w:rsidR="008D3142" w:rsidRPr="00CC4FAD" w:rsidRDefault="008D3142" w:rsidP="008D1FDA">
            <w:r>
              <w:t>03</w:t>
            </w:r>
          </w:p>
        </w:tc>
        <w:tc>
          <w:tcPr>
            <w:tcW w:w="0" w:type="auto"/>
          </w:tcPr>
          <w:p w:rsidR="008D3142" w:rsidRPr="00CC4FAD" w:rsidRDefault="008D3142" w:rsidP="00BD5B12">
            <w:pPr>
              <w:tabs>
                <w:tab w:val="decimal" w:pos="318"/>
              </w:tabs>
            </w:pPr>
            <w:r>
              <w:t>75</w:t>
            </w:r>
          </w:p>
        </w:tc>
        <w:tc>
          <w:tcPr>
            <w:tcW w:w="0" w:type="auto"/>
          </w:tcPr>
          <w:p w:rsidR="008D3142" w:rsidRPr="00CC4FAD" w:rsidRDefault="008D3142" w:rsidP="00BD5B12">
            <w:pPr>
              <w:tabs>
                <w:tab w:val="decimal" w:pos="384"/>
              </w:tabs>
            </w:pPr>
            <w:r>
              <w:t>0.472</w:t>
            </w:r>
          </w:p>
        </w:tc>
        <w:tc>
          <w:tcPr>
            <w:tcW w:w="0" w:type="auto"/>
          </w:tcPr>
          <w:p w:rsidR="008D3142" w:rsidRPr="00447889" w:rsidRDefault="008D3142" w:rsidP="00BD5B12">
            <w:pPr>
              <w:tabs>
                <w:tab w:val="decimal" w:pos="340"/>
              </w:tabs>
            </w:pPr>
            <w:r w:rsidRPr="00447889">
              <w:t>1.2</w:t>
            </w:r>
            <w:r>
              <w:t>5</w:t>
            </w:r>
          </w:p>
        </w:tc>
        <w:tc>
          <w:tcPr>
            <w:tcW w:w="0" w:type="auto"/>
          </w:tcPr>
          <w:p w:rsidR="008D3142" w:rsidRPr="00447889" w:rsidRDefault="008D3142" w:rsidP="008D1FDA">
            <w:pPr>
              <w:jc w:val="center"/>
            </w:pPr>
            <w:r w:rsidRPr="00447889">
              <w:t>2</w:t>
            </w:r>
          </w:p>
        </w:tc>
        <w:tc>
          <w:tcPr>
            <w:tcW w:w="0" w:type="auto"/>
          </w:tcPr>
          <w:p w:rsidR="008D3142" w:rsidRPr="00447889" w:rsidRDefault="008D3142" w:rsidP="008D3142"/>
        </w:tc>
      </w:tr>
      <w:tr w:rsidR="008D3142" w:rsidRPr="00CC4FAD">
        <w:tc>
          <w:tcPr>
            <w:tcW w:w="0" w:type="auto"/>
          </w:tcPr>
          <w:p w:rsidR="008D3142" w:rsidRPr="00CC4FAD" w:rsidRDefault="008D3142" w:rsidP="008D1FDA">
            <w:r>
              <w:t>04</w:t>
            </w:r>
          </w:p>
        </w:tc>
        <w:tc>
          <w:tcPr>
            <w:tcW w:w="0" w:type="auto"/>
          </w:tcPr>
          <w:p w:rsidR="008D3142" w:rsidRPr="00CC4FAD" w:rsidRDefault="008D3142" w:rsidP="00BD5B12">
            <w:pPr>
              <w:tabs>
                <w:tab w:val="decimal" w:pos="318"/>
              </w:tabs>
            </w:pPr>
            <w:r>
              <w:t>7.5</w:t>
            </w:r>
          </w:p>
        </w:tc>
        <w:tc>
          <w:tcPr>
            <w:tcW w:w="0" w:type="auto"/>
          </w:tcPr>
          <w:p w:rsidR="008D3142" w:rsidRPr="00CC4FAD" w:rsidRDefault="008D3142" w:rsidP="00BD5B12">
            <w:pPr>
              <w:tabs>
                <w:tab w:val="decimal" w:pos="384"/>
              </w:tabs>
            </w:pPr>
            <w:r>
              <w:t>0.255</w:t>
            </w:r>
          </w:p>
        </w:tc>
        <w:tc>
          <w:tcPr>
            <w:tcW w:w="0" w:type="auto"/>
          </w:tcPr>
          <w:p w:rsidR="008D3142" w:rsidRPr="00447889" w:rsidRDefault="008D3142" w:rsidP="00BD5B12">
            <w:pPr>
              <w:tabs>
                <w:tab w:val="decimal" w:pos="340"/>
              </w:tabs>
            </w:pPr>
            <w:r>
              <w:t>0.49</w:t>
            </w:r>
          </w:p>
        </w:tc>
        <w:tc>
          <w:tcPr>
            <w:tcW w:w="0" w:type="auto"/>
          </w:tcPr>
          <w:p w:rsidR="008D3142" w:rsidRPr="00447889" w:rsidRDefault="008D3142" w:rsidP="008D1FDA">
            <w:pPr>
              <w:jc w:val="center"/>
            </w:pPr>
            <w:r>
              <w:t>3</w:t>
            </w:r>
          </w:p>
        </w:tc>
        <w:tc>
          <w:tcPr>
            <w:tcW w:w="0" w:type="auto"/>
          </w:tcPr>
          <w:p w:rsidR="008D3142" w:rsidRPr="008D3142" w:rsidRDefault="008D3142" w:rsidP="008D3142">
            <w:r>
              <w:t xml:space="preserve">Lower values of </w:t>
            </w:r>
            <w:r>
              <w:rPr>
                <w:i/>
              </w:rPr>
              <w:t>K</w:t>
            </w:r>
            <w:r>
              <w:t xml:space="preserve"> won’t calibrate.</w:t>
            </w:r>
          </w:p>
        </w:tc>
      </w:tr>
      <w:tr w:rsidR="008D3142" w:rsidRPr="00CC4FAD">
        <w:tc>
          <w:tcPr>
            <w:tcW w:w="0" w:type="auto"/>
          </w:tcPr>
          <w:p w:rsidR="008D3142" w:rsidRPr="00CC4FAD" w:rsidRDefault="008D3142" w:rsidP="008D1FDA">
            <w:r>
              <w:t>05</w:t>
            </w:r>
          </w:p>
        </w:tc>
        <w:tc>
          <w:tcPr>
            <w:tcW w:w="0" w:type="auto"/>
          </w:tcPr>
          <w:p w:rsidR="008D3142" w:rsidRPr="00CC4FAD" w:rsidRDefault="008D3142" w:rsidP="00BD5B12">
            <w:pPr>
              <w:tabs>
                <w:tab w:val="decimal" w:pos="318"/>
              </w:tabs>
            </w:pPr>
            <w:r>
              <w:t>0.75</w:t>
            </w:r>
          </w:p>
        </w:tc>
        <w:tc>
          <w:tcPr>
            <w:tcW w:w="0" w:type="auto"/>
          </w:tcPr>
          <w:p w:rsidR="008D3142" w:rsidRPr="00CC4FAD" w:rsidRDefault="002F241A" w:rsidP="00BD5B12">
            <w:pPr>
              <w:tabs>
                <w:tab w:val="decimal" w:pos="384"/>
              </w:tabs>
            </w:pPr>
            <w:r>
              <w:t>0.312</w:t>
            </w:r>
          </w:p>
        </w:tc>
        <w:tc>
          <w:tcPr>
            <w:tcW w:w="0" w:type="auto"/>
          </w:tcPr>
          <w:p w:rsidR="008D3142" w:rsidRPr="00447889" w:rsidRDefault="002F241A" w:rsidP="00BD5B12">
            <w:pPr>
              <w:tabs>
                <w:tab w:val="decimal" w:pos="340"/>
              </w:tabs>
            </w:pPr>
            <w:r>
              <w:t>0.49</w:t>
            </w:r>
          </w:p>
        </w:tc>
        <w:tc>
          <w:tcPr>
            <w:tcW w:w="0" w:type="auto"/>
          </w:tcPr>
          <w:p w:rsidR="008D3142" w:rsidRPr="00447889" w:rsidRDefault="002F241A" w:rsidP="008D1FDA">
            <w:pPr>
              <w:jc w:val="center"/>
            </w:pPr>
            <w:r>
              <w:t>3</w:t>
            </w:r>
          </w:p>
        </w:tc>
        <w:tc>
          <w:tcPr>
            <w:tcW w:w="0" w:type="auto"/>
          </w:tcPr>
          <w:p w:rsidR="008D3142" w:rsidRPr="002F241A" w:rsidRDefault="002F241A" w:rsidP="008D3142">
            <w:r>
              <w:t xml:space="preserve">Lower values of </w:t>
            </w:r>
            <w:r>
              <w:rPr>
                <w:i/>
              </w:rPr>
              <w:t>K</w:t>
            </w:r>
            <w:r>
              <w:t xml:space="preserve"> won’t calibrate.</w:t>
            </w:r>
          </w:p>
        </w:tc>
      </w:tr>
      <w:tr w:rsidR="008D3142" w:rsidRPr="00CC4FAD">
        <w:tc>
          <w:tcPr>
            <w:tcW w:w="0" w:type="auto"/>
          </w:tcPr>
          <w:p w:rsidR="008D3142" w:rsidRPr="00CC4FAD" w:rsidRDefault="008D3142" w:rsidP="008D1FDA">
            <w:r>
              <w:t>06</w:t>
            </w:r>
          </w:p>
        </w:tc>
        <w:tc>
          <w:tcPr>
            <w:tcW w:w="0" w:type="auto"/>
          </w:tcPr>
          <w:p w:rsidR="008D3142" w:rsidRPr="00CC4FAD" w:rsidRDefault="008D3142" w:rsidP="00BD5B12">
            <w:pPr>
              <w:tabs>
                <w:tab w:val="decimal" w:pos="318"/>
              </w:tabs>
            </w:pPr>
            <w:r>
              <w:t>75</w:t>
            </w:r>
          </w:p>
        </w:tc>
        <w:tc>
          <w:tcPr>
            <w:tcW w:w="0" w:type="auto"/>
          </w:tcPr>
          <w:p w:rsidR="008D3142" w:rsidRPr="00CC4FAD" w:rsidRDefault="001F00CB" w:rsidP="00BD5B12">
            <w:pPr>
              <w:tabs>
                <w:tab w:val="decimal" w:pos="384"/>
              </w:tabs>
            </w:pPr>
            <w:r>
              <w:t>0.071</w:t>
            </w:r>
          </w:p>
        </w:tc>
        <w:tc>
          <w:tcPr>
            <w:tcW w:w="0" w:type="auto"/>
          </w:tcPr>
          <w:p w:rsidR="008D3142" w:rsidRPr="00447889" w:rsidRDefault="001F00CB" w:rsidP="00BD5B12">
            <w:pPr>
              <w:tabs>
                <w:tab w:val="decimal" w:pos="340"/>
              </w:tabs>
            </w:pPr>
            <w:r>
              <w:t>0.46</w:t>
            </w:r>
          </w:p>
        </w:tc>
        <w:tc>
          <w:tcPr>
            <w:tcW w:w="0" w:type="auto"/>
          </w:tcPr>
          <w:p w:rsidR="008D3142" w:rsidRPr="00447889" w:rsidRDefault="0056267F" w:rsidP="008D1FDA">
            <w:pPr>
              <w:jc w:val="center"/>
            </w:pPr>
            <w:r>
              <w:t>3</w:t>
            </w:r>
          </w:p>
        </w:tc>
        <w:tc>
          <w:tcPr>
            <w:tcW w:w="0" w:type="auto"/>
          </w:tcPr>
          <w:p w:rsidR="008D3142" w:rsidRPr="0056267F" w:rsidRDefault="0056267F" w:rsidP="008D3142">
            <w:r>
              <w:t xml:space="preserve">Lower values of </w:t>
            </w:r>
            <w:r>
              <w:rPr>
                <w:i/>
              </w:rPr>
              <w:t>K</w:t>
            </w:r>
            <w:r>
              <w:t xml:space="preserve"> won’t calibrate.</w:t>
            </w:r>
          </w:p>
        </w:tc>
      </w:tr>
      <w:tr w:rsidR="008D3142" w:rsidRPr="00CC4FAD">
        <w:tc>
          <w:tcPr>
            <w:tcW w:w="0" w:type="auto"/>
          </w:tcPr>
          <w:p w:rsidR="008D3142" w:rsidRPr="00CC4FAD" w:rsidRDefault="008D3142" w:rsidP="008D1FDA">
            <w:r>
              <w:t>07</w:t>
            </w:r>
          </w:p>
        </w:tc>
        <w:tc>
          <w:tcPr>
            <w:tcW w:w="0" w:type="auto"/>
          </w:tcPr>
          <w:p w:rsidR="008D3142" w:rsidRPr="00CC4FAD" w:rsidRDefault="008D3142" w:rsidP="00BD5B12">
            <w:pPr>
              <w:tabs>
                <w:tab w:val="decimal" w:pos="318"/>
              </w:tabs>
            </w:pPr>
            <w:r>
              <w:t>7.5</w:t>
            </w:r>
          </w:p>
        </w:tc>
        <w:tc>
          <w:tcPr>
            <w:tcW w:w="0" w:type="auto"/>
          </w:tcPr>
          <w:p w:rsidR="008D3142" w:rsidRPr="00CC4FAD" w:rsidRDefault="008D3142" w:rsidP="00BD5B12">
            <w:pPr>
              <w:tabs>
                <w:tab w:val="decimal" w:pos="384"/>
              </w:tabs>
            </w:pPr>
            <w:r>
              <w:t>4.7</w:t>
            </w:r>
          </w:p>
        </w:tc>
        <w:tc>
          <w:tcPr>
            <w:tcW w:w="0" w:type="auto"/>
          </w:tcPr>
          <w:p w:rsidR="008D3142" w:rsidRPr="00447889" w:rsidRDefault="000C4CE3" w:rsidP="00BD5B12">
            <w:pPr>
              <w:tabs>
                <w:tab w:val="decimal" w:pos="340"/>
              </w:tabs>
            </w:pPr>
            <w:r>
              <w:t>3.35</w:t>
            </w:r>
          </w:p>
        </w:tc>
        <w:tc>
          <w:tcPr>
            <w:tcW w:w="0" w:type="auto"/>
          </w:tcPr>
          <w:p w:rsidR="008D3142" w:rsidRPr="00447889" w:rsidRDefault="000C4CE3" w:rsidP="008D1FDA">
            <w:pPr>
              <w:jc w:val="center"/>
            </w:pPr>
            <w:r>
              <w:t>2</w:t>
            </w:r>
          </w:p>
        </w:tc>
        <w:tc>
          <w:tcPr>
            <w:tcW w:w="0" w:type="auto"/>
          </w:tcPr>
          <w:p w:rsidR="008D3142" w:rsidRPr="00447889" w:rsidRDefault="008D3142" w:rsidP="008D3142"/>
        </w:tc>
      </w:tr>
      <w:tr w:rsidR="008D3142" w:rsidRPr="00CC4FAD">
        <w:tc>
          <w:tcPr>
            <w:tcW w:w="0" w:type="auto"/>
          </w:tcPr>
          <w:p w:rsidR="008D3142" w:rsidRPr="00CC4FAD" w:rsidRDefault="008D3142" w:rsidP="008D1FDA">
            <w:r>
              <w:t>08</w:t>
            </w:r>
          </w:p>
        </w:tc>
        <w:tc>
          <w:tcPr>
            <w:tcW w:w="0" w:type="auto"/>
          </w:tcPr>
          <w:p w:rsidR="008D3142" w:rsidRPr="00CC4FAD" w:rsidRDefault="008D3142" w:rsidP="00BD5B12">
            <w:pPr>
              <w:tabs>
                <w:tab w:val="decimal" w:pos="318"/>
              </w:tabs>
            </w:pPr>
            <w:r>
              <w:t>0.75</w:t>
            </w:r>
          </w:p>
        </w:tc>
        <w:tc>
          <w:tcPr>
            <w:tcW w:w="0" w:type="auto"/>
          </w:tcPr>
          <w:p w:rsidR="008D3142" w:rsidRPr="00CC4FAD" w:rsidRDefault="008D3142" w:rsidP="00BD5B12">
            <w:pPr>
              <w:tabs>
                <w:tab w:val="decimal" w:pos="384"/>
              </w:tabs>
            </w:pPr>
            <w:r>
              <w:t>4.7</w:t>
            </w:r>
          </w:p>
        </w:tc>
        <w:tc>
          <w:tcPr>
            <w:tcW w:w="0" w:type="auto"/>
          </w:tcPr>
          <w:p w:rsidR="008D3142" w:rsidRPr="00447889" w:rsidRDefault="00657B63" w:rsidP="00BD5B12">
            <w:pPr>
              <w:tabs>
                <w:tab w:val="decimal" w:pos="340"/>
              </w:tabs>
            </w:pPr>
            <w:r>
              <w:t>2.75</w:t>
            </w:r>
          </w:p>
        </w:tc>
        <w:tc>
          <w:tcPr>
            <w:tcW w:w="0" w:type="auto"/>
          </w:tcPr>
          <w:p w:rsidR="008D3142" w:rsidRPr="00447889" w:rsidRDefault="00657B63" w:rsidP="008D1FDA">
            <w:pPr>
              <w:jc w:val="center"/>
            </w:pPr>
            <w:r>
              <w:t>2</w:t>
            </w:r>
          </w:p>
        </w:tc>
        <w:tc>
          <w:tcPr>
            <w:tcW w:w="0" w:type="auto"/>
          </w:tcPr>
          <w:p w:rsidR="008D3142" w:rsidRPr="00447889" w:rsidRDefault="008D3142" w:rsidP="008D3142"/>
        </w:tc>
      </w:tr>
      <w:tr w:rsidR="008D3142" w:rsidRPr="00CC4FAD">
        <w:tc>
          <w:tcPr>
            <w:tcW w:w="0" w:type="auto"/>
          </w:tcPr>
          <w:p w:rsidR="008D3142" w:rsidRPr="00CC4FAD" w:rsidRDefault="008D3142" w:rsidP="008D1FDA">
            <w:r>
              <w:t>09</w:t>
            </w:r>
          </w:p>
        </w:tc>
        <w:tc>
          <w:tcPr>
            <w:tcW w:w="0" w:type="auto"/>
          </w:tcPr>
          <w:p w:rsidR="008D3142" w:rsidRPr="00CC4FAD" w:rsidRDefault="008D3142" w:rsidP="00BD5B12">
            <w:pPr>
              <w:tabs>
                <w:tab w:val="decimal" w:pos="318"/>
              </w:tabs>
            </w:pPr>
            <w:r>
              <w:t>75</w:t>
            </w:r>
          </w:p>
        </w:tc>
        <w:tc>
          <w:tcPr>
            <w:tcW w:w="0" w:type="auto"/>
          </w:tcPr>
          <w:p w:rsidR="008D3142" w:rsidRPr="00CC4FAD" w:rsidRDefault="008D3142" w:rsidP="00BD5B12">
            <w:pPr>
              <w:tabs>
                <w:tab w:val="decimal" w:pos="384"/>
              </w:tabs>
            </w:pPr>
            <w:r>
              <w:t>4.7</w:t>
            </w:r>
          </w:p>
        </w:tc>
        <w:tc>
          <w:tcPr>
            <w:tcW w:w="0" w:type="auto"/>
          </w:tcPr>
          <w:p w:rsidR="008D3142" w:rsidRPr="00447889" w:rsidRDefault="008D1FDA" w:rsidP="00BD5B12">
            <w:pPr>
              <w:tabs>
                <w:tab w:val="decimal" w:pos="340"/>
              </w:tabs>
            </w:pPr>
            <w:r>
              <w:t>9.2</w:t>
            </w:r>
          </w:p>
        </w:tc>
        <w:tc>
          <w:tcPr>
            <w:tcW w:w="0" w:type="auto"/>
          </w:tcPr>
          <w:p w:rsidR="008D3142" w:rsidRPr="00447889" w:rsidRDefault="008D1FDA" w:rsidP="008D1FDA">
            <w:pPr>
              <w:jc w:val="center"/>
            </w:pPr>
            <w:r>
              <w:t>2</w:t>
            </w:r>
          </w:p>
        </w:tc>
        <w:tc>
          <w:tcPr>
            <w:tcW w:w="0" w:type="auto"/>
          </w:tcPr>
          <w:p w:rsidR="008D3142" w:rsidRPr="00447889" w:rsidRDefault="008D3142" w:rsidP="008D3142"/>
        </w:tc>
      </w:tr>
      <w:tr w:rsidR="0063656D" w:rsidRPr="00CC4FAD">
        <w:tc>
          <w:tcPr>
            <w:tcW w:w="0" w:type="auto"/>
          </w:tcPr>
          <w:p w:rsidR="0063656D" w:rsidRDefault="0063656D" w:rsidP="008D1FDA">
            <w:r>
              <w:t>10</w:t>
            </w:r>
          </w:p>
        </w:tc>
        <w:tc>
          <w:tcPr>
            <w:tcW w:w="0" w:type="auto"/>
          </w:tcPr>
          <w:p w:rsidR="0063656D" w:rsidRDefault="0063656D" w:rsidP="00BD5B12">
            <w:pPr>
              <w:tabs>
                <w:tab w:val="decimal" w:pos="318"/>
              </w:tabs>
            </w:pPr>
            <w:r>
              <w:t>7.5</w:t>
            </w:r>
          </w:p>
        </w:tc>
        <w:tc>
          <w:tcPr>
            <w:tcW w:w="0" w:type="auto"/>
          </w:tcPr>
          <w:p w:rsidR="0063656D" w:rsidRDefault="0063656D" w:rsidP="00BD5B12">
            <w:pPr>
              <w:tabs>
                <w:tab w:val="decimal" w:pos="384"/>
              </w:tabs>
            </w:pPr>
            <w:r>
              <w:t>0.472</w:t>
            </w:r>
          </w:p>
        </w:tc>
        <w:tc>
          <w:tcPr>
            <w:tcW w:w="0" w:type="auto"/>
          </w:tcPr>
          <w:p w:rsidR="0063656D" w:rsidRDefault="002B4599" w:rsidP="00BD5B12">
            <w:pPr>
              <w:tabs>
                <w:tab w:val="decimal" w:pos="340"/>
              </w:tabs>
            </w:pPr>
            <w:r>
              <w:t>0.60</w:t>
            </w:r>
          </w:p>
        </w:tc>
        <w:tc>
          <w:tcPr>
            <w:tcW w:w="0" w:type="auto"/>
          </w:tcPr>
          <w:p w:rsidR="0063656D" w:rsidRDefault="00E5129C" w:rsidP="008D1FDA">
            <w:pPr>
              <w:jc w:val="center"/>
            </w:pPr>
            <w:r>
              <w:t>3</w:t>
            </w:r>
          </w:p>
        </w:tc>
        <w:tc>
          <w:tcPr>
            <w:tcW w:w="0" w:type="auto"/>
          </w:tcPr>
          <w:p w:rsidR="0063656D" w:rsidRPr="0063656D" w:rsidRDefault="0063656D" w:rsidP="008D3142">
            <w:r>
              <w:rPr>
                <w:i/>
              </w:rPr>
              <w:t>k</w:t>
            </w:r>
            <w:r>
              <w:t xml:space="preserve"> = 0.30 yr</w:t>
            </w:r>
            <w:r>
              <w:rPr>
                <w:vertAlign w:val="superscript"/>
              </w:rPr>
              <w:t>–1</w:t>
            </w:r>
          </w:p>
        </w:tc>
      </w:tr>
      <w:tr w:rsidR="0063656D" w:rsidRPr="00CC4FAD">
        <w:tc>
          <w:tcPr>
            <w:tcW w:w="0" w:type="auto"/>
          </w:tcPr>
          <w:p w:rsidR="0063656D" w:rsidRDefault="0063656D" w:rsidP="008D1FDA">
            <w:r>
              <w:t>11</w:t>
            </w:r>
          </w:p>
        </w:tc>
        <w:tc>
          <w:tcPr>
            <w:tcW w:w="0" w:type="auto"/>
          </w:tcPr>
          <w:p w:rsidR="0063656D" w:rsidRDefault="0063656D" w:rsidP="00BD5B12">
            <w:pPr>
              <w:tabs>
                <w:tab w:val="decimal" w:pos="318"/>
              </w:tabs>
            </w:pPr>
            <w:r>
              <w:t>7.5</w:t>
            </w:r>
          </w:p>
        </w:tc>
        <w:tc>
          <w:tcPr>
            <w:tcW w:w="0" w:type="auto"/>
          </w:tcPr>
          <w:p w:rsidR="0063656D" w:rsidRDefault="0063656D" w:rsidP="00BD5B12">
            <w:pPr>
              <w:tabs>
                <w:tab w:val="decimal" w:pos="384"/>
              </w:tabs>
            </w:pPr>
            <w:r>
              <w:t>0.472</w:t>
            </w:r>
          </w:p>
        </w:tc>
        <w:tc>
          <w:tcPr>
            <w:tcW w:w="0" w:type="auto"/>
          </w:tcPr>
          <w:p w:rsidR="0063656D" w:rsidRDefault="002053A2" w:rsidP="00BD5B12">
            <w:pPr>
              <w:tabs>
                <w:tab w:val="decimal" w:pos="340"/>
              </w:tabs>
            </w:pPr>
            <w:r>
              <w:t>0.72</w:t>
            </w:r>
          </w:p>
        </w:tc>
        <w:tc>
          <w:tcPr>
            <w:tcW w:w="0" w:type="auto"/>
          </w:tcPr>
          <w:p w:rsidR="0063656D" w:rsidRDefault="002053A2" w:rsidP="008D1FDA">
            <w:pPr>
              <w:jc w:val="center"/>
            </w:pPr>
            <w:r>
              <w:t>2</w:t>
            </w:r>
          </w:p>
        </w:tc>
        <w:tc>
          <w:tcPr>
            <w:tcW w:w="0" w:type="auto"/>
          </w:tcPr>
          <w:p w:rsidR="0063656D" w:rsidRPr="0063656D" w:rsidRDefault="0063656D" w:rsidP="008D3142">
            <w:pPr>
              <w:rPr>
                <w:vertAlign w:val="superscript"/>
              </w:rPr>
            </w:pPr>
            <w:r>
              <w:rPr>
                <w:i/>
              </w:rPr>
              <w:t>k</w:t>
            </w:r>
            <w:r>
              <w:t xml:space="preserve"> = 0.40 yr</w:t>
            </w:r>
            <w:r>
              <w:rPr>
                <w:vertAlign w:val="superscript"/>
              </w:rPr>
              <w:t>–1</w:t>
            </w:r>
          </w:p>
        </w:tc>
      </w:tr>
    </w:tbl>
    <w:p w:rsidR="00AA2220" w:rsidRDefault="00AA2220" w:rsidP="00653837">
      <w:pPr>
        <w:tabs>
          <w:tab w:val="left" w:pos="180"/>
        </w:tabs>
        <w:rPr>
          <w:rFonts w:ascii="Symbol" w:hAnsi="Symbol"/>
        </w:rPr>
        <w:sectPr w:rsidR="00AA2220" w:rsidSect="008D7217">
          <w:footerReference w:type="default" r:id="rId20"/>
          <w:pgSz w:w="12240" w:h="15840"/>
          <w:pgMar w:top="1440" w:right="1440" w:bottom="1440" w:left="1440" w:header="720" w:footer="720" w:gutter="0"/>
          <w:cols w:space="720"/>
          <w:docGrid w:linePitch="360"/>
        </w:sectPr>
      </w:pPr>
    </w:p>
    <w:p w:rsidR="00AA2220" w:rsidRDefault="00214C84" w:rsidP="00653837">
      <w:pPr>
        <w:tabs>
          <w:tab w:val="left" w:pos="180"/>
        </w:tabs>
        <w:rPr>
          <w:rFonts w:ascii="Symbol" w:hAnsi="Symbol"/>
        </w:rPr>
      </w:pPr>
      <w:r>
        <w:rPr>
          <w:rFonts w:ascii="Symbol" w:hAnsi="Symbol"/>
          <w:noProof/>
        </w:rPr>
        <w:lastRenderedPageBreak/>
        <w:drawing>
          <wp:inline distT="0" distB="0" distL="0" distR="0">
            <wp:extent cx="7894320" cy="5707380"/>
            <wp:effectExtent l="0" t="0" r="0" b="7620"/>
            <wp:docPr id="5" name="Picture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94320" cy="5707380"/>
                    </a:xfrm>
                    <a:prstGeom prst="rect">
                      <a:avLst/>
                    </a:prstGeom>
                    <a:noFill/>
                    <a:ln>
                      <a:noFill/>
                    </a:ln>
                  </pic:spPr>
                </pic:pic>
              </a:graphicData>
            </a:graphic>
          </wp:inline>
        </w:drawing>
      </w:r>
    </w:p>
    <w:p w:rsidR="00AA2220" w:rsidRPr="00AA2220" w:rsidRDefault="00AA2220" w:rsidP="00653837">
      <w:pPr>
        <w:tabs>
          <w:tab w:val="left" w:pos="180"/>
        </w:tabs>
      </w:pPr>
      <w:r w:rsidRPr="00AA2220">
        <w:rPr>
          <w:b/>
        </w:rPr>
        <w:t>Figure</w:t>
      </w:r>
      <w:r>
        <w:rPr>
          <w:b/>
        </w:rPr>
        <w:t xml:space="preserve"> </w:t>
      </w:r>
      <w:r w:rsidR="001F2841">
        <w:rPr>
          <w:b/>
        </w:rPr>
        <w:t>A4</w:t>
      </w:r>
      <w:r w:rsidR="00CB1549">
        <w:rPr>
          <w:b/>
        </w:rPr>
        <w:t>.2-</w:t>
      </w:r>
      <w:r>
        <w:rPr>
          <w:b/>
        </w:rPr>
        <w:t xml:space="preserve">4. </w:t>
      </w:r>
      <w:r>
        <w:t>Bioscreen-AT centerline results screen at 10 yr for Model 01.</w:t>
      </w:r>
    </w:p>
    <w:p w:rsidR="00AA2220" w:rsidRDefault="00AA2220" w:rsidP="00653837">
      <w:pPr>
        <w:tabs>
          <w:tab w:val="left" w:pos="180"/>
        </w:tabs>
        <w:rPr>
          <w:rFonts w:ascii="Symbol" w:hAnsi="Symbol"/>
        </w:rPr>
        <w:sectPr w:rsidR="00AA2220" w:rsidSect="00AA2220">
          <w:footerReference w:type="default" r:id="rId22"/>
          <w:pgSz w:w="15840" w:h="12240" w:orient="landscape"/>
          <w:pgMar w:top="1440" w:right="1440" w:bottom="1440" w:left="1440" w:header="720" w:footer="720" w:gutter="0"/>
          <w:cols w:space="720"/>
          <w:docGrid w:linePitch="360"/>
        </w:sectPr>
      </w:pPr>
    </w:p>
    <w:p w:rsidR="00AA1FC7" w:rsidRDefault="00AA1FC7"/>
    <w:p w:rsidR="00AD4DA5" w:rsidRPr="00BE55FA" w:rsidRDefault="001F2841" w:rsidP="00AD4DA5">
      <w:pPr>
        <w:tabs>
          <w:tab w:val="left" w:pos="900"/>
        </w:tabs>
        <w:rPr>
          <w:rFonts w:ascii="Arial" w:hAnsi="Arial" w:cs="Arial"/>
          <w:b/>
          <w:sz w:val="26"/>
        </w:rPr>
      </w:pPr>
      <w:r>
        <w:rPr>
          <w:rFonts w:ascii="Arial" w:hAnsi="Arial" w:cs="Arial"/>
          <w:b/>
          <w:sz w:val="26"/>
        </w:rPr>
        <w:t>A4</w:t>
      </w:r>
      <w:r w:rsidR="00AD4DA5" w:rsidRPr="00BE55FA">
        <w:rPr>
          <w:rFonts w:ascii="Arial" w:hAnsi="Arial" w:cs="Arial"/>
          <w:b/>
          <w:sz w:val="26"/>
        </w:rPr>
        <w:t>.2.</w:t>
      </w:r>
      <w:r w:rsidR="00AD4DA5">
        <w:rPr>
          <w:rFonts w:ascii="Arial" w:hAnsi="Arial" w:cs="Arial"/>
          <w:b/>
          <w:sz w:val="26"/>
        </w:rPr>
        <w:t>6</w:t>
      </w:r>
      <w:r w:rsidR="00AD4DA5" w:rsidRPr="00BE55FA">
        <w:rPr>
          <w:rFonts w:ascii="Arial" w:hAnsi="Arial" w:cs="Arial"/>
          <w:b/>
          <w:sz w:val="26"/>
        </w:rPr>
        <w:t>.</w:t>
      </w:r>
      <w:r w:rsidR="00AD4DA5" w:rsidRPr="00BE55FA">
        <w:rPr>
          <w:rFonts w:ascii="Arial" w:hAnsi="Arial" w:cs="Arial"/>
          <w:b/>
          <w:sz w:val="26"/>
        </w:rPr>
        <w:tab/>
      </w:r>
      <w:r w:rsidR="00AD4DA5">
        <w:rPr>
          <w:rFonts w:ascii="Arial" w:hAnsi="Arial" w:cs="Arial"/>
          <w:b/>
          <w:sz w:val="26"/>
        </w:rPr>
        <w:t>Bioscreen Model Findings</w:t>
      </w:r>
    </w:p>
    <w:p w:rsidR="00AD4DA5" w:rsidRDefault="00AD4DA5" w:rsidP="00AD4DA5">
      <w:r>
        <w:t>Here’s what we can conclude from these model runs.</w:t>
      </w:r>
    </w:p>
    <w:p w:rsidR="00CB1549" w:rsidRDefault="00CB1549" w:rsidP="00AD4DA5"/>
    <w:p w:rsidR="00AD4DA5" w:rsidRDefault="00AD4DA5" w:rsidP="00AD4DA5">
      <w:pPr>
        <w:tabs>
          <w:tab w:val="left" w:pos="180"/>
        </w:tabs>
        <w:ind w:left="180" w:hanging="180"/>
      </w:pPr>
      <w:r>
        <w:t>•</w:t>
      </w:r>
      <w:r>
        <w:tab/>
        <w:t>The plume advances until ~5 yr, and then concentrations begin to decline as source decay overcomes advective transport.</w:t>
      </w:r>
    </w:p>
    <w:p w:rsidR="00CB1549" w:rsidRDefault="00CB1549" w:rsidP="00AD4DA5">
      <w:pPr>
        <w:tabs>
          <w:tab w:val="left" w:pos="180"/>
        </w:tabs>
        <w:ind w:left="180" w:hanging="180"/>
      </w:pPr>
    </w:p>
    <w:p w:rsidR="00AD4DA5" w:rsidRDefault="00AD4DA5" w:rsidP="00AD4DA5">
      <w:pPr>
        <w:tabs>
          <w:tab w:val="left" w:pos="180"/>
        </w:tabs>
        <w:ind w:left="180" w:hanging="180"/>
      </w:pPr>
      <w:r>
        <w:t>•</w:t>
      </w:r>
      <w:r>
        <w:tab/>
        <w:t xml:space="preserve">Within the modeled parameter space, there is a large range of best-fit </w:t>
      </w:r>
      <w:r>
        <w:rPr>
          <w:rFonts w:ascii="Symbol" w:hAnsi="Symbol"/>
          <w:i/>
        </w:rPr>
        <w:t></w:t>
      </w:r>
      <w:r>
        <w:t xml:space="preserve"> (over a factor of 10), but the predictive results at the property boundary vary very little. This is because the two calibration wells tightly constrain the model curves.</w:t>
      </w:r>
    </w:p>
    <w:p w:rsidR="00CB1549" w:rsidRDefault="00CB1549" w:rsidP="00AD4DA5">
      <w:pPr>
        <w:tabs>
          <w:tab w:val="left" w:pos="180"/>
        </w:tabs>
        <w:ind w:left="180" w:hanging="180"/>
      </w:pPr>
    </w:p>
    <w:p w:rsidR="00AD4DA5" w:rsidRDefault="00AD4DA5" w:rsidP="00AD4DA5">
      <w:pPr>
        <w:tabs>
          <w:tab w:val="left" w:pos="180"/>
        </w:tabs>
        <w:ind w:left="180" w:hanging="180"/>
      </w:pPr>
      <w:r>
        <w:t>•</w:t>
      </w:r>
      <w:r>
        <w:tab/>
        <w:t xml:space="preserve">Benzene is predicted to be below the SHS </w:t>
      </w:r>
      <w:r w:rsidR="00CB1549">
        <w:t xml:space="preserve">MSC </w:t>
      </w:r>
      <w:r>
        <w:t xml:space="preserve">of 5 </w:t>
      </w:r>
      <w:r>
        <w:rPr>
          <w:rFonts w:ascii="Symbol" w:hAnsi="Symbol"/>
        </w:rPr>
        <w:t></w:t>
      </w:r>
      <w:r>
        <w:t>g/L</w:t>
      </w:r>
      <w:r w:rsidR="005633A0">
        <w:t xml:space="preserve"> </w:t>
      </w:r>
      <w:r w:rsidR="00CB1549">
        <w:t xml:space="preserve">at the property boundary </w:t>
      </w:r>
      <w:r w:rsidR="005633A0">
        <w:t>for all model scenarios</w:t>
      </w:r>
      <w:r>
        <w:t>, as of 2009.</w:t>
      </w:r>
    </w:p>
    <w:p w:rsidR="00CB1549" w:rsidRDefault="00CB1549" w:rsidP="00AD4DA5">
      <w:pPr>
        <w:tabs>
          <w:tab w:val="left" w:pos="180"/>
        </w:tabs>
        <w:ind w:left="180" w:hanging="180"/>
      </w:pPr>
    </w:p>
    <w:p w:rsidR="00AD4DA5" w:rsidRDefault="00AD4DA5" w:rsidP="00AD4DA5">
      <w:pPr>
        <w:tabs>
          <w:tab w:val="left" w:pos="180"/>
        </w:tabs>
        <w:ind w:left="180" w:hanging="180"/>
      </w:pPr>
      <w:r>
        <w:t>•</w:t>
      </w:r>
      <w:r>
        <w:tab/>
        <w:t xml:space="preserve">However, in the past the standard was exceeded at the property boundary. For the baseline model, benzene attains 5 </w:t>
      </w:r>
      <w:r>
        <w:rPr>
          <w:rFonts w:ascii="Symbol" w:hAnsi="Symbol"/>
        </w:rPr>
        <w:t></w:t>
      </w:r>
      <w:r>
        <w:t>g/L only</w:t>
      </w:r>
      <w:r w:rsidR="00A90C16">
        <w:t xml:space="preserve"> beginning</w:t>
      </w:r>
      <w:r>
        <w:t xml:space="preserve"> in 2007, and a maximum past concentration of ~100 </w:t>
      </w:r>
      <w:r>
        <w:rPr>
          <w:rFonts w:ascii="Symbol" w:hAnsi="Symbol"/>
        </w:rPr>
        <w:t></w:t>
      </w:r>
      <w:r>
        <w:t>g/L is calculated at the property line.</w:t>
      </w:r>
    </w:p>
    <w:p w:rsidR="00A90C16" w:rsidRDefault="00A90C16" w:rsidP="00A90C16">
      <w:pPr>
        <w:tabs>
          <w:tab w:val="left" w:pos="0"/>
        </w:tabs>
      </w:pPr>
    </w:p>
    <w:p w:rsidR="00A90C16" w:rsidRDefault="00A90C16" w:rsidP="00A90C16">
      <w:pPr>
        <w:tabs>
          <w:tab w:val="left" w:pos="0"/>
        </w:tabs>
      </w:pPr>
      <w:r>
        <w:t xml:space="preserve">In this example we determined that there are no present or future exceedences at the property boundary. However, this does not qualify as a demonstration of attainment for the </w:t>
      </w:r>
      <w:proofErr w:type="gramStart"/>
      <w:r>
        <w:t>Statewide</w:t>
      </w:r>
      <w:proofErr w:type="gramEnd"/>
      <w:r>
        <w:t xml:space="preserve"> health standard. This must be accomplished with monitoring well data (Section 250.704(b)). Modeling can guide the </w:t>
      </w:r>
      <w:proofErr w:type="spellStart"/>
      <w:r>
        <w:t>remediator’s</w:t>
      </w:r>
      <w:proofErr w:type="spellEnd"/>
      <w:r>
        <w:t xml:space="preserve"> decision to install point-of-compliance wells. The results can also be used under the site-specific standard </w:t>
      </w:r>
      <w:r w:rsidR="00B25822">
        <w:t>to demonstrate that there would be no receptors beyond the property line.</w:t>
      </w:r>
    </w:p>
    <w:p w:rsidR="00AD4DA5" w:rsidRDefault="00AD4DA5"/>
    <w:p w:rsidR="00AA1FC7" w:rsidRPr="00BE55FA" w:rsidRDefault="001F2841" w:rsidP="00AA1FC7">
      <w:pPr>
        <w:tabs>
          <w:tab w:val="left" w:pos="900"/>
        </w:tabs>
        <w:rPr>
          <w:rFonts w:ascii="Arial" w:hAnsi="Arial" w:cs="Arial"/>
          <w:b/>
          <w:sz w:val="26"/>
        </w:rPr>
      </w:pPr>
      <w:r>
        <w:rPr>
          <w:rFonts w:ascii="Arial" w:hAnsi="Arial" w:cs="Arial"/>
          <w:b/>
          <w:sz w:val="26"/>
        </w:rPr>
        <w:t>A4</w:t>
      </w:r>
      <w:r w:rsidR="00AA1FC7" w:rsidRPr="00BE55FA">
        <w:rPr>
          <w:rFonts w:ascii="Arial" w:hAnsi="Arial" w:cs="Arial"/>
          <w:b/>
          <w:sz w:val="26"/>
        </w:rPr>
        <w:t>.2.</w:t>
      </w:r>
      <w:r w:rsidR="00AD4DA5">
        <w:rPr>
          <w:rFonts w:ascii="Arial" w:hAnsi="Arial" w:cs="Arial"/>
          <w:b/>
          <w:sz w:val="26"/>
        </w:rPr>
        <w:t>7</w:t>
      </w:r>
      <w:r w:rsidR="00AA1FC7" w:rsidRPr="00BE55FA">
        <w:rPr>
          <w:rFonts w:ascii="Arial" w:hAnsi="Arial" w:cs="Arial"/>
          <w:b/>
          <w:sz w:val="26"/>
        </w:rPr>
        <w:t>.</w:t>
      </w:r>
      <w:r w:rsidR="00AA1FC7" w:rsidRPr="00BE55FA">
        <w:rPr>
          <w:rFonts w:ascii="Arial" w:hAnsi="Arial" w:cs="Arial"/>
          <w:b/>
          <w:sz w:val="26"/>
        </w:rPr>
        <w:tab/>
      </w:r>
      <w:r w:rsidR="00AA1FC7">
        <w:rPr>
          <w:rFonts w:ascii="Arial" w:hAnsi="Arial" w:cs="Arial"/>
          <w:b/>
          <w:sz w:val="26"/>
        </w:rPr>
        <w:t>Comparison to QD</w:t>
      </w:r>
    </w:p>
    <w:p w:rsidR="00AA1FC7" w:rsidRDefault="002E0C87">
      <w:r>
        <w:t xml:space="preserve">Recall that the consultant originally didn’t account for source decay and modeled the site with Quick Domenico. How do the QD predictions compare to Bioscreen-AT? </w:t>
      </w:r>
    </w:p>
    <w:p w:rsidR="00AA1FC7" w:rsidRDefault="00AA1FC7"/>
    <w:p w:rsidR="00AA1FC7" w:rsidRDefault="00BB1A9C">
      <w:r>
        <w:t xml:space="preserve">As is commonly done with QD, we </w:t>
      </w:r>
      <w:r w:rsidR="00AB6127">
        <w:t xml:space="preserve">will </w:t>
      </w:r>
      <w:r w:rsidR="00021717">
        <w:t>define</w:t>
      </w:r>
      <w:r>
        <w:t xml:space="preserve"> the maximum measured benzene concentration as the source concentration (3.92 mg/L at MW-7 in Jan</w:t>
      </w:r>
      <w:r w:rsidR="00021717">
        <w:t>uary</w:t>
      </w:r>
      <w:r>
        <w:t xml:space="preserve"> 1997)</w:t>
      </w:r>
      <w:r w:rsidR="00AB6127">
        <w:t xml:space="preserve"> for the QD model</w:t>
      </w:r>
      <w:r>
        <w:t>.</w:t>
      </w:r>
      <w:r w:rsidR="00DE4E66">
        <w:t xml:space="preserve"> </w:t>
      </w:r>
      <w:r>
        <w:t xml:space="preserve">The other input parameters are the same as in Bioscreen-AT Model 01, and we calibrate to the </w:t>
      </w:r>
      <w:r w:rsidR="00DE4E66">
        <w:t xml:space="preserve">same </w:t>
      </w:r>
      <w:r>
        <w:t xml:space="preserve">MW-3 and MW-10 concentrations by varying </w:t>
      </w:r>
      <w:r>
        <w:rPr>
          <w:rFonts w:ascii="Symbol" w:hAnsi="Symbol"/>
          <w:i/>
        </w:rPr>
        <w:t></w:t>
      </w:r>
      <w:r>
        <w:t>. We obtain the following results for QD (Fig</w:t>
      </w:r>
      <w:r w:rsidR="00A84E81">
        <w:t>ure</w:t>
      </w:r>
      <w:r>
        <w:t xml:space="preserve"> </w:t>
      </w:r>
      <w:r w:rsidR="001F2841">
        <w:t>A4</w:t>
      </w:r>
      <w:r w:rsidR="0071611F">
        <w:t>.2-</w:t>
      </w:r>
      <w:r>
        <w:t>5).</w:t>
      </w:r>
    </w:p>
    <w:p w:rsidR="00BB1A9C" w:rsidRDefault="00BB1A9C"/>
    <w:p w:rsidR="00AB6127" w:rsidRPr="00AB6127" w:rsidRDefault="0071611F">
      <w:r>
        <w:rPr>
          <w:b/>
        </w:rPr>
        <w:t>Table A4.2-</w:t>
      </w:r>
      <w:r w:rsidR="00AB6127">
        <w:rPr>
          <w:b/>
        </w:rPr>
        <w:t xml:space="preserve">6. </w:t>
      </w:r>
      <w:r w:rsidR="00AB6127">
        <w:t>QD baseline model results</w:t>
      </w:r>
    </w:p>
    <w:tbl>
      <w:tblPr>
        <w:tblStyle w:val="TableStyleCDB"/>
        <w:tblW w:w="0" w:type="auto"/>
        <w:tblLook w:val="01E0" w:firstRow="1" w:lastRow="1" w:firstColumn="1" w:lastColumn="1" w:noHBand="0" w:noVBand="0"/>
      </w:tblPr>
      <w:tblGrid>
        <w:gridCol w:w="870"/>
        <w:gridCol w:w="723"/>
        <w:gridCol w:w="828"/>
        <w:gridCol w:w="1196"/>
        <w:gridCol w:w="955"/>
        <w:gridCol w:w="1785"/>
        <w:gridCol w:w="1756"/>
      </w:tblGrid>
      <w:tr w:rsidR="00BB1A9C" w:rsidRPr="00CC4FAD" w:rsidTr="00AB6127">
        <w:trPr>
          <w:cnfStyle w:val="100000000000" w:firstRow="1" w:lastRow="0" w:firstColumn="0" w:lastColumn="0" w:oddVBand="0" w:evenVBand="0" w:oddHBand="0" w:evenHBand="0" w:firstRowFirstColumn="0" w:firstRowLastColumn="0" w:lastRowFirstColumn="0" w:lastRowLastColumn="0"/>
        </w:trPr>
        <w:tc>
          <w:tcPr>
            <w:tcW w:w="0" w:type="auto"/>
            <w:shd w:val="clear" w:color="auto" w:fill="F2F2F2" w:themeFill="background1" w:themeFillShade="F2"/>
          </w:tcPr>
          <w:p w:rsidR="00BB1A9C" w:rsidRPr="00CC4FAD" w:rsidRDefault="00BB1A9C" w:rsidP="00041531">
            <w:pPr>
              <w:rPr>
                <w:b/>
              </w:rPr>
            </w:pPr>
            <w:r w:rsidRPr="00CC4FAD">
              <w:rPr>
                <w:b/>
              </w:rPr>
              <w:t>Model</w:t>
            </w:r>
          </w:p>
        </w:tc>
        <w:tc>
          <w:tcPr>
            <w:tcW w:w="0" w:type="auto"/>
            <w:shd w:val="clear" w:color="auto" w:fill="F2F2F2" w:themeFill="background1" w:themeFillShade="F2"/>
          </w:tcPr>
          <w:p w:rsidR="00BB1A9C" w:rsidRPr="00BB1A9C" w:rsidRDefault="00BB1A9C" w:rsidP="00041531">
            <w:pPr>
              <w:jc w:val="center"/>
              <w:rPr>
                <w:b/>
              </w:rPr>
            </w:pPr>
            <w:r w:rsidRPr="00BB1A9C">
              <w:rPr>
                <w:b/>
              </w:rPr>
              <w:t>Year</w:t>
            </w:r>
          </w:p>
        </w:tc>
        <w:tc>
          <w:tcPr>
            <w:tcW w:w="0" w:type="auto"/>
            <w:shd w:val="clear" w:color="auto" w:fill="F2F2F2" w:themeFill="background1" w:themeFillShade="F2"/>
          </w:tcPr>
          <w:p w:rsidR="00BB1A9C" w:rsidRPr="00CC4FAD" w:rsidRDefault="00BB1A9C" w:rsidP="00041531">
            <w:pPr>
              <w:jc w:val="center"/>
              <w:rPr>
                <w:b/>
              </w:rPr>
            </w:pPr>
            <w:r w:rsidRPr="00CC4FAD">
              <w:rPr>
                <w:rFonts w:ascii="Symbol" w:hAnsi="Symbol"/>
                <w:b/>
                <w:i/>
              </w:rPr>
              <w:t></w:t>
            </w:r>
            <w:r w:rsidRPr="00CC4FAD">
              <w:rPr>
                <w:b/>
                <w:i/>
                <w:vertAlign w:val="subscript"/>
              </w:rPr>
              <w:t>x</w:t>
            </w:r>
            <w:r w:rsidRPr="00CC4FAD">
              <w:rPr>
                <w:b/>
              </w:rPr>
              <w:t xml:space="preserve"> (ft)</w:t>
            </w:r>
          </w:p>
        </w:tc>
        <w:tc>
          <w:tcPr>
            <w:tcW w:w="0" w:type="auto"/>
            <w:shd w:val="clear" w:color="auto" w:fill="F2F2F2" w:themeFill="background1" w:themeFillShade="F2"/>
          </w:tcPr>
          <w:p w:rsidR="00BB1A9C" w:rsidRPr="00CC4FAD" w:rsidRDefault="00BB1A9C" w:rsidP="00041531">
            <w:pPr>
              <w:jc w:val="center"/>
              <w:rPr>
                <w:b/>
              </w:rPr>
            </w:pPr>
            <w:r w:rsidRPr="00CC4FAD">
              <w:rPr>
                <w:b/>
                <w:i/>
              </w:rPr>
              <w:t>K</w:t>
            </w:r>
            <w:r w:rsidRPr="00CC4FAD">
              <w:rPr>
                <w:b/>
              </w:rPr>
              <w:t xml:space="preserve"> (ft/day)</w:t>
            </w:r>
          </w:p>
        </w:tc>
        <w:tc>
          <w:tcPr>
            <w:tcW w:w="0" w:type="auto"/>
            <w:shd w:val="clear" w:color="auto" w:fill="F2F2F2" w:themeFill="background1" w:themeFillShade="F2"/>
          </w:tcPr>
          <w:p w:rsidR="00BB1A9C" w:rsidRPr="001414BE" w:rsidRDefault="00BB1A9C" w:rsidP="00041531">
            <w:pPr>
              <w:jc w:val="center"/>
              <w:rPr>
                <w:rFonts w:ascii="Symbol" w:hAnsi="Symbol"/>
                <w:b/>
              </w:rPr>
            </w:pPr>
            <w:r w:rsidRPr="001414BE">
              <w:rPr>
                <w:rFonts w:ascii="Symbol" w:hAnsi="Symbol"/>
                <w:b/>
                <w:i/>
              </w:rPr>
              <w:t></w:t>
            </w:r>
            <w:r>
              <w:rPr>
                <w:rFonts w:ascii="Symbol" w:hAnsi="Symbol"/>
                <w:b/>
              </w:rPr>
              <w:t></w:t>
            </w:r>
            <w:r w:rsidRPr="001414BE">
              <w:rPr>
                <w:b/>
              </w:rPr>
              <w:t>(</w:t>
            </w:r>
            <w:r>
              <w:rPr>
                <w:b/>
              </w:rPr>
              <w:t>yr</w:t>
            </w:r>
            <w:r w:rsidRPr="001414BE">
              <w:rPr>
                <w:b/>
                <w:vertAlign w:val="superscript"/>
              </w:rPr>
              <w:t>–1</w:t>
            </w:r>
            <w:r w:rsidRPr="001414BE">
              <w:rPr>
                <w:b/>
              </w:rPr>
              <w:t>)</w:t>
            </w:r>
          </w:p>
        </w:tc>
        <w:tc>
          <w:tcPr>
            <w:tcW w:w="0" w:type="auto"/>
            <w:shd w:val="clear" w:color="auto" w:fill="F2F2F2" w:themeFill="background1" w:themeFillShade="F2"/>
          </w:tcPr>
          <w:p w:rsidR="00BB1A9C" w:rsidRPr="00AC1EC1" w:rsidRDefault="00BB1A9C" w:rsidP="00041531">
            <w:pPr>
              <w:jc w:val="center"/>
              <w:rPr>
                <w:rFonts w:ascii="Symbol" w:hAnsi="Symbol"/>
                <w:b/>
                <w:u w:val="words"/>
              </w:rPr>
            </w:pPr>
            <w:r>
              <w:rPr>
                <w:b/>
                <w:i/>
              </w:rPr>
              <w:t>C</w:t>
            </w:r>
            <w:r w:rsidRPr="00AB6127">
              <w:rPr>
                <w:b/>
                <w:sz w:val="20"/>
              </w:rPr>
              <w:t>(</w:t>
            </w:r>
            <w:r w:rsidRPr="00AB6127">
              <w:rPr>
                <w:b/>
                <w:i/>
                <w:sz w:val="20"/>
              </w:rPr>
              <w:t>x</w:t>
            </w:r>
            <w:r w:rsidRPr="00AB6127">
              <w:rPr>
                <w:b/>
                <w:sz w:val="20"/>
              </w:rPr>
              <w:t xml:space="preserve"> = 75′)</w:t>
            </w:r>
            <w:r>
              <w:rPr>
                <w:b/>
              </w:rPr>
              <w:t xml:space="preserve"> </w:t>
            </w:r>
            <w:r w:rsidRPr="00AC1EC1">
              <w:rPr>
                <w:b/>
              </w:rPr>
              <w:t>(</w:t>
            </w:r>
            <w:r w:rsidRPr="00AC1EC1">
              <w:rPr>
                <w:rFonts w:ascii="Symbol" w:hAnsi="Symbol"/>
                <w:b/>
              </w:rPr>
              <w:t></w:t>
            </w:r>
            <w:r w:rsidRPr="00AC1EC1">
              <w:rPr>
                <w:b/>
              </w:rPr>
              <w:t>g/L)</w:t>
            </w:r>
          </w:p>
        </w:tc>
        <w:tc>
          <w:tcPr>
            <w:tcW w:w="0" w:type="auto"/>
            <w:shd w:val="clear" w:color="auto" w:fill="F2F2F2" w:themeFill="background1" w:themeFillShade="F2"/>
          </w:tcPr>
          <w:p w:rsidR="00BB1A9C" w:rsidRPr="008D3142" w:rsidRDefault="00BB1A9C" w:rsidP="00041531">
            <w:pPr>
              <w:rPr>
                <w:b/>
              </w:rPr>
            </w:pPr>
            <w:r w:rsidRPr="008D3142">
              <w:rPr>
                <w:b/>
              </w:rPr>
              <w:t>Comments</w:t>
            </w:r>
          </w:p>
        </w:tc>
      </w:tr>
      <w:tr w:rsidR="00A26967" w:rsidRPr="00CC4FAD">
        <w:tc>
          <w:tcPr>
            <w:tcW w:w="0" w:type="auto"/>
            <w:vMerge w:val="restart"/>
            <w:vAlign w:val="center"/>
          </w:tcPr>
          <w:p w:rsidR="00A26967" w:rsidRPr="00CC4FAD" w:rsidRDefault="00A26967" w:rsidP="00041531">
            <w:r>
              <w:t>01QD</w:t>
            </w:r>
          </w:p>
        </w:tc>
        <w:tc>
          <w:tcPr>
            <w:tcW w:w="0" w:type="auto"/>
          </w:tcPr>
          <w:p w:rsidR="00A26967" w:rsidRPr="00BB1A9C" w:rsidRDefault="00A26967" w:rsidP="00041531">
            <w:pPr>
              <w:jc w:val="center"/>
            </w:pPr>
            <w:r>
              <w:t>1999</w:t>
            </w:r>
          </w:p>
        </w:tc>
        <w:tc>
          <w:tcPr>
            <w:tcW w:w="0" w:type="auto"/>
            <w:vMerge w:val="restart"/>
            <w:vAlign w:val="center"/>
          </w:tcPr>
          <w:p w:rsidR="00A26967" w:rsidRPr="00CC4FAD" w:rsidRDefault="00A26967" w:rsidP="00041531">
            <w:pPr>
              <w:jc w:val="center"/>
            </w:pPr>
            <w:r>
              <w:t>7.5</w:t>
            </w:r>
          </w:p>
        </w:tc>
        <w:tc>
          <w:tcPr>
            <w:tcW w:w="0" w:type="auto"/>
            <w:vMerge w:val="restart"/>
            <w:vAlign w:val="center"/>
          </w:tcPr>
          <w:p w:rsidR="00A26967" w:rsidRPr="00CC4FAD" w:rsidRDefault="00A26967" w:rsidP="00041531">
            <w:pPr>
              <w:jc w:val="center"/>
            </w:pPr>
            <w:r>
              <w:t>0.472</w:t>
            </w:r>
          </w:p>
        </w:tc>
        <w:tc>
          <w:tcPr>
            <w:tcW w:w="0" w:type="auto"/>
          </w:tcPr>
          <w:p w:rsidR="00A26967" w:rsidRPr="00447889" w:rsidRDefault="00A26967" w:rsidP="00041531">
            <w:pPr>
              <w:jc w:val="center"/>
            </w:pPr>
            <w:r>
              <w:t>0.0</w:t>
            </w:r>
          </w:p>
        </w:tc>
        <w:tc>
          <w:tcPr>
            <w:tcW w:w="0" w:type="auto"/>
          </w:tcPr>
          <w:p w:rsidR="00A26967" w:rsidRPr="00447889" w:rsidRDefault="00A26967" w:rsidP="00041531">
            <w:pPr>
              <w:jc w:val="center"/>
            </w:pPr>
            <w:r>
              <w:t>2414</w:t>
            </w:r>
          </w:p>
        </w:tc>
        <w:tc>
          <w:tcPr>
            <w:tcW w:w="0" w:type="auto"/>
          </w:tcPr>
          <w:p w:rsidR="00A26967" w:rsidRDefault="00A26967" w:rsidP="00041531"/>
        </w:tc>
      </w:tr>
      <w:tr w:rsidR="00A26967" w:rsidRPr="00CC4FAD">
        <w:tc>
          <w:tcPr>
            <w:tcW w:w="0" w:type="auto"/>
            <w:vMerge/>
          </w:tcPr>
          <w:p w:rsidR="00A26967" w:rsidRPr="00CC4FAD" w:rsidRDefault="00A26967" w:rsidP="00041531"/>
        </w:tc>
        <w:tc>
          <w:tcPr>
            <w:tcW w:w="0" w:type="auto"/>
          </w:tcPr>
          <w:p w:rsidR="00A26967" w:rsidRPr="00BB1A9C" w:rsidRDefault="00A26967" w:rsidP="00041531">
            <w:pPr>
              <w:jc w:val="center"/>
            </w:pPr>
            <w:r>
              <w:t>2009</w:t>
            </w:r>
          </w:p>
        </w:tc>
        <w:tc>
          <w:tcPr>
            <w:tcW w:w="0" w:type="auto"/>
            <w:vMerge/>
          </w:tcPr>
          <w:p w:rsidR="00A26967" w:rsidRPr="00CC4FAD" w:rsidRDefault="00A26967" w:rsidP="00041531">
            <w:pPr>
              <w:jc w:val="center"/>
            </w:pPr>
          </w:p>
        </w:tc>
        <w:tc>
          <w:tcPr>
            <w:tcW w:w="0" w:type="auto"/>
            <w:vMerge/>
          </w:tcPr>
          <w:p w:rsidR="00A26967" w:rsidRPr="00CC4FAD" w:rsidRDefault="00A26967" w:rsidP="00041531">
            <w:pPr>
              <w:jc w:val="center"/>
            </w:pPr>
          </w:p>
        </w:tc>
        <w:tc>
          <w:tcPr>
            <w:tcW w:w="0" w:type="auto"/>
          </w:tcPr>
          <w:p w:rsidR="00A26967" w:rsidRPr="00447889" w:rsidRDefault="005B55D7" w:rsidP="00041531">
            <w:pPr>
              <w:jc w:val="center"/>
            </w:pPr>
            <w:r>
              <w:t>2.1</w:t>
            </w:r>
          </w:p>
        </w:tc>
        <w:tc>
          <w:tcPr>
            <w:tcW w:w="0" w:type="auto"/>
          </w:tcPr>
          <w:p w:rsidR="00A26967" w:rsidRPr="00447889" w:rsidRDefault="00A26967" w:rsidP="00041531">
            <w:pPr>
              <w:jc w:val="center"/>
            </w:pPr>
            <w:r>
              <w:t>0</w:t>
            </w:r>
          </w:p>
        </w:tc>
        <w:tc>
          <w:tcPr>
            <w:tcW w:w="0" w:type="auto"/>
          </w:tcPr>
          <w:p w:rsidR="00A26967" w:rsidRPr="00DE4E66" w:rsidRDefault="00DE4E66" w:rsidP="00041531">
            <w:r w:rsidRPr="00DE4E66">
              <w:t>Poor calibration</w:t>
            </w:r>
          </w:p>
        </w:tc>
      </w:tr>
    </w:tbl>
    <w:p w:rsidR="00BB1A9C" w:rsidRPr="00BB1A9C" w:rsidRDefault="00BB1A9C">
      <w:pPr>
        <w:rPr>
          <w:rFonts w:ascii="Symbol" w:hAnsi="Symbol"/>
        </w:rPr>
      </w:pPr>
    </w:p>
    <w:p w:rsidR="00A26967" w:rsidRDefault="00360935">
      <w:r>
        <w:t xml:space="preserve">We obtain inconsistent values of </w:t>
      </w:r>
      <w:r>
        <w:rPr>
          <w:rFonts w:ascii="Symbol" w:hAnsi="Symbol"/>
          <w:i/>
        </w:rPr>
        <w:t></w:t>
      </w:r>
      <w:r>
        <w:t xml:space="preserve"> for the two calibration times. </w:t>
      </w:r>
      <w:r w:rsidR="00DE4E66">
        <w:t>The 2009 calibration cannot match both the MW-3 and MW-10</w:t>
      </w:r>
      <w:r w:rsidR="007B4B16">
        <w:t xml:space="preserve"> calibration points. </w:t>
      </w:r>
      <w:r w:rsidR="00DE4E66">
        <w:t>Neither the 1999 nor the 2009 QD model reproduces the more physically realistic Bioscreen simulations.</w:t>
      </w:r>
    </w:p>
    <w:p w:rsidR="005B55D7" w:rsidRDefault="005B55D7"/>
    <w:p w:rsidR="005B55D7" w:rsidRDefault="005B55D7">
      <w:r>
        <w:t>The pl</w:t>
      </w:r>
      <w:r w:rsidR="00DE4E66">
        <w:t>anform shape of the Bioscreen and</w:t>
      </w:r>
      <w:r>
        <w:t xml:space="preserve"> QD plumes are quite different (Figure </w:t>
      </w:r>
      <w:r w:rsidR="001F2841">
        <w:t>A4</w:t>
      </w:r>
      <w:r w:rsidR="0071611F">
        <w:t>.2-</w:t>
      </w:r>
      <w:r>
        <w:t>6). The Bioscreen plume is longer, but the QD plume is wider.</w:t>
      </w:r>
      <w:r w:rsidR="002B3D38">
        <w:t xml:space="preserve"> This is apparently because a constant </w:t>
      </w:r>
      <w:r w:rsidR="002B3D38">
        <w:lastRenderedPageBreak/>
        <w:t>source concentration causes greater mass l</w:t>
      </w:r>
      <w:r w:rsidR="00A84E81">
        <w:t>oading that disperses perpendicular</w:t>
      </w:r>
      <w:r w:rsidR="002B3D38">
        <w:t xml:space="preserve"> to the flow direction during the simulation time.</w:t>
      </w:r>
    </w:p>
    <w:p w:rsidR="00A26967" w:rsidRDefault="00A26967"/>
    <w:p w:rsidR="00AA1FC7" w:rsidRPr="00BB1A9C" w:rsidRDefault="007B4B16">
      <w:pPr>
        <w:rPr>
          <w:rFonts w:ascii="Symbol" w:hAnsi="Symbol"/>
        </w:rPr>
      </w:pPr>
      <w:r>
        <w:t>The key lesson from this comparison is that QD can significantly underpredict concentrations downgradient of the calibration wells when there is source decay.</w:t>
      </w:r>
      <w:r w:rsidR="002B3D38">
        <w:t xml:space="preserve"> Whereas the end result is similar in this example (</w:t>
      </w:r>
      <w:r w:rsidR="0071611F">
        <w:t>benzene does not exceed</w:t>
      </w:r>
      <w:r w:rsidR="002B3D38">
        <w:t xml:space="preserve"> at the property boundary), this is not true at other times, and it certainly</w:t>
      </w:r>
      <w:r w:rsidR="0071611F">
        <w:t xml:space="preserve"> may</w:t>
      </w:r>
      <w:r w:rsidR="002B3D38">
        <w:t xml:space="preserve"> not</w:t>
      </w:r>
      <w:r w:rsidR="0071611F">
        <w:t xml:space="preserve"> be</w:t>
      </w:r>
      <w:r w:rsidR="002B3D38">
        <w:t xml:space="preserve"> true in </w:t>
      </w:r>
      <w:r w:rsidR="0071611F">
        <w:t>other</w:t>
      </w:r>
      <w:r w:rsidR="002B3D38">
        <w:t xml:space="preserve"> cases.</w:t>
      </w:r>
    </w:p>
    <w:p w:rsidR="00A84E81" w:rsidRDefault="00A84E81" w:rsidP="00A84E81"/>
    <w:p w:rsidR="00A84E81" w:rsidRDefault="00A84E81" w:rsidP="00A84E81">
      <w:r>
        <w:t>A user might be able to manipulate QD to better match the Bioscreen results with source decay. But the only way to know if this approach succeeds is to run both Bioscreen and QD, and this effort is hardly justified, given that Bioscreen alone will satisfactorily model the problem. QD is an invalid model for source decay problems, and the user should always employ a model that can properly simulate the critical parameters and conditions of the site.</w:t>
      </w:r>
    </w:p>
    <w:p w:rsidR="00AA1FC7" w:rsidRDefault="00AA1FC7"/>
    <w:p w:rsidR="00AA1FC7" w:rsidRPr="008D2EC4" w:rsidRDefault="003D4463">
      <w:r>
        <w:rPr>
          <w:b/>
          <w:noProof/>
        </w:rPr>
        <w:drawing>
          <wp:inline distT="0" distB="0" distL="0" distR="0" wp14:anchorId="638D25C1">
            <wp:extent cx="5943600" cy="402336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a:ln>
                      <a:solidFill>
                        <a:schemeClr val="tx1"/>
                      </a:solidFill>
                    </a:ln>
                  </pic:spPr>
                </pic:pic>
              </a:graphicData>
            </a:graphic>
          </wp:inline>
        </w:drawing>
      </w:r>
      <w:r w:rsidR="008D2EC4">
        <w:rPr>
          <w:b/>
        </w:rPr>
        <w:t xml:space="preserve">Figure </w:t>
      </w:r>
      <w:r w:rsidR="001F2841">
        <w:rPr>
          <w:b/>
        </w:rPr>
        <w:t>A4</w:t>
      </w:r>
      <w:r w:rsidR="0071611F">
        <w:rPr>
          <w:b/>
        </w:rPr>
        <w:t>.2-</w:t>
      </w:r>
      <w:r w:rsidR="008D2EC4">
        <w:rPr>
          <w:b/>
        </w:rPr>
        <w:t xml:space="preserve">5. </w:t>
      </w:r>
      <w:r w:rsidR="008D2EC4">
        <w:t xml:space="preserve">Centerline </w:t>
      </w:r>
      <w:r w:rsidR="00A84E81">
        <w:t xml:space="preserve">benzene </w:t>
      </w:r>
      <w:r w:rsidR="008D2EC4">
        <w:t>results for Bioscreen-AT Model 01 compared to Quick Domenico in years 1999 and 2009.</w:t>
      </w:r>
    </w:p>
    <w:p w:rsidR="00B638C5" w:rsidRDefault="00B638C5"/>
    <w:p w:rsidR="00B638C5" w:rsidRDefault="00B638C5"/>
    <w:p w:rsidR="00B638C5" w:rsidRDefault="00B638C5">
      <w:pPr>
        <w:sectPr w:rsidR="00B638C5" w:rsidSect="00AA2220">
          <w:footerReference w:type="default" r:id="rId24"/>
          <w:pgSz w:w="12240" w:h="15840"/>
          <w:pgMar w:top="1440" w:right="1440" w:bottom="1440" w:left="1440" w:header="720" w:footer="720" w:gutter="0"/>
          <w:cols w:space="720"/>
          <w:docGrid w:linePitch="360"/>
        </w:sectPr>
      </w:pPr>
    </w:p>
    <w:p w:rsidR="00B638C5" w:rsidRDefault="00B638C5" w:rsidP="00954FB6"/>
    <w:p w:rsidR="0087434F" w:rsidRDefault="00C36FA7">
      <w:pPr>
        <w:rPr>
          <w:b/>
        </w:rPr>
      </w:pPr>
      <w:r>
        <w:rPr>
          <w:b/>
          <w:noProof/>
        </w:rPr>
        <w:drawing>
          <wp:inline distT="0" distB="0" distL="0" distR="0">
            <wp:extent cx="7071360" cy="5315873"/>
            <wp:effectExtent l="19050" t="19050" r="1524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4.2_6.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08777" cy="5344001"/>
                    </a:xfrm>
                    <a:prstGeom prst="rect">
                      <a:avLst/>
                    </a:prstGeom>
                    <a:ln>
                      <a:solidFill>
                        <a:schemeClr val="tx1"/>
                      </a:solidFill>
                    </a:ln>
                  </pic:spPr>
                </pic:pic>
              </a:graphicData>
            </a:graphic>
          </wp:inline>
        </w:drawing>
      </w:r>
    </w:p>
    <w:p w:rsidR="00B638C5" w:rsidRDefault="00B638C5" w:rsidP="003E2684">
      <w:pPr>
        <w:ind w:right="3600"/>
      </w:pPr>
      <w:r>
        <w:rPr>
          <w:b/>
        </w:rPr>
        <w:t xml:space="preserve">Figure </w:t>
      </w:r>
      <w:r w:rsidR="001F2841">
        <w:rPr>
          <w:b/>
        </w:rPr>
        <w:t>A4</w:t>
      </w:r>
      <w:r>
        <w:rPr>
          <w:b/>
        </w:rPr>
        <w:t xml:space="preserve">.2.6. </w:t>
      </w:r>
      <w:r>
        <w:t xml:space="preserve">Planview results for Bioscreen-AT Model 01 compared to Quick Domenico in </w:t>
      </w:r>
      <w:r w:rsidR="00C61D09">
        <w:t xml:space="preserve">the </w:t>
      </w:r>
      <w:r>
        <w:t>year 2009.</w:t>
      </w:r>
    </w:p>
    <w:p w:rsidR="00B638C5" w:rsidRDefault="00B638C5" w:rsidP="003E2684">
      <w:pPr>
        <w:ind w:right="3600"/>
        <w:sectPr w:rsidR="00B638C5" w:rsidSect="00B638C5">
          <w:footerReference w:type="default" r:id="rId26"/>
          <w:pgSz w:w="15840" w:h="12240" w:orient="landscape"/>
          <w:pgMar w:top="1440" w:right="1440" w:bottom="1440" w:left="1440" w:header="720" w:footer="720" w:gutter="0"/>
          <w:cols w:space="720"/>
          <w:docGrid w:linePitch="360"/>
        </w:sectPr>
      </w:pPr>
    </w:p>
    <w:p w:rsidR="00B638C5" w:rsidRDefault="00B638C5"/>
    <w:p w:rsidR="00535D10" w:rsidRDefault="00535D10"/>
    <w:p w:rsidR="00B87B25" w:rsidRPr="00BE55FA" w:rsidRDefault="001F2841" w:rsidP="00B87B25">
      <w:pPr>
        <w:tabs>
          <w:tab w:val="left" w:pos="900"/>
        </w:tabs>
        <w:rPr>
          <w:rFonts w:ascii="Arial" w:hAnsi="Arial" w:cs="Arial"/>
          <w:b/>
          <w:sz w:val="26"/>
        </w:rPr>
      </w:pPr>
      <w:r>
        <w:rPr>
          <w:rFonts w:ascii="Arial" w:hAnsi="Arial" w:cs="Arial"/>
          <w:b/>
          <w:sz w:val="26"/>
        </w:rPr>
        <w:t>A4</w:t>
      </w:r>
      <w:r w:rsidR="00B87B25" w:rsidRPr="00BE55FA">
        <w:rPr>
          <w:rFonts w:ascii="Arial" w:hAnsi="Arial" w:cs="Arial"/>
          <w:b/>
          <w:sz w:val="26"/>
        </w:rPr>
        <w:t>.2.</w:t>
      </w:r>
      <w:r w:rsidR="00AD4DA5">
        <w:rPr>
          <w:rFonts w:ascii="Arial" w:hAnsi="Arial" w:cs="Arial"/>
          <w:b/>
          <w:sz w:val="26"/>
        </w:rPr>
        <w:t>8</w:t>
      </w:r>
      <w:r w:rsidR="00B87B25" w:rsidRPr="00BE55FA">
        <w:rPr>
          <w:rFonts w:ascii="Arial" w:hAnsi="Arial" w:cs="Arial"/>
          <w:b/>
          <w:sz w:val="26"/>
        </w:rPr>
        <w:t>.</w:t>
      </w:r>
      <w:r w:rsidR="00B87B25" w:rsidRPr="00BE55FA">
        <w:rPr>
          <w:rFonts w:ascii="Arial" w:hAnsi="Arial" w:cs="Arial"/>
          <w:b/>
          <w:sz w:val="26"/>
        </w:rPr>
        <w:tab/>
      </w:r>
      <w:r w:rsidR="00B87B25">
        <w:rPr>
          <w:rFonts w:ascii="Arial" w:hAnsi="Arial" w:cs="Arial"/>
          <w:b/>
          <w:sz w:val="26"/>
        </w:rPr>
        <w:t>Bioscreen-AT Modeling Procedure</w:t>
      </w:r>
    </w:p>
    <w:p w:rsidR="00535D10" w:rsidRDefault="00B87B25">
      <w:r>
        <w:t>The steps taken to model a fate-and-transport problem with Bioscreen-AT are outlined below.</w:t>
      </w:r>
    </w:p>
    <w:p w:rsidR="00041531" w:rsidRDefault="00041531"/>
    <w:tbl>
      <w:tblPr>
        <w:tblStyle w:val="TableStyleCDB"/>
        <w:tblW w:w="0" w:type="auto"/>
        <w:tblInd w:w="360" w:type="dxa"/>
        <w:shd w:val="clear" w:color="auto" w:fill="FFFFCC"/>
        <w:tblLook w:val="01E0" w:firstRow="1" w:lastRow="1" w:firstColumn="1" w:lastColumn="1" w:noHBand="0" w:noVBand="0"/>
      </w:tblPr>
      <w:tblGrid>
        <w:gridCol w:w="9216"/>
      </w:tblGrid>
      <w:tr w:rsidR="00F91D39" w:rsidRPr="00F91D39">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bottom w:val="nil"/>
            </w:tcBorders>
            <w:shd w:val="clear" w:color="auto" w:fill="FFFFCC"/>
          </w:tcPr>
          <w:p w:rsidR="00F91D39" w:rsidRPr="00F91D39" w:rsidRDefault="00F91D39" w:rsidP="00C61D09">
            <w:pPr>
              <w:numPr>
                <w:ilvl w:val="0"/>
                <w:numId w:val="5"/>
              </w:numPr>
              <w:tabs>
                <w:tab w:val="clear" w:pos="720"/>
              </w:tabs>
              <w:spacing w:before="120" w:after="120"/>
              <w:ind w:left="360"/>
            </w:pPr>
            <w:r w:rsidRPr="00F91D39">
              <w:t>Graph the contaminant data for the source and downgradient wells as a time series.</w:t>
            </w:r>
          </w:p>
        </w:tc>
      </w:tr>
      <w:tr w:rsidR="00F91D39" w:rsidRPr="00F91D39">
        <w:tc>
          <w:tcPr>
            <w:tcW w:w="0" w:type="auto"/>
            <w:tcBorders>
              <w:top w:val="nil"/>
            </w:tcBorders>
            <w:shd w:val="clear" w:color="auto" w:fill="FFFFCC"/>
          </w:tcPr>
          <w:p w:rsidR="00F91D39" w:rsidRPr="00F91D39" w:rsidRDefault="00F91D39" w:rsidP="0046735D">
            <w:pPr>
              <w:numPr>
                <w:ilvl w:val="0"/>
                <w:numId w:val="5"/>
              </w:numPr>
              <w:tabs>
                <w:tab w:val="clear" w:pos="720"/>
              </w:tabs>
              <w:spacing w:after="120"/>
              <w:ind w:left="360"/>
            </w:pPr>
            <w:r w:rsidRPr="00F91D39">
              <w:t>Determine if there is source decay.</w:t>
            </w:r>
            <w:r w:rsidRPr="00F91D39">
              <w:br/>
              <w:t>Calculate the decay rate (</w:t>
            </w:r>
            <w:r w:rsidRPr="00F91D39">
              <w:rPr>
                <w:i/>
              </w:rPr>
              <w:t>k</w:t>
            </w:r>
            <w:r w:rsidRPr="00F91D39">
              <w:t>)</w:t>
            </w:r>
            <w:r w:rsidR="002053A2">
              <w:t xml:space="preserve"> and its uncertainty</w:t>
            </w:r>
            <w:r w:rsidRPr="00F91D39">
              <w:t>.</w:t>
            </w:r>
          </w:p>
        </w:tc>
      </w:tr>
      <w:tr w:rsidR="00F91D39" w:rsidRPr="00F91D39">
        <w:tc>
          <w:tcPr>
            <w:tcW w:w="0" w:type="auto"/>
            <w:shd w:val="clear" w:color="auto" w:fill="FFFFCC"/>
          </w:tcPr>
          <w:p w:rsidR="00F91D39" w:rsidRPr="00F91D39" w:rsidRDefault="00F91D39" w:rsidP="0046735D">
            <w:pPr>
              <w:numPr>
                <w:ilvl w:val="0"/>
                <w:numId w:val="5"/>
              </w:numPr>
              <w:tabs>
                <w:tab w:val="clear" w:pos="720"/>
              </w:tabs>
              <w:spacing w:after="120"/>
              <w:ind w:left="360"/>
            </w:pPr>
            <w:r w:rsidRPr="00F91D39">
              <w:t>Use the best-fit lines to the data for calibration point concentrations.</w:t>
            </w:r>
          </w:p>
        </w:tc>
      </w:tr>
      <w:tr w:rsidR="00F91D39" w:rsidRPr="00F91D39">
        <w:tc>
          <w:tcPr>
            <w:tcW w:w="0" w:type="auto"/>
            <w:shd w:val="clear" w:color="auto" w:fill="FFFFCC"/>
          </w:tcPr>
          <w:p w:rsidR="00F91D39" w:rsidRPr="00F91D39" w:rsidRDefault="00F91D39" w:rsidP="0046735D">
            <w:pPr>
              <w:numPr>
                <w:ilvl w:val="0"/>
                <w:numId w:val="5"/>
              </w:numPr>
              <w:tabs>
                <w:tab w:val="clear" w:pos="720"/>
              </w:tabs>
              <w:spacing w:after="120"/>
              <w:ind w:left="360"/>
            </w:pPr>
            <w:r w:rsidRPr="00F91D39">
              <w:t>Define the release time.</w:t>
            </w:r>
            <w:r w:rsidRPr="00F91D39">
              <w:br/>
              <w:t>Calculate the initial source concentration.</w:t>
            </w:r>
          </w:p>
        </w:tc>
      </w:tr>
      <w:tr w:rsidR="00F91D39" w:rsidRPr="00F91D39">
        <w:tc>
          <w:tcPr>
            <w:tcW w:w="0" w:type="auto"/>
            <w:shd w:val="clear" w:color="auto" w:fill="FFFFCC"/>
          </w:tcPr>
          <w:p w:rsidR="00F91D39" w:rsidRPr="00F91D39" w:rsidRDefault="00F91D39" w:rsidP="0046735D">
            <w:pPr>
              <w:numPr>
                <w:ilvl w:val="0"/>
                <w:numId w:val="5"/>
              </w:numPr>
              <w:tabs>
                <w:tab w:val="clear" w:pos="720"/>
              </w:tabs>
              <w:spacing w:after="120"/>
              <w:ind w:left="360"/>
            </w:pPr>
            <w:r w:rsidRPr="00F91D39">
              <w:t>Run Bioscreen-AT.</w:t>
            </w:r>
            <w:r w:rsidRPr="00F91D39">
              <w:br/>
              <w:t>Calibrate the model by varying a combination of</w:t>
            </w:r>
            <w:r w:rsidR="002053A2">
              <w:t xml:space="preserve"> source concentration (</w:t>
            </w:r>
            <w:r w:rsidR="002053A2">
              <w:rPr>
                <w:i/>
              </w:rPr>
              <w:t>C</w:t>
            </w:r>
            <w:r w:rsidR="002053A2">
              <w:rPr>
                <w:vertAlign w:val="subscript"/>
              </w:rPr>
              <w:t>0</w:t>
            </w:r>
            <w:r w:rsidR="002053A2">
              <w:t xml:space="preserve"> and </w:t>
            </w:r>
            <w:r w:rsidR="002053A2">
              <w:rPr>
                <w:i/>
              </w:rPr>
              <w:t>k</w:t>
            </w:r>
            <w:r w:rsidR="002053A2">
              <w:t>),</w:t>
            </w:r>
            <w:r w:rsidRPr="00F91D39">
              <w:t xml:space="preserve"> </w:t>
            </w:r>
            <w:r w:rsidRPr="00F91D39">
              <w:rPr>
                <w:rFonts w:ascii="Symbol" w:hAnsi="Symbol"/>
                <w:i/>
              </w:rPr>
              <w:t></w:t>
            </w:r>
            <w:r w:rsidRPr="00F91D39">
              <w:t xml:space="preserve">, </w:t>
            </w:r>
            <w:r w:rsidRPr="00F91D39">
              <w:rPr>
                <w:i/>
              </w:rPr>
              <w:t>K</w:t>
            </w:r>
            <w:r w:rsidRPr="00F91D39">
              <w:t xml:space="preserve">, and/or </w:t>
            </w:r>
            <w:r w:rsidRPr="00F91D39">
              <w:rPr>
                <w:rFonts w:ascii="Symbol" w:hAnsi="Symbol"/>
                <w:i/>
              </w:rPr>
              <w:t></w:t>
            </w:r>
            <w:r w:rsidRPr="00F91D39">
              <w:t>.</w:t>
            </w:r>
          </w:p>
        </w:tc>
      </w:tr>
      <w:tr w:rsidR="00F91D39" w:rsidRPr="00F91D39">
        <w:tc>
          <w:tcPr>
            <w:tcW w:w="0" w:type="auto"/>
            <w:shd w:val="clear" w:color="auto" w:fill="FFFFCC"/>
          </w:tcPr>
          <w:p w:rsidR="00F91D39" w:rsidRPr="00F91D39" w:rsidRDefault="00F91D39" w:rsidP="0046735D">
            <w:pPr>
              <w:numPr>
                <w:ilvl w:val="0"/>
                <w:numId w:val="5"/>
              </w:numPr>
              <w:tabs>
                <w:tab w:val="clear" w:pos="720"/>
              </w:tabs>
              <w:spacing w:after="120"/>
              <w:ind w:left="360"/>
            </w:pPr>
            <w:r w:rsidRPr="00F91D39">
              <w:t>Validate the calibrated model at other times.</w:t>
            </w:r>
          </w:p>
        </w:tc>
      </w:tr>
      <w:tr w:rsidR="00F91D39" w:rsidRPr="00F91D39">
        <w:tc>
          <w:tcPr>
            <w:tcW w:w="0" w:type="auto"/>
            <w:shd w:val="clear" w:color="auto" w:fill="FFFFCC"/>
          </w:tcPr>
          <w:p w:rsidR="00F91D39" w:rsidRPr="00F91D39" w:rsidRDefault="00F91D39" w:rsidP="0046735D">
            <w:pPr>
              <w:numPr>
                <w:ilvl w:val="0"/>
                <w:numId w:val="5"/>
              </w:numPr>
              <w:tabs>
                <w:tab w:val="clear" w:pos="720"/>
              </w:tabs>
              <w:spacing w:after="120"/>
              <w:ind w:left="360"/>
            </w:pPr>
            <w:r w:rsidRPr="00F91D39">
              <w:t>Repeat steps 1–6 for other contaminants.</w:t>
            </w:r>
            <w:r w:rsidRPr="00F91D39">
              <w:br/>
            </w:r>
            <w:r w:rsidR="0063656D">
              <w:t>Attempt to find consistent</w:t>
            </w:r>
            <w:r w:rsidRPr="00F91D39">
              <w:t xml:space="preserve"> values of </w:t>
            </w:r>
            <w:r w:rsidRPr="00F91D39">
              <w:rPr>
                <w:i/>
              </w:rPr>
              <w:t>K</w:t>
            </w:r>
            <w:r w:rsidRPr="00F91D39">
              <w:t xml:space="preserve"> and </w:t>
            </w:r>
            <w:r w:rsidRPr="00F91D39">
              <w:rPr>
                <w:rFonts w:ascii="Symbol" w:hAnsi="Symbol"/>
                <w:i/>
              </w:rPr>
              <w:t></w:t>
            </w:r>
            <w:r w:rsidRPr="00F91D39">
              <w:t xml:space="preserve"> </w:t>
            </w:r>
            <w:r w:rsidR="0063656D">
              <w:t>for all</w:t>
            </w:r>
            <w:r w:rsidRPr="00F91D39">
              <w:t xml:space="preserve"> substances</w:t>
            </w:r>
            <w:r w:rsidR="0063656D">
              <w:t>.</w:t>
            </w:r>
          </w:p>
        </w:tc>
      </w:tr>
      <w:tr w:rsidR="00F91D39" w:rsidRPr="00F91D39">
        <w:tc>
          <w:tcPr>
            <w:tcW w:w="0" w:type="auto"/>
            <w:shd w:val="clear" w:color="auto" w:fill="FFFFCC"/>
          </w:tcPr>
          <w:p w:rsidR="00F91D39" w:rsidRPr="00F91D39" w:rsidRDefault="00F91D39" w:rsidP="00C61D09">
            <w:pPr>
              <w:numPr>
                <w:ilvl w:val="0"/>
                <w:numId w:val="5"/>
              </w:numPr>
              <w:tabs>
                <w:tab w:val="clear" w:pos="720"/>
              </w:tabs>
              <w:spacing w:after="120"/>
              <w:ind w:left="360"/>
            </w:pPr>
            <w:r w:rsidRPr="00F91D39">
              <w:t xml:space="preserve">Run calibrated sensitivity tests for appropriate ranges of the </w:t>
            </w:r>
            <w:r w:rsidR="00C61D09">
              <w:t>variable</w:t>
            </w:r>
            <w:r w:rsidRPr="00F91D39">
              <w:t xml:space="preserve">s </w:t>
            </w:r>
            <w:r w:rsidRPr="00F91D39">
              <w:rPr>
                <w:rFonts w:ascii="Symbol" w:hAnsi="Symbol"/>
                <w:i/>
              </w:rPr>
              <w:t></w:t>
            </w:r>
            <w:r w:rsidRPr="00F91D39">
              <w:t xml:space="preserve">, </w:t>
            </w:r>
            <w:r w:rsidRPr="00F91D39">
              <w:rPr>
                <w:i/>
              </w:rPr>
              <w:t>K</w:t>
            </w:r>
            <w:r w:rsidRPr="00F91D39">
              <w:t xml:space="preserve">, and/or </w:t>
            </w:r>
            <w:r w:rsidRPr="00F91D39">
              <w:rPr>
                <w:rFonts w:ascii="Symbol" w:hAnsi="Symbol"/>
                <w:i/>
              </w:rPr>
              <w:t></w:t>
            </w:r>
            <w:r w:rsidRPr="00F91D39">
              <w:t>.</w:t>
            </w:r>
          </w:p>
        </w:tc>
      </w:tr>
      <w:tr w:rsidR="00F91D39" w:rsidRPr="00F91D39">
        <w:tc>
          <w:tcPr>
            <w:tcW w:w="0" w:type="auto"/>
            <w:shd w:val="clear" w:color="auto" w:fill="FFFFCC"/>
          </w:tcPr>
          <w:p w:rsidR="00F91D39" w:rsidRPr="00F91D39" w:rsidRDefault="00F91D39" w:rsidP="00B25822">
            <w:pPr>
              <w:numPr>
                <w:ilvl w:val="0"/>
                <w:numId w:val="5"/>
              </w:numPr>
              <w:tabs>
                <w:tab w:val="clear" w:pos="720"/>
              </w:tabs>
              <w:spacing w:after="120"/>
              <w:ind w:left="360"/>
            </w:pPr>
            <w:r w:rsidRPr="00F91D39">
              <w:t>Run predictive models for present/future contaminant transport.</w:t>
            </w:r>
          </w:p>
        </w:tc>
      </w:tr>
    </w:tbl>
    <w:p w:rsidR="00041531" w:rsidRDefault="00041531"/>
    <w:p w:rsidR="00B01BD6" w:rsidRDefault="00B01BD6">
      <w:pPr>
        <w:rPr>
          <w:rFonts w:ascii="Arial" w:hAnsi="Arial" w:cs="Arial"/>
          <w:b/>
          <w:sz w:val="26"/>
        </w:rPr>
      </w:pPr>
      <w:r>
        <w:rPr>
          <w:rFonts w:ascii="Arial" w:hAnsi="Arial" w:cs="Arial"/>
          <w:b/>
          <w:sz w:val="26"/>
        </w:rPr>
        <w:br w:type="page"/>
      </w:r>
    </w:p>
    <w:p w:rsidR="00862F1A" w:rsidRPr="00BE55FA" w:rsidRDefault="001F2841" w:rsidP="00862F1A">
      <w:pPr>
        <w:tabs>
          <w:tab w:val="left" w:pos="900"/>
        </w:tabs>
        <w:rPr>
          <w:rFonts w:ascii="Arial" w:hAnsi="Arial" w:cs="Arial"/>
          <w:b/>
          <w:sz w:val="26"/>
        </w:rPr>
      </w:pPr>
      <w:r>
        <w:rPr>
          <w:rFonts w:ascii="Arial" w:hAnsi="Arial" w:cs="Arial"/>
          <w:b/>
          <w:sz w:val="26"/>
        </w:rPr>
        <w:lastRenderedPageBreak/>
        <w:t>A4</w:t>
      </w:r>
      <w:r w:rsidR="00862F1A" w:rsidRPr="00BE55FA">
        <w:rPr>
          <w:rFonts w:ascii="Arial" w:hAnsi="Arial" w:cs="Arial"/>
          <w:b/>
          <w:sz w:val="26"/>
        </w:rPr>
        <w:t>.2.</w:t>
      </w:r>
      <w:r w:rsidR="00AD4DA5">
        <w:rPr>
          <w:rFonts w:ascii="Arial" w:hAnsi="Arial" w:cs="Arial"/>
          <w:b/>
          <w:sz w:val="26"/>
        </w:rPr>
        <w:t>9</w:t>
      </w:r>
      <w:r w:rsidR="00862F1A">
        <w:rPr>
          <w:rFonts w:ascii="Arial" w:hAnsi="Arial" w:cs="Arial"/>
          <w:b/>
          <w:sz w:val="26"/>
        </w:rPr>
        <w:t>. Evaluating Stream Impacts With Bioscreen-AT</w:t>
      </w:r>
    </w:p>
    <w:p w:rsidR="0039026D" w:rsidRDefault="00862F1A">
      <w:r>
        <w:t xml:space="preserve">DEP’s SWLOAD spreadsheet uses the Domenico solution to estimate the groundwater flux and average contaminant concentration entering a stream. These values are input into PentoxSD to determine if diffuse groundwater flow will cause exceedences of surface water criteria. </w:t>
      </w:r>
      <w:r w:rsidR="00335856">
        <w:t>For the same reasons that QD will not give accurate solutions for a decaying source, SWLOA</w:t>
      </w:r>
      <w:r w:rsidR="00880D8A">
        <w:t>D also will not be applicable. But s</w:t>
      </w:r>
      <w:r w:rsidR="00335856">
        <w:t>imilar calculations can be done within Bioscreen-AT.</w:t>
      </w:r>
    </w:p>
    <w:p w:rsidR="00335856" w:rsidRDefault="00335856"/>
    <w:p w:rsidR="00335856" w:rsidRDefault="00335856">
      <w:r>
        <w:t>Here we use the above example to demonstrate this</w:t>
      </w:r>
      <w:r w:rsidR="00C61D09">
        <w:t>, imagining that a stream is 75′</w:t>
      </w:r>
      <w:r>
        <w:t xml:space="preserve"> downgradient from the source </w:t>
      </w:r>
      <w:r w:rsidR="00AF6E6A">
        <w:t>in place of a road</w:t>
      </w:r>
      <w:r>
        <w:t xml:space="preserve">. We’ll consider the year 1999. The procedure for estimating the parameter values for input to </w:t>
      </w:r>
      <w:proofErr w:type="spellStart"/>
      <w:r>
        <w:t>PentoxSD</w:t>
      </w:r>
      <w:proofErr w:type="spellEnd"/>
      <w:r>
        <w:t xml:space="preserve"> follows.</w:t>
      </w:r>
      <w:r w:rsidR="00B25822">
        <w:t xml:space="preserve"> (Also see DEP’s </w:t>
      </w:r>
      <w:r w:rsidR="00B25822" w:rsidRPr="00B25822">
        <w:rPr>
          <w:i/>
        </w:rPr>
        <w:t>Technical Guidance Manual</w:t>
      </w:r>
      <w:r w:rsidR="00B25822">
        <w:t>, Section IV.A.3.)</w:t>
      </w:r>
    </w:p>
    <w:p w:rsidR="0039026D" w:rsidRDefault="0039026D"/>
    <w:tbl>
      <w:tblPr>
        <w:tblStyle w:val="TableStyleCDB"/>
        <w:tblW w:w="0" w:type="auto"/>
        <w:tblInd w:w="360" w:type="dxa"/>
        <w:shd w:val="clear" w:color="auto" w:fill="FFFFCC"/>
        <w:tblLook w:val="01E0" w:firstRow="1" w:lastRow="1" w:firstColumn="1" w:lastColumn="1" w:noHBand="0" w:noVBand="0"/>
      </w:tblPr>
      <w:tblGrid>
        <w:gridCol w:w="9216"/>
      </w:tblGrid>
      <w:tr w:rsidR="00F91D39" w:rsidRPr="00F91D39">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bottom w:val="nil"/>
            </w:tcBorders>
            <w:shd w:val="clear" w:color="auto" w:fill="FFFFCC"/>
          </w:tcPr>
          <w:p w:rsidR="00F91D39" w:rsidRPr="00F91D39" w:rsidRDefault="00F91D39" w:rsidP="00AF6E6A">
            <w:pPr>
              <w:numPr>
                <w:ilvl w:val="0"/>
                <w:numId w:val="11"/>
              </w:numPr>
              <w:tabs>
                <w:tab w:val="clear" w:pos="720"/>
              </w:tabs>
              <w:spacing w:before="120" w:after="120"/>
              <w:ind w:left="360"/>
            </w:pPr>
            <w:r w:rsidRPr="00F91D39">
              <w:t>Run Bioscreen-AT for t</w:t>
            </w:r>
            <w:r w:rsidR="00AF6E6A">
              <w:t>he source–stream distance (75′</w:t>
            </w:r>
            <w:r w:rsidRPr="00F91D39">
              <w:t>) and time of concern (10 yr). Click the “Run Plume” button and choose “Show ‘1</w:t>
            </w:r>
            <w:r w:rsidRPr="00F91D39">
              <w:rPr>
                <w:vertAlign w:val="superscript"/>
              </w:rPr>
              <w:t>st</w:t>
            </w:r>
            <w:r w:rsidRPr="00F91D39">
              <w:t xml:space="preserve"> Order Decay’ Model.”</w:t>
            </w:r>
          </w:p>
        </w:tc>
      </w:tr>
      <w:tr w:rsidR="00F91D39" w:rsidRPr="00F91D39">
        <w:tc>
          <w:tcPr>
            <w:tcW w:w="0" w:type="auto"/>
            <w:tcBorders>
              <w:top w:val="nil"/>
            </w:tcBorders>
            <w:shd w:val="clear" w:color="auto" w:fill="FFFFCC"/>
          </w:tcPr>
          <w:p w:rsidR="00F91D39" w:rsidRPr="00F91D39" w:rsidRDefault="00F91D39" w:rsidP="0046735D">
            <w:pPr>
              <w:numPr>
                <w:ilvl w:val="0"/>
                <w:numId w:val="11"/>
              </w:numPr>
              <w:tabs>
                <w:tab w:val="clear" w:pos="720"/>
              </w:tabs>
              <w:spacing w:after="120"/>
              <w:ind w:left="360"/>
            </w:pPr>
            <w:r w:rsidRPr="00F91D39">
              <w:t>Iteratively “Run Plume” by varying the modeled area width until the concentration at the downgradient corners of the grid is approximately equal to the applic</w:t>
            </w:r>
            <w:r w:rsidR="00880D8A">
              <w:t xml:space="preserve">able edge criterion (e.g., 1.2 </w:t>
            </w:r>
            <w:r w:rsidR="00880D8A">
              <w:rPr>
                <w:rFonts w:ascii="Symbol" w:hAnsi="Symbol"/>
              </w:rPr>
              <w:t></w:t>
            </w:r>
            <w:r w:rsidRPr="00F91D39">
              <w:t>g/L</w:t>
            </w:r>
            <w:r w:rsidR="00AF6E6A">
              <w:t xml:space="preserve"> for benzene). A width of 110′</w:t>
            </w:r>
            <w:r w:rsidRPr="00F91D39">
              <w:t xml:space="preserve"> gives concentrations of 1 </w:t>
            </w:r>
            <w:r w:rsidRPr="00F91D39">
              <w:rPr>
                <w:rFonts w:ascii="Symbol" w:hAnsi="Symbol"/>
              </w:rPr>
              <w:t></w:t>
            </w:r>
            <w:r w:rsidRPr="00F91D39">
              <w:t>g/L at the corners. See Fig</w:t>
            </w:r>
            <w:r w:rsidR="0063656D">
              <w:t>ure</w:t>
            </w:r>
            <w:r w:rsidR="00E91843">
              <w:t xml:space="preserve"> </w:t>
            </w:r>
            <w:r w:rsidR="001F2841">
              <w:t>A4</w:t>
            </w:r>
            <w:r w:rsidR="00AF6E6A">
              <w:t>.2-</w:t>
            </w:r>
            <w:r w:rsidR="00E91843">
              <w:t>7</w:t>
            </w:r>
            <w:r w:rsidRPr="00F91D39">
              <w:t>.</w:t>
            </w:r>
          </w:p>
        </w:tc>
      </w:tr>
      <w:tr w:rsidR="00F91D39" w:rsidRPr="00F91D39">
        <w:tc>
          <w:tcPr>
            <w:tcW w:w="0" w:type="auto"/>
            <w:shd w:val="clear" w:color="auto" w:fill="FFFFCC"/>
          </w:tcPr>
          <w:p w:rsidR="00F91D39" w:rsidRPr="00F91D39" w:rsidRDefault="00F91D39" w:rsidP="0046735D">
            <w:pPr>
              <w:numPr>
                <w:ilvl w:val="0"/>
                <w:numId w:val="11"/>
              </w:numPr>
              <w:tabs>
                <w:tab w:val="clear" w:pos="720"/>
              </w:tabs>
              <w:spacing w:after="120"/>
              <w:ind w:left="360"/>
            </w:pPr>
            <w:r w:rsidRPr="00F91D39">
              <w:t>Calculate the average five-point plume concentration at the stream (“Run Plume” output):</w:t>
            </w:r>
            <w:r w:rsidRPr="00F91D39">
              <w:br/>
              <w:t xml:space="preserve">(1 + 57 + 64 + 57 + 1)/5 = 36 </w:t>
            </w:r>
            <w:r w:rsidRPr="00F91D39">
              <w:rPr>
                <w:rFonts w:ascii="Symbol" w:hAnsi="Symbol"/>
              </w:rPr>
              <w:t></w:t>
            </w:r>
            <w:r w:rsidRPr="00F91D39">
              <w:t>g/L benzene.</w:t>
            </w:r>
            <w:r w:rsidRPr="00F91D39">
              <w:br/>
              <w:t>This is roughly equivalent to the “maximum average” concentration that would be calculated by SWLOAD.</w:t>
            </w:r>
          </w:p>
        </w:tc>
      </w:tr>
      <w:tr w:rsidR="00F91D39" w:rsidRPr="00F91D39">
        <w:tc>
          <w:tcPr>
            <w:tcW w:w="0" w:type="auto"/>
            <w:shd w:val="clear" w:color="auto" w:fill="FFFFCC"/>
          </w:tcPr>
          <w:p w:rsidR="00F91D39" w:rsidRPr="00F91D39" w:rsidRDefault="00F91D39" w:rsidP="0046735D">
            <w:pPr>
              <w:numPr>
                <w:ilvl w:val="0"/>
                <w:numId w:val="11"/>
              </w:numPr>
              <w:tabs>
                <w:tab w:val="clear" w:pos="720"/>
              </w:tabs>
              <w:spacing w:after="120"/>
              <w:ind w:left="360"/>
            </w:pPr>
            <w:r w:rsidRPr="00F91D39">
              <w:t>Determine the groundwater plume flow rate diffusing into the stream using Darcy’s Law</w:t>
            </w:r>
            <w:r w:rsidRPr="00F91D39">
              <w:br/>
            </w:r>
            <w:r w:rsidRPr="00F91D39">
              <w:rPr>
                <w:i/>
              </w:rPr>
              <w:t>Q</w:t>
            </w:r>
            <w:r w:rsidRPr="00F91D39">
              <w:tab/>
              <w:t xml:space="preserve">= </w:t>
            </w:r>
            <w:r w:rsidRPr="00F91D39">
              <w:rPr>
                <w:i/>
              </w:rPr>
              <w:t>KiA</w:t>
            </w:r>
            <w:r w:rsidRPr="00F91D39">
              <w:br/>
            </w:r>
            <w:r w:rsidRPr="00F91D39">
              <w:tab/>
              <w:t>= (0.472 ft/day)(0.035 ft/ft)(110 ft x 10 ft)</w:t>
            </w:r>
            <w:r w:rsidRPr="00F91D39">
              <w:br/>
            </w:r>
            <w:r w:rsidRPr="00F91D39">
              <w:tab/>
              <w:t>= 18.2 ft</w:t>
            </w:r>
            <w:r w:rsidRPr="00F91D39">
              <w:rPr>
                <w:vertAlign w:val="superscript"/>
              </w:rPr>
              <w:t>3</w:t>
            </w:r>
            <w:r w:rsidRPr="00F91D39">
              <w:t>/day</w:t>
            </w:r>
            <w:r w:rsidRPr="00F91D39">
              <w:br/>
            </w:r>
            <w:r w:rsidRPr="00F91D39">
              <w:tab/>
              <w:t xml:space="preserve">= </w:t>
            </w:r>
            <w:r w:rsidR="007A236C">
              <w:t>2.10</w:t>
            </w:r>
            <w:r w:rsidRPr="00F91D39">
              <w:t xml:space="preserve"> x 10</w:t>
            </w:r>
            <w:r w:rsidRPr="00F91D39">
              <w:rPr>
                <w:vertAlign w:val="superscript"/>
              </w:rPr>
              <w:t>–4</w:t>
            </w:r>
            <w:r w:rsidRPr="00F91D39">
              <w:t xml:space="preserve"> ft</w:t>
            </w:r>
            <w:r w:rsidRPr="00F91D39">
              <w:rPr>
                <w:vertAlign w:val="superscript"/>
              </w:rPr>
              <w:t>3</w:t>
            </w:r>
            <w:r w:rsidR="007A236C">
              <w:t>/sec</w:t>
            </w:r>
            <w:r w:rsidR="007A236C">
              <w:br/>
            </w:r>
            <w:r w:rsidR="007A236C">
              <w:tab/>
              <w:t>= 1.3</w:t>
            </w:r>
            <w:r w:rsidRPr="00F91D39">
              <w:t>6 x 10</w:t>
            </w:r>
            <w:r w:rsidRPr="00F91D39">
              <w:rPr>
                <w:vertAlign w:val="superscript"/>
              </w:rPr>
              <w:t>–4</w:t>
            </w:r>
            <w:r w:rsidRPr="00F91D39">
              <w:t xml:space="preserve"> million gallons per day.</w:t>
            </w:r>
          </w:p>
        </w:tc>
      </w:tr>
      <w:tr w:rsidR="00F91D39" w:rsidRPr="00F91D39">
        <w:tc>
          <w:tcPr>
            <w:tcW w:w="0" w:type="auto"/>
            <w:shd w:val="clear" w:color="auto" w:fill="FFFFCC"/>
          </w:tcPr>
          <w:p w:rsidR="00F91D39" w:rsidRPr="00F91D39" w:rsidRDefault="00F91D39" w:rsidP="0046735D">
            <w:pPr>
              <w:numPr>
                <w:ilvl w:val="0"/>
                <w:numId w:val="11"/>
              </w:numPr>
              <w:tabs>
                <w:tab w:val="clear" w:pos="720"/>
              </w:tabs>
              <w:spacing w:after="120"/>
              <w:ind w:left="360"/>
            </w:pPr>
            <w:r w:rsidRPr="00F91D39">
              <w:t>The average concentration and discharge rate are input to PentoxSD.</w:t>
            </w:r>
          </w:p>
        </w:tc>
      </w:tr>
      <w:tr w:rsidR="00F91D39" w:rsidRPr="00F91D39">
        <w:tc>
          <w:tcPr>
            <w:tcW w:w="0" w:type="auto"/>
            <w:tcBorders>
              <w:bottom w:val="single" w:sz="4" w:space="0" w:color="auto"/>
            </w:tcBorders>
            <w:shd w:val="clear" w:color="auto" w:fill="FFFFCC"/>
          </w:tcPr>
          <w:p w:rsidR="00F91D39" w:rsidRPr="00F91D39" w:rsidRDefault="00F91D39" w:rsidP="00F658EC">
            <w:pPr>
              <w:numPr>
                <w:ilvl w:val="0"/>
                <w:numId w:val="11"/>
              </w:numPr>
              <w:tabs>
                <w:tab w:val="clear" w:pos="720"/>
              </w:tabs>
              <w:spacing w:after="120"/>
              <w:ind w:left="360"/>
            </w:pPr>
            <w:r w:rsidRPr="00F91D39">
              <w:t xml:space="preserve">If the </w:t>
            </w:r>
            <w:r w:rsidRPr="00F91D39">
              <w:rPr>
                <w:i/>
                <w:iCs/>
              </w:rPr>
              <w:t>maximum</w:t>
            </w:r>
            <w:r w:rsidRPr="00F91D39">
              <w:t xml:space="preserve"> concentration </w:t>
            </w:r>
            <w:r w:rsidR="00880D8A">
              <w:t xml:space="preserve">(here 64 </w:t>
            </w:r>
            <w:r w:rsidR="00880D8A">
              <w:rPr>
                <w:rFonts w:ascii="Symbol" w:hAnsi="Symbol"/>
              </w:rPr>
              <w:t></w:t>
            </w:r>
            <w:r w:rsidR="00880D8A">
              <w:t>g/L</w:t>
            </w:r>
            <w:r w:rsidR="00FB5C9B">
              <w:t xml:space="preserve"> benzene</w:t>
            </w:r>
            <w:r w:rsidR="00880D8A">
              <w:t xml:space="preserve">) </w:t>
            </w:r>
            <w:r w:rsidRPr="00F91D39">
              <w:t xml:space="preserve">is less than the edge criterion, then no PentoxSD analysis </w:t>
            </w:r>
            <w:r w:rsidR="00880D8A">
              <w:t xml:space="preserve">is </w:t>
            </w:r>
            <w:r w:rsidRPr="00F91D39">
              <w:t>needed.</w:t>
            </w:r>
          </w:p>
        </w:tc>
      </w:tr>
    </w:tbl>
    <w:p w:rsidR="0039026D" w:rsidRDefault="0039026D"/>
    <w:p w:rsidR="001E4ABD" w:rsidRDefault="001E4ABD">
      <w:pPr>
        <w:sectPr w:rsidR="001E4ABD" w:rsidSect="00B638C5">
          <w:footerReference w:type="default" r:id="rId27"/>
          <w:pgSz w:w="12240" w:h="15840"/>
          <w:pgMar w:top="1440" w:right="1440" w:bottom="1440" w:left="1440" w:header="720" w:footer="720" w:gutter="0"/>
          <w:cols w:space="720"/>
          <w:docGrid w:linePitch="360"/>
        </w:sectPr>
      </w:pPr>
    </w:p>
    <w:p w:rsidR="0039026D" w:rsidRDefault="00214C84">
      <w:r>
        <w:rPr>
          <w:noProof/>
        </w:rPr>
        <w:lastRenderedPageBreak/>
        <w:drawing>
          <wp:inline distT="0" distB="0" distL="0" distR="0" wp14:anchorId="0EE6E855" wp14:editId="4B6BCC5C">
            <wp:extent cx="7658100" cy="5547360"/>
            <wp:effectExtent l="0" t="0" r="0" b="0"/>
            <wp:docPr id="8" name="Picture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58100" cy="5547360"/>
                    </a:xfrm>
                    <a:prstGeom prst="rect">
                      <a:avLst/>
                    </a:prstGeom>
                    <a:noFill/>
                    <a:ln>
                      <a:noFill/>
                    </a:ln>
                  </pic:spPr>
                </pic:pic>
              </a:graphicData>
            </a:graphic>
          </wp:inline>
        </w:drawing>
      </w:r>
    </w:p>
    <w:p w:rsidR="00817E98" w:rsidRPr="006763AF" w:rsidRDefault="001E4ABD" w:rsidP="003E2684">
      <w:pPr>
        <w:ind w:right="3600"/>
      </w:pPr>
      <w:r>
        <w:rPr>
          <w:b/>
        </w:rPr>
        <w:t xml:space="preserve">Figure </w:t>
      </w:r>
      <w:r w:rsidR="001F2841">
        <w:rPr>
          <w:b/>
        </w:rPr>
        <w:t>A4</w:t>
      </w:r>
      <w:r w:rsidR="00AF6E6A">
        <w:rPr>
          <w:b/>
        </w:rPr>
        <w:t>.2-</w:t>
      </w:r>
      <w:r w:rsidR="00E91843">
        <w:rPr>
          <w:b/>
        </w:rPr>
        <w:t>7</w:t>
      </w:r>
      <w:r>
        <w:rPr>
          <w:b/>
        </w:rPr>
        <w:t xml:space="preserve">. </w:t>
      </w:r>
      <w:r>
        <w:t xml:space="preserve">Bioscreen-AT plume output for Model 01 at 10 yr. The solution at the five points at </w:t>
      </w:r>
      <w:r>
        <w:rPr>
          <w:i/>
        </w:rPr>
        <w:t>x</w:t>
      </w:r>
      <w:r w:rsidR="00AF6E6A">
        <w:t xml:space="preserve"> = 75′</w:t>
      </w:r>
      <w:r>
        <w:t xml:space="preserve"> are used to approximate the average concentration entering the stream.</w:t>
      </w:r>
      <w:r w:rsidR="005650C4" w:rsidRPr="006763AF">
        <w:t xml:space="preserve"> </w:t>
      </w:r>
    </w:p>
    <w:sectPr w:rsidR="00817E98" w:rsidRPr="006763AF" w:rsidSect="005650C4">
      <w:headerReference w:type="default" r:id="rId29"/>
      <w:footerReference w:type="default" r:id="rId3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152" w:rsidRDefault="00524152">
      <w:r>
        <w:separator/>
      </w:r>
    </w:p>
  </w:endnote>
  <w:endnote w:type="continuationSeparator" w:id="0">
    <w:p w:rsidR="00524152" w:rsidRDefault="00524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4680"/>
        <w:tab w:val="right" w:pos="9720"/>
      </w:tabs>
      <w:ind w:right="360"/>
    </w:pPr>
    <w:r>
      <w:rPr>
        <w:sz w:val="20"/>
      </w:rPr>
      <w:t>PA DEP</w:t>
    </w:r>
    <w:r w:rsidRPr="003E2F28">
      <w:rPr>
        <w:sz w:val="20"/>
      </w:rPr>
      <w:t xml:space="preserve"> QD Manual</w:t>
    </w:r>
    <w:r>
      <w:rPr>
        <w:sz w:val="20"/>
      </w:rPr>
      <w:t>—Ex. A4.2</w:t>
    </w:r>
    <w:r>
      <w:rPr>
        <w:sz w:val="20"/>
      </w:rPr>
      <w:tab/>
    </w:r>
    <w:r w:rsidRPr="00E93679">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41</w:t>
    </w:r>
    <w:r>
      <w:rPr>
        <w:rStyle w:val="PageNumber"/>
      </w:rPr>
      <w:fldChar w:fldCharType="end"/>
    </w:r>
    <w:r>
      <w:t xml:space="preserve"> -</w:t>
    </w:r>
    <w:r>
      <w:rPr>
        <w:rStyle w:val="PageNumber"/>
      </w:rPr>
      <w:tab/>
    </w:r>
  </w:p>
  <w:p w:rsidR="00A90C16" w:rsidRDefault="00A90C1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6480"/>
        <w:tab w:val="right" w:pos="12960"/>
      </w:tabs>
      <w:ind w:right="360"/>
    </w:pPr>
    <w:r>
      <w:rPr>
        <w:sz w:val="20"/>
      </w:rPr>
      <w:t>PA DEP</w:t>
    </w:r>
    <w:r w:rsidRPr="003E2F28">
      <w:rPr>
        <w:sz w:val="20"/>
      </w:rPr>
      <w:t xml:space="preserve"> QD Manual</w:t>
    </w:r>
    <w:r>
      <w:rPr>
        <w:sz w:val="20"/>
      </w:rPr>
      <w:t>—Ex. A4.2</w:t>
    </w:r>
    <w:r>
      <w:rPr>
        <w:sz w:val="20"/>
      </w:rPr>
      <w:tab/>
    </w:r>
    <w:r w:rsidRPr="005650C4">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54</w:t>
    </w:r>
    <w:r>
      <w:rPr>
        <w:rStyle w:val="PageNumber"/>
      </w:rPr>
      <w:fldChar w:fldCharType="end"/>
    </w:r>
    <w:r>
      <w:t xml:space="preserve"> -</w:t>
    </w:r>
  </w:p>
  <w:p w:rsidR="00A90C16" w:rsidRDefault="00A90C1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4680"/>
        <w:tab w:val="right" w:pos="9720"/>
      </w:tabs>
      <w:ind w:right="360"/>
    </w:pPr>
    <w:r>
      <w:rPr>
        <w:sz w:val="20"/>
      </w:rPr>
      <w:t>PA DEP</w:t>
    </w:r>
    <w:r w:rsidRPr="003E2F28">
      <w:rPr>
        <w:sz w:val="20"/>
      </w:rPr>
      <w:t xml:space="preserve"> QD Manual</w:t>
    </w:r>
    <w:r>
      <w:rPr>
        <w:sz w:val="20"/>
      </w:rPr>
      <w:t>—Ex. A4.2</w:t>
    </w:r>
    <w:r>
      <w:rPr>
        <w:sz w:val="20"/>
      </w:rPr>
      <w:tab/>
    </w:r>
    <w:r w:rsidRPr="005650C4">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55</w:t>
    </w:r>
    <w:r>
      <w:rPr>
        <w:rStyle w:val="PageNumber"/>
      </w:rPr>
      <w:fldChar w:fldCharType="end"/>
    </w:r>
    <w:r>
      <w:t xml:space="preserve"> -</w:t>
    </w:r>
  </w:p>
  <w:p w:rsidR="00A90C16" w:rsidRDefault="00A90C1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6480"/>
        <w:tab w:val="right" w:pos="12960"/>
      </w:tabs>
      <w:ind w:right="360"/>
    </w:pPr>
    <w:r>
      <w:rPr>
        <w:sz w:val="20"/>
      </w:rPr>
      <w:t>PA DEP</w:t>
    </w:r>
    <w:r w:rsidRPr="003E2F28">
      <w:rPr>
        <w:sz w:val="20"/>
      </w:rPr>
      <w:t xml:space="preserve"> QD Manual</w:t>
    </w:r>
    <w:r>
      <w:rPr>
        <w:sz w:val="20"/>
      </w:rPr>
      <w:t>—Ex. A4.2</w:t>
    </w:r>
    <w:r>
      <w:rPr>
        <w:sz w:val="20"/>
      </w:rPr>
      <w:tab/>
    </w:r>
    <w:r w:rsidRPr="005650C4">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57</w:t>
    </w:r>
    <w:r>
      <w:rPr>
        <w:rStyle w:val="PageNumber"/>
      </w:rPr>
      <w:fldChar w:fldCharType="end"/>
    </w:r>
    <w:r>
      <w:t xml:space="preserve"> -</w:t>
    </w:r>
  </w:p>
  <w:p w:rsidR="00A90C16" w:rsidRDefault="00A90C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6480"/>
        <w:tab w:val="right" w:pos="12960"/>
      </w:tabs>
      <w:ind w:right="360"/>
    </w:pPr>
    <w:r>
      <w:rPr>
        <w:sz w:val="20"/>
      </w:rPr>
      <w:t>PA DEP</w:t>
    </w:r>
    <w:r w:rsidRPr="003E2F28">
      <w:rPr>
        <w:sz w:val="20"/>
      </w:rPr>
      <w:t xml:space="preserve"> QD Manual</w:t>
    </w:r>
    <w:r>
      <w:rPr>
        <w:sz w:val="20"/>
      </w:rPr>
      <w:t>—Ex. A4.2</w:t>
    </w:r>
    <w:r>
      <w:rPr>
        <w:sz w:val="20"/>
      </w:rPr>
      <w:tab/>
    </w:r>
    <w:r w:rsidRPr="00E93679">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43</w:t>
    </w:r>
    <w:r>
      <w:rPr>
        <w:rStyle w:val="PageNumber"/>
      </w:rPr>
      <w:fldChar w:fldCharType="end"/>
    </w:r>
    <w:r>
      <w:t xml:space="preserve"> -</w:t>
    </w:r>
    <w:r>
      <w:rPr>
        <w:rStyle w:val="PageNumber"/>
      </w:rPr>
      <w:tab/>
    </w:r>
  </w:p>
  <w:p w:rsidR="00A90C16" w:rsidRDefault="00A90C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4680"/>
        <w:tab w:val="right" w:pos="9720"/>
      </w:tabs>
      <w:ind w:right="360"/>
    </w:pPr>
    <w:r>
      <w:rPr>
        <w:sz w:val="20"/>
      </w:rPr>
      <w:t>PA DEP</w:t>
    </w:r>
    <w:r w:rsidRPr="003E2F28">
      <w:rPr>
        <w:sz w:val="20"/>
      </w:rPr>
      <w:t xml:space="preserve"> QD Manual</w:t>
    </w:r>
    <w:r>
      <w:rPr>
        <w:sz w:val="20"/>
      </w:rPr>
      <w:t>—Ex. A4.2</w:t>
    </w:r>
    <w:r>
      <w:rPr>
        <w:sz w:val="20"/>
      </w:rPr>
      <w:tab/>
    </w:r>
    <w:r w:rsidRPr="00E93679">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45</w:t>
    </w:r>
    <w:r>
      <w:rPr>
        <w:rStyle w:val="PageNumber"/>
      </w:rPr>
      <w:fldChar w:fldCharType="end"/>
    </w:r>
    <w:r>
      <w:t xml:space="preserve"> -</w:t>
    </w:r>
    <w:r>
      <w:rPr>
        <w:rStyle w:val="PageNumber"/>
      </w:rPr>
      <w:tab/>
    </w:r>
  </w:p>
  <w:p w:rsidR="00A90C16" w:rsidRDefault="00A90C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6480"/>
        <w:tab w:val="right" w:pos="12960"/>
      </w:tabs>
      <w:ind w:right="360"/>
    </w:pPr>
    <w:r>
      <w:rPr>
        <w:sz w:val="20"/>
      </w:rPr>
      <w:t>PA DEP</w:t>
    </w:r>
    <w:r w:rsidRPr="003E2F28">
      <w:rPr>
        <w:sz w:val="20"/>
      </w:rPr>
      <w:t xml:space="preserve"> QD Manual</w:t>
    </w:r>
    <w:r>
      <w:rPr>
        <w:sz w:val="20"/>
      </w:rPr>
      <w:t>—Ex. A4.2</w:t>
    </w:r>
    <w:r>
      <w:rPr>
        <w:sz w:val="20"/>
      </w:rPr>
      <w:tab/>
    </w:r>
    <w:r w:rsidRPr="00E93679">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46</w:t>
    </w:r>
    <w:r>
      <w:rPr>
        <w:rStyle w:val="PageNumber"/>
      </w:rPr>
      <w:fldChar w:fldCharType="end"/>
    </w:r>
    <w:r>
      <w:t xml:space="preserve"> -</w:t>
    </w:r>
    <w:r>
      <w:rPr>
        <w:rStyle w:val="PageNumber"/>
      </w:rPr>
      <w:tab/>
    </w:r>
  </w:p>
  <w:p w:rsidR="00A90C16" w:rsidRDefault="00A90C1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4680"/>
        <w:tab w:val="right" w:pos="9720"/>
      </w:tabs>
      <w:ind w:right="360"/>
    </w:pPr>
    <w:r>
      <w:rPr>
        <w:sz w:val="20"/>
      </w:rPr>
      <w:t>PA DEP</w:t>
    </w:r>
    <w:r w:rsidRPr="003E2F28">
      <w:rPr>
        <w:sz w:val="20"/>
      </w:rPr>
      <w:t xml:space="preserve"> QD Manual</w:t>
    </w:r>
    <w:r>
      <w:rPr>
        <w:sz w:val="20"/>
      </w:rPr>
      <w:t>—Ex. A4.2</w:t>
    </w:r>
    <w:r>
      <w:rPr>
        <w:sz w:val="20"/>
      </w:rPr>
      <w:tab/>
    </w:r>
    <w:r w:rsidRPr="00E93679">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48</w:t>
    </w:r>
    <w:r>
      <w:rPr>
        <w:rStyle w:val="PageNumber"/>
      </w:rPr>
      <w:fldChar w:fldCharType="end"/>
    </w:r>
    <w:r>
      <w:t xml:space="preserve"> -</w:t>
    </w:r>
    <w:r>
      <w:rPr>
        <w:rStyle w:val="PageNumber"/>
      </w:rPr>
      <w:tab/>
    </w:r>
  </w:p>
  <w:p w:rsidR="00A90C16" w:rsidRDefault="00A90C1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6480"/>
        <w:tab w:val="right" w:pos="12960"/>
      </w:tabs>
      <w:ind w:right="360"/>
    </w:pPr>
    <w:r>
      <w:rPr>
        <w:sz w:val="20"/>
      </w:rPr>
      <w:t>PA DEP</w:t>
    </w:r>
    <w:r w:rsidRPr="003E2F28">
      <w:rPr>
        <w:sz w:val="20"/>
      </w:rPr>
      <w:t xml:space="preserve"> QD Manual</w:t>
    </w:r>
    <w:r>
      <w:rPr>
        <w:sz w:val="20"/>
      </w:rPr>
      <w:t>—Ex. A4.2</w:t>
    </w:r>
    <w:r>
      <w:rPr>
        <w:sz w:val="20"/>
      </w:rPr>
      <w:tab/>
    </w:r>
    <w:r w:rsidRPr="00E93679">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49</w:t>
    </w:r>
    <w:r>
      <w:rPr>
        <w:rStyle w:val="PageNumber"/>
      </w:rPr>
      <w:fldChar w:fldCharType="end"/>
    </w:r>
    <w:r>
      <w:t xml:space="preserve"> -</w:t>
    </w:r>
    <w:r>
      <w:rPr>
        <w:rStyle w:val="PageNumber"/>
      </w:rPr>
      <w:tab/>
    </w:r>
  </w:p>
  <w:p w:rsidR="00A90C16" w:rsidRDefault="00A90C1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4680"/>
        <w:tab w:val="right" w:pos="9720"/>
      </w:tabs>
      <w:ind w:right="360"/>
    </w:pPr>
    <w:r>
      <w:rPr>
        <w:sz w:val="20"/>
      </w:rPr>
      <w:t>PA DEP</w:t>
    </w:r>
    <w:r w:rsidRPr="003E2F28">
      <w:rPr>
        <w:sz w:val="20"/>
      </w:rPr>
      <w:t xml:space="preserve"> QD Manual</w:t>
    </w:r>
    <w:r>
      <w:rPr>
        <w:sz w:val="20"/>
      </w:rPr>
      <w:t>—Ex. A4.2</w:t>
    </w:r>
    <w:r>
      <w:rPr>
        <w:sz w:val="20"/>
      </w:rPr>
      <w:tab/>
    </w:r>
    <w:r w:rsidRPr="00E93679">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50</w:t>
    </w:r>
    <w:r>
      <w:rPr>
        <w:rStyle w:val="PageNumber"/>
      </w:rPr>
      <w:fldChar w:fldCharType="end"/>
    </w:r>
    <w:r>
      <w:t xml:space="preserve"> -</w:t>
    </w:r>
    <w:r>
      <w:rPr>
        <w:rStyle w:val="PageNumber"/>
      </w:rPr>
      <w:tab/>
    </w:r>
  </w:p>
  <w:p w:rsidR="00A90C16" w:rsidRDefault="00A90C1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6480"/>
        <w:tab w:val="right" w:pos="12960"/>
      </w:tabs>
      <w:ind w:right="360"/>
    </w:pPr>
    <w:r>
      <w:rPr>
        <w:sz w:val="20"/>
      </w:rPr>
      <w:t>PA DEP</w:t>
    </w:r>
    <w:r w:rsidRPr="003E2F28">
      <w:rPr>
        <w:sz w:val="20"/>
      </w:rPr>
      <w:t xml:space="preserve"> QD Manual</w:t>
    </w:r>
    <w:r>
      <w:rPr>
        <w:sz w:val="20"/>
      </w:rPr>
      <w:t>—Ex. A4.2</w:t>
    </w:r>
    <w:r>
      <w:rPr>
        <w:sz w:val="20"/>
      </w:rPr>
      <w:tab/>
    </w:r>
    <w:r w:rsidRPr="00E93679">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51</w:t>
    </w:r>
    <w:r>
      <w:rPr>
        <w:rStyle w:val="PageNumber"/>
      </w:rPr>
      <w:fldChar w:fldCharType="end"/>
    </w:r>
    <w:r>
      <w:t xml:space="preserve"> -</w:t>
    </w:r>
  </w:p>
  <w:p w:rsidR="00A90C16" w:rsidRDefault="00A90C1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rsidP="00E93679">
    <w:pPr>
      <w:pStyle w:val="Footer"/>
      <w:tabs>
        <w:tab w:val="clear" w:pos="4320"/>
        <w:tab w:val="clear" w:pos="8640"/>
        <w:tab w:val="center" w:pos="4680"/>
        <w:tab w:val="right" w:pos="9720"/>
      </w:tabs>
      <w:ind w:right="360"/>
    </w:pPr>
    <w:r>
      <w:rPr>
        <w:sz w:val="20"/>
      </w:rPr>
      <w:t>PA DEP</w:t>
    </w:r>
    <w:r w:rsidRPr="003E2F28">
      <w:rPr>
        <w:sz w:val="20"/>
      </w:rPr>
      <w:t xml:space="preserve"> QD Manual</w:t>
    </w:r>
    <w:r>
      <w:rPr>
        <w:sz w:val="20"/>
      </w:rPr>
      <w:t>—Ex. A4.2</w:t>
    </w:r>
    <w:r>
      <w:rPr>
        <w:sz w:val="20"/>
      </w:rPr>
      <w:tab/>
    </w:r>
    <w:r w:rsidRPr="00E93679">
      <w:t>-</w:t>
    </w:r>
    <w:r>
      <w:rPr>
        <w:sz w:val="20"/>
      </w:rPr>
      <w:t xml:space="preserve"> </w:t>
    </w:r>
    <w:r>
      <w:rPr>
        <w:rStyle w:val="PageNumber"/>
      </w:rPr>
      <w:fldChar w:fldCharType="begin"/>
    </w:r>
    <w:r>
      <w:rPr>
        <w:rStyle w:val="PageNumber"/>
      </w:rPr>
      <w:instrText xml:space="preserve"> PAGE </w:instrText>
    </w:r>
    <w:r>
      <w:rPr>
        <w:rStyle w:val="PageNumber"/>
      </w:rPr>
      <w:fldChar w:fldCharType="separate"/>
    </w:r>
    <w:r w:rsidR="00E97156">
      <w:rPr>
        <w:rStyle w:val="PageNumber"/>
        <w:noProof/>
      </w:rPr>
      <w:t>53</w:t>
    </w:r>
    <w:r>
      <w:rPr>
        <w:rStyle w:val="PageNumber"/>
      </w:rPr>
      <w:fldChar w:fldCharType="end"/>
    </w:r>
    <w:r>
      <w:t xml:space="preserve"> -</w:t>
    </w:r>
  </w:p>
  <w:p w:rsidR="00A90C16" w:rsidRDefault="00A90C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152" w:rsidRDefault="00524152">
      <w:r>
        <w:separator/>
      </w:r>
    </w:p>
  </w:footnote>
  <w:footnote w:type="continuationSeparator" w:id="0">
    <w:p w:rsidR="00524152" w:rsidRDefault="005241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C16" w:rsidRDefault="00A90C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08A9"/>
    <w:multiLevelType w:val="hybridMultilevel"/>
    <w:tmpl w:val="DD161476"/>
    <w:lvl w:ilvl="0" w:tplc="3FC60A56">
      <w:start w:val="8"/>
      <w:numFmt w:val="decimal"/>
      <w:lvlText w:val="%1."/>
      <w:lvlJc w:val="left"/>
      <w:pPr>
        <w:tabs>
          <w:tab w:val="num" w:pos="720"/>
        </w:tabs>
        <w:ind w:left="720" w:hanging="360"/>
      </w:pPr>
    </w:lvl>
    <w:lvl w:ilvl="1" w:tplc="D7FC9DE4" w:tentative="1">
      <w:start w:val="1"/>
      <w:numFmt w:val="decimal"/>
      <w:lvlText w:val="%2."/>
      <w:lvlJc w:val="left"/>
      <w:pPr>
        <w:tabs>
          <w:tab w:val="num" w:pos="1440"/>
        </w:tabs>
        <w:ind w:left="1440" w:hanging="360"/>
      </w:pPr>
    </w:lvl>
    <w:lvl w:ilvl="2" w:tplc="CBDC715C" w:tentative="1">
      <w:start w:val="1"/>
      <w:numFmt w:val="decimal"/>
      <w:lvlText w:val="%3."/>
      <w:lvlJc w:val="left"/>
      <w:pPr>
        <w:tabs>
          <w:tab w:val="num" w:pos="2160"/>
        </w:tabs>
        <w:ind w:left="2160" w:hanging="360"/>
      </w:pPr>
    </w:lvl>
    <w:lvl w:ilvl="3" w:tplc="6F105946" w:tentative="1">
      <w:start w:val="1"/>
      <w:numFmt w:val="decimal"/>
      <w:lvlText w:val="%4."/>
      <w:lvlJc w:val="left"/>
      <w:pPr>
        <w:tabs>
          <w:tab w:val="num" w:pos="2880"/>
        </w:tabs>
        <w:ind w:left="2880" w:hanging="360"/>
      </w:pPr>
    </w:lvl>
    <w:lvl w:ilvl="4" w:tplc="54941420" w:tentative="1">
      <w:start w:val="1"/>
      <w:numFmt w:val="decimal"/>
      <w:lvlText w:val="%5."/>
      <w:lvlJc w:val="left"/>
      <w:pPr>
        <w:tabs>
          <w:tab w:val="num" w:pos="3600"/>
        </w:tabs>
        <w:ind w:left="3600" w:hanging="360"/>
      </w:pPr>
    </w:lvl>
    <w:lvl w:ilvl="5" w:tplc="5B1EE9D4" w:tentative="1">
      <w:start w:val="1"/>
      <w:numFmt w:val="decimal"/>
      <w:lvlText w:val="%6."/>
      <w:lvlJc w:val="left"/>
      <w:pPr>
        <w:tabs>
          <w:tab w:val="num" w:pos="4320"/>
        </w:tabs>
        <w:ind w:left="4320" w:hanging="360"/>
      </w:pPr>
    </w:lvl>
    <w:lvl w:ilvl="6" w:tplc="FEFC92D6" w:tentative="1">
      <w:start w:val="1"/>
      <w:numFmt w:val="decimal"/>
      <w:lvlText w:val="%7."/>
      <w:lvlJc w:val="left"/>
      <w:pPr>
        <w:tabs>
          <w:tab w:val="num" w:pos="5040"/>
        </w:tabs>
        <w:ind w:left="5040" w:hanging="360"/>
      </w:pPr>
    </w:lvl>
    <w:lvl w:ilvl="7" w:tplc="9D124018" w:tentative="1">
      <w:start w:val="1"/>
      <w:numFmt w:val="decimal"/>
      <w:lvlText w:val="%8."/>
      <w:lvlJc w:val="left"/>
      <w:pPr>
        <w:tabs>
          <w:tab w:val="num" w:pos="5760"/>
        </w:tabs>
        <w:ind w:left="5760" w:hanging="360"/>
      </w:pPr>
    </w:lvl>
    <w:lvl w:ilvl="8" w:tplc="6DE092B0" w:tentative="1">
      <w:start w:val="1"/>
      <w:numFmt w:val="decimal"/>
      <w:lvlText w:val="%9."/>
      <w:lvlJc w:val="left"/>
      <w:pPr>
        <w:tabs>
          <w:tab w:val="num" w:pos="6480"/>
        </w:tabs>
        <w:ind w:left="6480" w:hanging="360"/>
      </w:pPr>
    </w:lvl>
  </w:abstractNum>
  <w:abstractNum w:abstractNumId="1">
    <w:nsid w:val="19161E9D"/>
    <w:multiLevelType w:val="multilevel"/>
    <w:tmpl w:val="6F0C8C4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DE7658A"/>
    <w:multiLevelType w:val="multilevel"/>
    <w:tmpl w:val="A1803B52"/>
    <w:lvl w:ilvl="0">
      <w:start w:val="1"/>
      <w:numFmt w:val="decimal"/>
      <w:pStyle w:val="CDBHeading1"/>
      <w:lvlText w:val="%1."/>
      <w:lvlJc w:val="left"/>
      <w:pPr>
        <w:tabs>
          <w:tab w:val="num" w:pos="360"/>
        </w:tabs>
        <w:ind w:left="360" w:hanging="360"/>
      </w:pPr>
      <w:rPr>
        <w:rFonts w:hint="default"/>
      </w:rPr>
    </w:lvl>
    <w:lvl w:ilvl="1">
      <w:start w:val="1"/>
      <w:numFmt w:val="decimal"/>
      <w:lvlRestart w:val="0"/>
      <w:pStyle w:val="CDBHeading2"/>
      <w:lvlText w:val="%1.%2."/>
      <w:lvlJc w:val="left"/>
      <w:pPr>
        <w:tabs>
          <w:tab w:val="num" w:pos="504"/>
        </w:tabs>
        <w:ind w:left="504" w:hanging="504"/>
      </w:pPr>
      <w:rPr>
        <w:rFonts w:hint="default"/>
      </w:rPr>
    </w:lvl>
    <w:lvl w:ilvl="2">
      <w:start w:val="1"/>
      <w:numFmt w:val="decimal"/>
      <w:pStyle w:val="CDBHeading3"/>
      <w:lvlText w:val="%1.%2.%3."/>
      <w:lvlJc w:val="left"/>
      <w:pPr>
        <w:tabs>
          <w:tab w:val="num" w:pos="648"/>
        </w:tabs>
        <w:ind w:left="648" w:hanging="64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6A40FAE"/>
    <w:multiLevelType w:val="hybridMultilevel"/>
    <w:tmpl w:val="EA3C975A"/>
    <w:lvl w:ilvl="0" w:tplc="BD0AC3CE">
      <w:start w:val="1"/>
      <w:numFmt w:val="decimal"/>
      <w:lvlText w:val="%1."/>
      <w:lvlJc w:val="left"/>
      <w:pPr>
        <w:tabs>
          <w:tab w:val="num" w:pos="720"/>
        </w:tabs>
        <w:ind w:left="720" w:hanging="360"/>
      </w:pPr>
      <w:rPr>
        <w:rFonts w:hint="default"/>
        <w:b/>
        <w:i w:val="0"/>
      </w:rPr>
    </w:lvl>
    <w:lvl w:ilvl="1" w:tplc="48F08138" w:tentative="1">
      <w:start w:val="1"/>
      <w:numFmt w:val="decimal"/>
      <w:lvlText w:val="%2."/>
      <w:lvlJc w:val="left"/>
      <w:pPr>
        <w:tabs>
          <w:tab w:val="num" w:pos="1440"/>
        </w:tabs>
        <w:ind w:left="1440" w:hanging="360"/>
      </w:pPr>
    </w:lvl>
    <w:lvl w:ilvl="2" w:tplc="B7026A18" w:tentative="1">
      <w:start w:val="1"/>
      <w:numFmt w:val="decimal"/>
      <w:lvlText w:val="%3."/>
      <w:lvlJc w:val="left"/>
      <w:pPr>
        <w:tabs>
          <w:tab w:val="num" w:pos="2160"/>
        </w:tabs>
        <w:ind w:left="2160" w:hanging="360"/>
      </w:pPr>
    </w:lvl>
    <w:lvl w:ilvl="3" w:tplc="7F30D576" w:tentative="1">
      <w:start w:val="1"/>
      <w:numFmt w:val="decimal"/>
      <w:lvlText w:val="%4."/>
      <w:lvlJc w:val="left"/>
      <w:pPr>
        <w:tabs>
          <w:tab w:val="num" w:pos="2880"/>
        </w:tabs>
        <w:ind w:left="2880" w:hanging="360"/>
      </w:pPr>
    </w:lvl>
    <w:lvl w:ilvl="4" w:tplc="943A22A4" w:tentative="1">
      <w:start w:val="1"/>
      <w:numFmt w:val="decimal"/>
      <w:lvlText w:val="%5."/>
      <w:lvlJc w:val="left"/>
      <w:pPr>
        <w:tabs>
          <w:tab w:val="num" w:pos="3600"/>
        </w:tabs>
        <w:ind w:left="3600" w:hanging="360"/>
      </w:pPr>
    </w:lvl>
    <w:lvl w:ilvl="5" w:tplc="374261F2" w:tentative="1">
      <w:start w:val="1"/>
      <w:numFmt w:val="decimal"/>
      <w:lvlText w:val="%6."/>
      <w:lvlJc w:val="left"/>
      <w:pPr>
        <w:tabs>
          <w:tab w:val="num" w:pos="4320"/>
        </w:tabs>
        <w:ind w:left="4320" w:hanging="360"/>
      </w:pPr>
    </w:lvl>
    <w:lvl w:ilvl="6" w:tplc="FD288E2C" w:tentative="1">
      <w:start w:val="1"/>
      <w:numFmt w:val="decimal"/>
      <w:lvlText w:val="%7."/>
      <w:lvlJc w:val="left"/>
      <w:pPr>
        <w:tabs>
          <w:tab w:val="num" w:pos="5040"/>
        </w:tabs>
        <w:ind w:left="5040" w:hanging="360"/>
      </w:pPr>
    </w:lvl>
    <w:lvl w:ilvl="7" w:tplc="C1B23CBC" w:tentative="1">
      <w:start w:val="1"/>
      <w:numFmt w:val="decimal"/>
      <w:lvlText w:val="%8."/>
      <w:lvlJc w:val="left"/>
      <w:pPr>
        <w:tabs>
          <w:tab w:val="num" w:pos="5760"/>
        </w:tabs>
        <w:ind w:left="5760" w:hanging="360"/>
      </w:pPr>
    </w:lvl>
    <w:lvl w:ilvl="8" w:tplc="83F61588" w:tentative="1">
      <w:start w:val="1"/>
      <w:numFmt w:val="decimal"/>
      <w:lvlText w:val="%9."/>
      <w:lvlJc w:val="left"/>
      <w:pPr>
        <w:tabs>
          <w:tab w:val="num" w:pos="6480"/>
        </w:tabs>
        <w:ind w:left="6480" w:hanging="360"/>
      </w:pPr>
    </w:lvl>
  </w:abstractNum>
  <w:abstractNum w:abstractNumId="4">
    <w:nsid w:val="2D640D2E"/>
    <w:multiLevelType w:val="hybridMultilevel"/>
    <w:tmpl w:val="C2F8582C"/>
    <w:lvl w:ilvl="0" w:tplc="BD0AC3CE">
      <w:start w:val="1"/>
      <w:numFmt w:val="decimal"/>
      <w:lvlText w:val="%1."/>
      <w:lvlJc w:val="left"/>
      <w:pPr>
        <w:tabs>
          <w:tab w:val="num" w:pos="720"/>
        </w:tabs>
        <w:ind w:left="720" w:hanging="360"/>
      </w:pPr>
      <w:rPr>
        <w:rFonts w:hint="default"/>
        <w:b/>
        <w:i w:val="0"/>
      </w:rPr>
    </w:lvl>
    <w:lvl w:ilvl="1" w:tplc="19066F00" w:tentative="1">
      <w:start w:val="1"/>
      <w:numFmt w:val="bullet"/>
      <w:lvlText w:val=""/>
      <w:lvlJc w:val="left"/>
      <w:pPr>
        <w:tabs>
          <w:tab w:val="num" w:pos="1440"/>
        </w:tabs>
        <w:ind w:left="1440" w:hanging="360"/>
      </w:pPr>
      <w:rPr>
        <w:rFonts w:ascii="Wingdings" w:hAnsi="Wingdings" w:hint="default"/>
      </w:rPr>
    </w:lvl>
    <w:lvl w:ilvl="2" w:tplc="B710576C" w:tentative="1">
      <w:start w:val="1"/>
      <w:numFmt w:val="bullet"/>
      <w:lvlText w:val=""/>
      <w:lvlJc w:val="left"/>
      <w:pPr>
        <w:tabs>
          <w:tab w:val="num" w:pos="2160"/>
        </w:tabs>
        <w:ind w:left="2160" w:hanging="360"/>
      </w:pPr>
      <w:rPr>
        <w:rFonts w:ascii="Wingdings" w:hAnsi="Wingdings" w:hint="default"/>
      </w:rPr>
    </w:lvl>
    <w:lvl w:ilvl="3" w:tplc="43F0CB26" w:tentative="1">
      <w:start w:val="1"/>
      <w:numFmt w:val="bullet"/>
      <w:lvlText w:val=""/>
      <w:lvlJc w:val="left"/>
      <w:pPr>
        <w:tabs>
          <w:tab w:val="num" w:pos="2880"/>
        </w:tabs>
        <w:ind w:left="2880" w:hanging="360"/>
      </w:pPr>
      <w:rPr>
        <w:rFonts w:ascii="Wingdings" w:hAnsi="Wingdings" w:hint="default"/>
      </w:rPr>
    </w:lvl>
    <w:lvl w:ilvl="4" w:tplc="188C07F2" w:tentative="1">
      <w:start w:val="1"/>
      <w:numFmt w:val="bullet"/>
      <w:lvlText w:val=""/>
      <w:lvlJc w:val="left"/>
      <w:pPr>
        <w:tabs>
          <w:tab w:val="num" w:pos="3600"/>
        </w:tabs>
        <w:ind w:left="3600" w:hanging="360"/>
      </w:pPr>
      <w:rPr>
        <w:rFonts w:ascii="Wingdings" w:hAnsi="Wingdings" w:hint="default"/>
      </w:rPr>
    </w:lvl>
    <w:lvl w:ilvl="5" w:tplc="454CE3CE" w:tentative="1">
      <w:start w:val="1"/>
      <w:numFmt w:val="bullet"/>
      <w:lvlText w:val=""/>
      <w:lvlJc w:val="left"/>
      <w:pPr>
        <w:tabs>
          <w:tab w:val="num" w:pos="4320"/>
        </w:tabs>
        <w:ind w:left="4320" w:hanging="360"/>
      </w:pPr>
      <w:rPr>
        <w:rFonts w:ascii="Wingdings" w:hAnsi="Wingdings" w:hint="default"/>
      </w:rPr>
    </w:lvl>
    <w:lvl w:ilvl="6" w:tplc="19040A2E" w:tentative="1">
      <w:start w:val="1"/>
      <w:numFmt w:val="bullet"/>
      <w:lvlText w:val=""/>
      <w:lvlJc w:val="left"/>
      <w:pPr>
        <w:tabs>
          <w:tab w:val="num" w:pos="5040"/>
        </w:tabs>
        <w:ind w:left="5040" w:hanging="360"/>
      </w:pPr>
      <w:rPr>
        <w:rFonts w:ascii="Wingdings" w:hAnsi="Wingdings" w:hint="default"/>
      </w:rPr>
    </w:lvl>
    <w:lvl w:ilvl="7" w:tplc="E2A6AC8C" w:tentative="1">
      <w:start w:val="1"/>
      <w:numFmt w:val="bullet"/>
      <w:lvlText w:val=""/>
      <w:lvlJc w:val="left"/>
      <w:pPr>
        <w:tabs>
          <w:tab w:val="num" w:pos="5760"/>
        </w:tabs>
        <w:ind w:left="5760" w:hanging="360"/>
      </w:pPr>
      <w:rPr>
        <w:rFonts w:ascii="Wingdings" w:hAnsi="Wingdings" w:hint="default"/>
      </w:rPr>
    </w:lvl>
    <w:lvl w:ilvl="8" w:tplc="E2A69730" w:tentative="1">
      <w:start w:val="1"/>
      <w:numFmt w:val="bullet"/>
      <w:lvlText w:val=""/>
      <w:lvlJc w:val="left"/>
      <w:pPr>
        <w:tabs>
          <w:tab w:val="num" w:pos="6480"/>
        </w:tabs>
        <w:ind w:left="6480" w:hanging="360"/>
      </w:pPr>
      <w:rPr>
        <w:rFonts w:ascii="Wingdings" w:hAnsi="Wingdings" w:hint="default"/>
      </w:rPr>
    </w:lvl>
  </w:abstractNum>
  <w:abstractNum w:abstractNumId="5">
    <w:nsid w:val="38AC5F50"/>
    <w:multiLevelType w:val="multilevel"/>
    <w:tmpl w:val="28548830"/>
    <w:lvl w:ilvl="0">
      <w:start w:val="1"/>
      <w:numFmt w:val="decimal"/>
      <w:lvlText w:val="%1."/>
      <w:lvlJc w:val="left"/>
      <w:pPr>
        <w:tabs>
          <w:tab w:val="num" w:pos="504"/>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1.%3."/>
      <w:lvlJc w:val="left"/>
      <w:pPr>
        <w:tabs>
          <w:tab w:val="num" w:pos="792"/>
        </w:tabs>
        <w:ind w:left="792" w:hanging="7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D582267"/>
    <w:multiLevelType w:val="multilevel"/>
    <w:tmpl w:val="901AA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B31026B"/>
    <w:multiLevelType w:val="hybridMultilevel"/>
    <w:tmpl w:val="E342F4E8"/>
    <w:lvl w:ilvl="0" w:tplc="2264B9B4">
      <w:start w:val="1"/>
      <w:numFmt w:val="bullet"/>
      <w:lvlText w:val=""/>
      <w:lvlJc w:val="left"/>
      <w:pPr>
        <w:tabs>
          <w:tab w:val="num" w:pos="720"/>
        </w:tabs>
        <w:ind w:left="720" w:hanging="360"/>
      </w:pPr>
      <w:rPr>
        <w:rFonts w:ascii="Wingdings" w:hAnsi="Wingdings" w:hint="default"/>
      </w:rPr>
    </w:lvl>
    <w:lvl w:ilvl="1" w:tplc="E70A032E" w:tentative="1">
      <w:start w:val="1"/>
      <w:numFmt w:val="bullet"/>
      <w:lvlText w:val=""/>
      <w:lvlJc w:val="left"/>
      <w:pPr>
        <w:tabs>
          <w:tab w:val="num" w:pos="1440"/>
        </w:tabs>
        <w:ind w:left="1440" w:hanging="360"/>
      </w:pPr>
      <w:rPr>
        <w:rFonts w:ascii="Wingdings" w:hAnsi="Wingdings" w:hint="default"/>
      </w:rPr>
    </w:lvl>
    <w:lvl w:ilvl="2" w:tplc="4FD8A15E" w:tentative="1">
      <w:start w:val="1"/>
      <w:numFmt w:val="bullet"/>
      <w:lvlText w:val=""/>
      <w:lvlJc w:val="left"/>
      <w:pPr>
        <w:tabs>
          <w:tab w:val="num" w:pos="2160"/>
        </w:tabs>
        <w:ind w:left="2160" w:hanging="360"/>
      </w:pPr>
      <w:rPr>
        <w:rFonts w:ascii="Wingdings" w:hAnsi="Wingdings" w:hint="default"/>
      </w:rPr>
    </w:lvl>
    <w:lvl w:ilvl="3" w:tplc="0BC009F0" w:tentative="1">
      <w:start w:val="1"/>
      <w:numFmt w:val="bullet"/>
      <w:lvlText w:val=""/>
      <w:lvlJc w:val="left"/>
      <w:pPr>
        <w:tabs>
          <w:tab w:val="num" w:pos="2880"/>
        </w:tabs>
        <w:ind w:left="2880" w:hanging="360"/>
      </w:pPr>
      <w:rPr>
        <w:rFonts w:ascii="Wingdings" w:hAnsi="Wingdings" w:hint="default"/>
      </w:rPr>
    </w:lvl>
    <w:lvl w:ilvl="4" w:tplc="A538FA4E" w:tentative="1">
      <w:start w:val="1"/>
      <w:numFmt w:val="bullet"/>
      <w:lvlText w:val=""/>
      <w:lvlJc w:val="left"/>
      <w:pPr>
        <w:tabs>
          <w:tab w:val="num" w:pos="3600"/>
        </w:tabs>
        <w:ind w:left="3600" w:hanging="360"/>
      </w:pPr>
      <w:rPr>
        <w:rFonts w:ascii="Wingdings" w:hAnsi="Wingdings" w:hint="default"/>
      </w:rPr>
    </w:lvl>
    <w:lvl w:ilvl="5" w:tplc="206C53FA" w:tentative="1">
      <w:start w:val="1"/>
      <w:numFmt w:val="bullet"/>
      <w:lvlText w:val=""/>
      <w:lvlJc w:val="left"/>
      <w:pPr>
        <w:tabs>
          <w:tab w:val="num" w:pos="4320"/>
        </w:tabs>
        <w:ind w:left="4320" w:hanging="360"/>
      </w:pPr>
      <w:rPr>
        <w:rFonts w:ascii="Wingdings" w:hAnsi="Wingdings" w:hint="default"/>
      </w:rPr>
    </w:lvl>
    <w:lvl w:ilvl="6" w:tplc="01ACA398" w:tentative="1">
      <w:start w:val="1"/>
      <w:numFmt w:val="bullet"/>
      <w:lvlText w:val=""/>
      <w:lvlJc w:val="left"/>
      <w:pPr>
        <w:tabs>
          <w:tab w:val="num" w:pos="5040"/>
        </w:tabs>
        <w:ind w:left="5040" w:hanging="360"/>
      </w:pPr>
      <w:rPr>
        <w:rFonts w:ascii="Wingdings" w:hAnsi="Wingdings" w:hint="default"/>
      </w:rPr>
    </w:lvl>
    <w:lvl w:ilvl="7" w:tplc="9F4A516A" w:tentative="1">
      <w:start w:val="1"/>
      <w:numFmt w:val="bullet"/>
      <w:lvlText w:val=""/>
      <w:lvlJc w:val="left"/>
      <w:pPr>
        <w:tabs>
          <w:tab w:val="num" w:pos="5760"/>
        </w:tabs>
        <w:ind w:left="5760" w:hanging="360"/>
      </w:pPr>
      <w:rPr>
        <w:rFonts w:ascii="Wingdings" w:hAnsi="Wingdings" w:hint="default"/>
      </w:rPr>
    </w:lvl>
    <w:lvl w:ilvl="8" w:tplc="AAA633FE" w:tentative="1">
      <w:start w:val="1"/>
      <w:numFmt w:val="bullet"/>
      <w:lvlText w:val=""/>
      <w:lvlJc w:val="left"/>
      <w:pPr>
        <w:tabs>
          <w:tab w:val="num" w:pos="6480"/>
        </w:tabs>
        <w:ind w:left="6480" w:hanging="360"/>
      </w:pPr>
      <w:rPr>
        <w:rFonts w:ascii="Wingdings" w:hAnsi="Wingdings" w:hint="default"/>
      </w:rPr>
    </w:lvl>
  </w:abstractNum>
  <w:abstractNum w:abstractNumId="8">
    <w:nsid w:val="6BAB57CC"/>
    <w:multiLevelType w:val="hybridMultilevel"/>
    <w:tmpl w:val="D624CB82"/>
    <w:lvl w:ilvl="0" w:tplc="C27818FA">
      <w:start w:val="5"/>
      <w:numFmt w:val="decimal"/>
      <w:lvlText w:val="%1."/>
      <w:lvlJc w:val="left"/>
      <w:pPr>
        <w:tabs>
          <w:tab w:val="num" w:pos="720"/>
        </w:tabs>
        <w:ind w:left="720" w:hanging="360"/>
      </w:pPr>
    </w:lvl>
    <w:lvl w:ilvl="1" w:tplc="B4AE0AFE" w:tentative="1">
      <w:start w:val="1"/>
      <w:numFmt w:val="decimal"/>
      <w:lvlText w:val="%2."/>
      <w:lvlJc w:val="left"/>
      <w:pPr>
        <w:tabs>
          <w:tab w:val="num" w:pos="1440"/>
        </w:tabs>
        <w:ind w:left="1440" w:hanging="360"/>
      </w:pPr>
    </w:lvl>
    <w:lvl w:ilvl="2" w:tplc="140C7426" w:tentative="1">
      <w:start w:val="1"/>
      <w:numFmt w:val="decimal"/>
      <w:lvlText w:val="%3."/>
      <w:lvlJc w:val="left"/>
      <w:pPr>
        <w:tabs>
          <w:tab w:val="num" w:pos="2160"/>
        </w:tabs>
        <w:ind w:left="2160" w:hanging="360"/>
      </w:pPr>
    </w:lvl>
    <w:lvl w:ilvl="3" w:tplc="4712EFF4" w:tentative="1">
      <w:start w:val="1"/>
      <w:numFmt w:val="decimal"/>
      <w:lvlText w:val="%4."/>
      <w:lvlJc w:val="left"/>
      <w:pPr>
        <w:tabs>
          <w:tab w:val="num" w:pos="2880"/>
        </w:tabs>
        <w:ind w:left="2880" w:hanging="360"/>
      </w:pPr>
    </w:lvl>
    <w:lvl w:ilvl="4" w:tplc="10280F64" w:tentative="1">
      <w:start w:val="1"/>
      <w:numFmt w:val="decimal"/>
      <w:lvlText w:val="%5."/>
      <w:lvlJc w:val="left"/>
      <w:pPr>
        <w:tabs>
          <w:tab w:val="num" w:pos="3600"/>
        </w:tabs>
        <w:ind w:left="3600" w:hanging="360"/>
      </w:pPr>
    </w:lvl>
    <w:lvl w:ilvl="5" w:tplc="C8B8ED7A" w:tentative="1">
      <w:start w:val="1"/>
      <w:numFmt w:val="decimal"/>
      <w:lvlText w:val="%6."/>
      <w:lvlJc w:val="left"/>
      <w:pPr>
        <w:tabs>
          <w:tab w:val="num" w:pos="4320"/>
        </w:tabs>
        <w:ind w:left="4320" w:hanging="360"/>
      </w:pPr>
    </w:lvl>
    <w:lvl w:ilvl="6" w:tplc="135C1CF2" w:tentative="1">
      <w:start w:val="1"/>
      <w:numFmt w:val="decimal"/>
      <w:lvlText w:val="%7."/>
      <w:lvlJc w:val="left"/>
      <w:pPr>
        <w:tabs>
          <w:tab w:val="num" w:pos="5040"/>
        </w:tabs>
        <w:ind w:left="5040" w:hanging="360"/>
      </w:pPr>
    </w:lvl>
    <w:lvl w:ilvl="7" w:tplc="F864BBB0" w:tentative="1">
      <w:start w:val="1"/>
      <w:numFmt w:val="decimal"/>
      <w:lvlText w:val="%8."/>
      <w:lvlJc w:val="left"/>
      <w:pPr>
        <w:tabs>
          <w:tab w:val="num" w:pos="5760"/>
        </w:tabs>
        <w:ind w:left="5760" w:hanging="360"/>
      </w:pPr>
    </w:lvl>
    <w:lvl w:ilvl="8" w:tplc="C20E280A" w:tentative="1">
      <w:start w:val="1"/>
      <w:numFmt w:val="decimal"/>
      <w:lvlText w:val="%9."/>
      <w:lvlJc w:val="left"/>
      <w:pPr>
        <w:tabs>
          <w:tab w:val="num" w:pos="6480"/>
        </w:tabs>
        <w:ind w:left="6480" w:hanging="360"/>
      </w:pPr>
    </w:lvl>
  </w:abstractNum>
  <w:abstractNum w:abstractNumId="9">
    <w:nsid w:val="764462D1"/>
    <w:multiLevelType w:val="hybridMultilevel"/>
    <w:tmpl w:val="6F0C8C48"/>
    <w:lvl w:ilvl="0" w:tplc="3912B7C8">
      <w:start w:val="1"/>
      <w:numFmt w:val="bullet"/>
      <w:lvlText w:val=""/>
      <w:lvlJc w:val="left"/>
      <w:pPr>
        <w:tabs>
          <w:tab w:val="num" w:pos="720"/>
        </w:tabs>
        <w:ind w:left="720" w:hanging="360"/>
      </w:pPr>
      <w:rPr>
        <w:rFonts w:ascii="Wingdings" w:hAnsi="Wingdings" w:hint="default"/>
      </w:rPr>
    </w:lvl>
    <w:lvl w:ilvl="1" w:tplc="19066F00" w:tentative="1">
      <w:start w:val="1"/>
      <w:numFmt w:val="bullet"/>
      <w:lvlText w:val=""/>
      <w:lvlJc w:val="left"/>
      <w:pPr>
        <w:tabs>
          <w:tab w:val="num" w:pos="1440"/>
        </w:tabs>
        <w:ind w:left="1440" w:hanging="360"/>
      </w:pPr>
      <w:rPr>
        <w:rFonts w:ascii="Wingdings" w:hAnsi="Wingdings" w:hint="default"/>
      </w:rPr>
    </w:lvl>
    <w:lvl w:ilvl="2" w:tplc="B710576C" w:tentative="1">
      <w:start w:val="1"/>
      <w:numFmt w:val="bullet"/>
      <w:lvlText w:val=""/>
      <w:lvlJc w:val="left"/>
      <w:pPr>
        <w:tabs>
          <w:tab w:val="num" w:pos="2160"/>
        </w:tabs>
        <w:ind w:left="2160" w:hanging="360"/>
      </w:pPr>
      <w:rPr>
        <w:rFonts w:ascii="Wingdings" w:hAnsi="Wingdings" w:hint="default"/>
      </w:rPr>
    </w:lvl>
    <w:lvl w:ilvl="3" w:tplc="43F0CB26" w:tentative="1">
      <w:start w:val="1"/>
      <w:numFmt w:val="bullet"/>
      <w:lvlText w:val=""/>
      <w:lvlJc w:val="left"/>
      <w:pPr>
        <w:tabs>
          <w:tab w:val="num" w:pos="2880"/>
        </w:tabs>
        <w:ind w:left="2880" w:hanging="360"/>
      </w:pPr>
      <w:rPr>
        <w:rFonts w:ascii="Wingdings" w:hAnsi="Wingdings" w:hint="default"/>
      </w:rPr>
    </w:lvl>
    <w:lvl w:ilvl="4" w:tplc="188C07F2" w:tentative="1">
      <w:start w:val="1"/>
      <w:numFmt w:val="bullet"/>
      <w:lvlText w:val=""/>
      <w:lvlJc w:val="left"/>
      <w:pPr>
        <w:tabs>
          <w:tab w:val="num" w:pos="3600"/>
        </w:tabs>
        <w:ind w:left="3600" w:hanging="360"/>
      </w:pPr>
      <w:rPr>
        <w:rFonts w:ascii="Wingdings" w:hAnsi="Wingdings" w:hint="default"/>
      </w:rPr>
    </w:lvl>
    <w:lvl w:ilvl="5" w:tplc="454CE3CE" w:tentative="1">
      <w:start w:val="1"/>
      <w:numFmt w:val="bullet"/>
      <w:lvlText w:val=""/>
      <w:lvlJc w:val="left"/>
      <w:pPr>
        <w:tabs>
          <w:tab w:val="num" w:pos="4320"/>
        </w:tabs>
        <w:ind w:left="4320" w:hanging="360"/>
      </w:pPr>
      <w:rPr>
        <w:rFonts w:ascii="Wingdings" w:hAnsi="Wingdings" w:hint="default"/>
      </w:rPr>
    </w:lvl>
    <w:lvl w:ilvl="6" w:tplc="19040A2E" w:tentative="1">
      <w:start w:val="1"/>
      <w:numFmt w:val="bullet"/>
      <w:lvlText w:val=""/>
      <w:lvlJc w:val="left"/>
      <w:pPr>
        <w:tabs>
          <w:tab w:val="num" w:pos="5040"/>
        </w:tabs>
        <w:ind w:left="5040" w:hanging="360"/>
      </w:pPr>
      <w:rPr>
        <w:rFonts w:ascii="Wingdings" w:hAnsi="Wingdings" w:hint="default"/>
      </w:rPr>
    </w:lvl>
    <w:lvl w:ilvl="7" w:tplc="E2A6AC8C" w:tentative="1">
      <w:start w:val="1"/>
      <w:numFmt w:val="bullet"/>
      <w:lvlText w:val=""/>
      <w:lvlJc w:val="left"/>
      <w:pPr>
        <w:tabs>
          <w:tab w:val="num" w:pos="5760"/>
        </w:tabs>
        <w:ind w:left="5760" w:hanging="360"/>
      </w:pPr>
      <w:rPr>
        <w:rFonts w:ascii="Wingdings" w:hAnsi="Wingdings" w:hint="default"/>
      </w:rPr>
    </w:lvl>
    <w:lvl w:ilvl="8" w:tplc="E2A69730" w:tentative="1">
      <w:start w:val="1"/>
      <w:numFmt w:val="bullet"/>
      <w:lvlText w:val=""/>
      <w:lvlJc w:val="left"/>
      <w:pPr>
        <w:tabs>
          <w:tab w:val="num" w:pos="6480"/>
        </w:tabs>
        <w:ind w:left="6480" w:hanging="360"/>
      </w:pPr>
      <w:rPr>
        <w:rFonts w:ascii="Wingdings" w:hAnsi="Wingdings" w:hint="default"/>
      </w:rPr>
    </w:lvl>
  </w:abstractNum>
  <w:abstractNum w:abstractNumId="10">
    <w:nsid w:val="76AD0F63"/>
    <w:multiLevelType w:val="multilevel"/>
    <w:tmpl w:val="F26E1B86"/>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04"/>
        </w:tabs>
        <w:ind w:left="504" w:hanging="504"/>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0"/>
  </w:num>
  <w:num w:numId="2">
    <w:abstractNumId w:val="10"/>
  </w:num>
  <w:num w:numId="3">
    <w:abstractNumId w:val="5"/>
  </w:num>
  <w:num w:numId="4">
    <w:abstractNumId w:val="2"/>
  </w:num>
  <w:num w:numId="5">
    <w:abstractNumId w:val="3"/>
  </w:num>
  <w:num w:numId="6">
    <w:abstractNumId w:val="8"/>
  </w:num>
  <w:num w:numId="7">
    <w:abstractNumId w:val="0"/>
  </w:num>
  <w:num w:numId="8">
    <w:abstractNumId w:val="9"/>
  </w:num>
  <w:num w:numId="9">
    <w:abstractNumId w:val="7"/>
  </w:num>
  <w:num w:numId="10">
    <w:abstractNumId w:val="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377"/>
    <w:rsid w:val="0000265A"/>
    <w:rsid w:val="00014E6B"/>
    <w:rsid w:val="00015DBB"/>
    <w:rsid w:val="00021717"/>
    <w:rsid w:val="00027EF9"/>
    <w:rsid w:val="00034B63"/>
    <w:rsid w:val="00041531"/>
    <w:rsid w:val="0004197F"/>
    <w:rsid w:val="00046BA9"/>
    <w:rsid w:val="00050E4E"/>
    <w:rsid w:val="000558FD"/>
    <w:rsid w:val="00060734"/>
    <w:rsid w:val="00080F35"/>
    <w:rsid w:val="000841CE"/>
    <w:rsid w:val="00087AA4"/>
    <w:rsid w:val="000929C6"/>
    <w:rsid w:val="000A40AF"/>
    <w:rsid w:val="000A5DAC"/>
    <w:rsid w:val="000A611B"/>
    <w:rsid w:val="000B2F86"/>
    <w:rsid w:val="000C4778"/>
    <w:rsid w:val="000C4CE3"/>
    <w:rsid w:val="000D1DE5"/>
    <w:rsid w:val="000D5BF4"/>
    <w:rsid w:val="000E0F40"/>
    <w:rsid w:val="000E5894"/>
    <w:rsid w:val="000E591B"/>
    <w:rsid w:val="000F1D26"/>
    <w:rsid w:val="000F20B3"/>
    <w:rsid w:val="00102F11"/>
    <w:rsid w:val="00113301"/>
    <w:rsid w:val="00116BF8"/>
    <w:rsid w:val="00121653"/>
    <w:rsid w:val="0012343F"/>
    <w:rsid w:val="00125768"/>
    <w:rsid w:val="0012630D"/>
    <w:rsid w:val="0013669A"/>
    <w:rsid w:val="00137C24"/>
    <w:rsid w:val="001414BE"/>
    <w:rsid w:val="00147C9F"/>
    <w:rsid w:val="00157377"/>
    <w:rsid w:val="001655BC"/>
    <w:rsid w:val="00166ACD"/>
    <w:rsid w:val="0017076B"/>
    <w:rsid w:val="00173226"/>
    <w:rsid w:val="00182045"/>
    <w:rsid w:val="001827FB"/>
    <w:rsid w:val="00182CDD"/>
    <w:rsid w:val="0018405D"/>
    <w:rsid w:val="0018553D"/>
    <w:rsid w:val="00187853"/>
    <w:rsid w:val="00191D62"/>
    <w:rsid w:val="001A3E0F"/>
    <w:rsid w:val="001A61B7"/>
    <w:rsid w:val="001C1043"/>
    <w:rsid w:val="001C6704"/>
    <w:rsid w:val="001C6D10"/>
    <w:rsid w:val="001D137C"/>
    <w:rsid w:val="001D6850"/>
    <w:rsid w:val="001E11F8"/>
    <w:rsid w:val="001E298B"/>
    <w:rsid w:val="001E4ABD"/>
    <w:rsid w:val="001E6EF0"/>
    <w:rsid w:val="001F00CB"/>
    <w:rsid w:val="001F129F"/>
    <w:rsid w:val="001F2841"/>
    <w:rsid w:val="001F79F3"/>
    <w:rsid w:val="002053A2"/>
    <w:rsid w:val="00214C84"/>
    <w:rsid w:val="002160CE"/>
    <w:rsid w:val="00221CEC"/>
    <w:rsid w:val="0022276D"/>
    <w:rsid w:val="00224B99"/>
    <w:rsid w:val="002346F5"/>
    <w:rsid w:val="00241386"/>
    <w:rsid w:val="00243A3B"/>
    <w:rsid w:val="002459B8"/>
    <w:rsid w:val="00250DC5"/>
    <w:rsid w:val="00254F4C"/>
    <w:rsid w:val="0025679D"/>
    <w:rsid w:val="00265E0F"/>
    <w:rsid w:val="00265E2D"/>
    <w:rsid w:val="00266D69"/>
    <w:rsid w:val="00277356"/>
    <w:rsid w:val="00281F07"/>
    <w:rsid w:val="00282903"/>
    <w:rsid w:val="00286657"/>
    <w:rsid w:val="002A4878"/>
    <w:rsid w:val="002A4AAC"/>
    <w:rsid w:val="002B3D38"/>
    <w:rsid w:val="002B4599"/>
    <w:rsid w:val="002B6B0D"/>
    <w:rsid w:val="002C17F2"/>
    <w:rsid w:val="002D6EA3"/>
    <w:rsid w:val="002D7DFC"/>
    <w:rsid w:val="002E0556"/>
    <w:rsid w:val="002E0C87"/>
    <w:rsid w:val="002E23F6"/>
    <w:rsid w:val="002E4310"/>
    <w:rsid w:val="002E477E"/>
    <w:rsid w:val="002F1C04"/>
    <w:rsid w:val="002F241A"/>
    <w:rsid w:val="002F33D9"/>
    <w:rsid w:val="002F378A"/>
    <w:rsid w:val="002F4A4C"/>
    <w:rsid w:val="0030185B"/>
    <w:rsid w:val="00303DE6"/>
    <w:rsid w:val="003041D3"/>
    <w:rsid w:val="003044CC"/>
    <w:rsid w:val="00311813"/>
    <w:rsid w:val="003140F1"/>
    <w:rsid w:val="00333612"/>
    <w:rsid w:val="00335856"/>
    <w:rsid w:val="00335A06"/>
    <w:rsid w:val="00341A44"/>
    <w:rsid w:val="00350246"/>
    <w:rsid w:val="00360935"/>
    <w:rsid w:val="00362E6A"/>
    <w:rsid w:val="0039026D"/>
    <w:rsid w:val="003962F0"/>
    <w:rsid w:val="003B0ADC"/>
    <w:rsid w:val="003B358F"/>
    <w:rsid w:val="003B5A5A"/>
    <w:rsid w:val="003C6672"/>
    <w:rsid w:val="003D02F2"/>
    <w:rsid w:val="003D2A48"/>
    <w:rsid w:val="003D4281"/>
    <w:rsid w:val="003D4463"/>
    <w:rsid w:val="003E1F2F"/>
    <w:rsid w:val="003E2684"/>
    <w:rsid w:val="003E7766"/>
    <w:rsid w:val="003F0C87"/>
    <w:rsid w:val="004325F8"/>
    <w:rsid w:val="00432A0A"/>
    <w:rsid w:val="00432CD5"/>
    <w:rsid w:val="00436922"/>
    <w:rsid w:val="004416EB"/>
    <w:rsid w:val="00442121"/>
    <w:rsid w:val="00443B65"/>
    <w:rsid w:val="00447889"/>
    <w:rsid w:val="00454FFB"/>
    <w:rsid w:val="00455A83"/>
    <w:rsid w:val="0046175B"/>
    <w:rsid w:val="0046735D"/>
    <w:rsid w:val="00473140"/>
    <w:rsid w:val="004736E2"/>
    <w:rsid w:val="00476E1E"/>
    <w:rsid w:val="00484A12"/>
    <w:rsid w:val="004851DD"/>
    <w:rsid w:val="00493EB3"/>
    <w:rsid w:val="00496162"/>
    <w:rsid w:val="00497123"/>
    <w:rsid w:val="004A1AD1"/>
    <w:rsid w:val="004B3A7D"/>
    <w:rsid w:val="004C1B62"/>
    <w:rsid w:val="004C465F"/>
    <w:rsid w:val="004D169D"/>
    <w:rsid w:val="004D556F"/>
    <w:rsid w:val="004F307C"/>
    <w:rsid w:val="004F487F"/>
    <w:rsid w:val="0050390D"/>
    <w:rsid w:val="005077AD"/>
    <w:rsid w:val="00520AAB"/>
    <w:rsid w:val="005218EA"/>
    <w:rsid w:val="00524152"/>
    <w:rsid w:val="005269D5"/>
    <w:rsid w:val="0053097B"/>
    <w:rsid w:val="00533944"/>
    <w:rsid w:val="0053430E"/>
    <w:rsid w:val="00535D10"/>
    <w:rsid w:val="005407E8"/>
    <w:rsid w:val="005445E6"/>
    <w:rsid w:val="0055015F"/>
    <w:rsid w:val="00557227"/>
    <w:rsid w:val="0056267F"/>
    <w:rsid w:val="005633A0"/>
    <w:rsid w:val="005650A2"/>
    <w:rsid w:val="005650C4"/>
    <w:rsid w:val="00572A45"/>
    <w:rsid w:val="00573D5F"/>
    <w:rsid w:val="005765A0"/>
    <w:rsid w:val="005854EB"/>
    <w:rsid w:val="00587FF2"/>
    <w:rsid w:val="0059141B"/>
    <w:rsid w:val="0059206C"/>
    <w:rsid w:val="005A0A12"/>
    <w:rsid w:val="005A33EC"/>
    <w:rsid w:val="005A3C71"/>
    <w:rsid w:val="005B196D"/>
    <w:rsid w:val="005B24BF"/>
    <w:rsid w:val="005B3328"/>
    <w:rsid w:val="005B55D7"/>
    <w:rsid w:val="005D0351"/>
    <w:rsid w:val="005E2D73"/>
    <w:rsid w:val="005E4E47"/>
    <w:rsid w:val="005E563D"/>
    <w:rsid w:val="00603193"/>
    <w:rsid w:val="0060378D"/>
    <w:rsid w:val="00612100"/>
    <w:rsid w:val="00623BFC"/>
    <w:rsid w:val="00624538"/>
    <w:rsid w:val="00633845"/>
    <w:rsid w:val="00634853"/>
    <w:rsid w:val="0063656D"/>
    <w:rsid w:val="00637974"/>
    <w:rsid w:val="00637D92"/>
    <w:rsid w:val="00641F5D"/>
    <w:rsid w:val="00652809"/>
    <w:rsid w:val="00653837"/>
    <w:rsid w:val="00655C2C"/>
    <w:rsid w:val="00657B63"/>
    <w:rsid w:val="006665D6"/>
    <w:rsid w:val="006718A6"/>
    <w:rsid w:val="00674F2D"/>
    <w:rsid w:val="006763AF"/>
    <w:rsid w:val="00676B91"/>
    <w:rsid w:val="006900A5"/>
    <w:rsid w:val="00695635"/>
    <w:rsid w:val="00697098"/>
    <w:rsid w:val="006A0EAA"/>
    <w:rsid w:val="006A3BD6"/>
    <w:rsid w:val="006B2475"/>
    <w:rsid w:val="006C2F69"/>
    <w:rsid w:val="006C3D76"/>
    <w:rsid w:val="006C62CB"/>
    <w:rsid w:val="006D075A"/>
    <w:rsid w:val="006D6048"/>
    <w:rsid w:val="006D78B2"/>
    <w:rsid w:val="00701CB4"/>
    <w:rsid w:val="007044DB"/>
    <w:rsid w:val="0070758F"/>
    <w:rsid w:val="0071027C"/>
    <w:rsid w:val="00710712"/>
    <w:rsid w:val="00710DC2"/>
    <w:rsid w:val="00715756"/>
    <w:rsid w:val="0071609D"/>
    <w:rsid w:val="0071611F"/>
    <w:rsid w:val="00717AEF"/>
    <w:rsid w:val="00727AD1"/>
    <w:rsid w:val="0073115F"/>
    <w:rsid w:val="00731840"/>
    <w:rsid w:val="00747616"/>
    <w:rsid w:val="00752988"/>
    <w:rsid w:val="007618AA"/>
    <w:rsid w:val="00763823"/>
    <w:rsid w:val="0076488F"/>
    <w:rsid w:val="00771713"/>
    <w:rsid w:val="0077525D"/>
    <w:rsid w:val="00781EFC"/>
    <w:rsid w:val="007843CF"/>
    <w:rsid w:val="00784EF0"/>
    <w:rsid w:val="007969C9"/>
    <w:rsid w:val="00797F4C"/>
    <w:rsid w:val="007A236C"/>
    <w:rsid w:val="007A24B4"/>
    <w:rsid w:val="007A6451"/>
    <w:rsid w:val="007B4B16"/>
    <w:rsid w:val="007B7D34"/>
    <w:rsid w:val="007D4F3C"/>
    <w:rsid w:val="007E0C33"/>
    <w:rsid w:val="007E7ABA"/>
    <w:rsid w:val="007E7E8C"/>
    <w:rsid w:val="007F16D3"/>
    <w:rsid w:val="007F2C7E"/>
    <w:rsid w:val="007F59C7"/>
    <w:rsid w:val="007F7285"/>
    <w:rsid w:val="008004AC"/>
    <w:rsid w:val="00806A19"/>
    <w:rsid w:val="00806BB7"/>
    <w:rsid w:val="00817E98"/>
    <w:rsid w:val="008246C5"/>
    <w:rsid w:val="00826D2A"/>
    <w:rsid w:val="008273F2"/>
    <w:rsid w:val="00842018"/>
    <w:rsid w:val="00854FE5"/>
    <w:rsid w:val="0085652F"/>
    <w:rsid w:val="00862642"/>
    <w:rsid w:val="00862F1A"/>
    <w:rsid w:val="00873475"/>
    <w:rsid w:val="00873D78"/>
    <w:rsid w:val="0087434F"/>
    <w:rsid w:val="00880D8A"/>
    <w:rsid w:val="008858A3"/>
    <w:rsid w:val="008878ED"/>
    <w:rsid w:val="0089520F"/>
    <w:rsid w:val="008959EA"/>
    <w:rsid w:val="00895D3E"/>
    <w:rsid w:val="008A08D4"/>
    <w:rsid w:val="008A3634"/>
    <w:rsid w:val="008B168A"/>
    <w:rsid w:val="008B32B6"/>
    <w:rsid w:val="008C20C4"/>
    <w:rsid w:val="008C503D"/>
    <w:rsid w:val="008D1FDA"/>
    <w:rsid w:val="008D2EC4"/>
    <w:rsid w:val="008D3142"/>
    <w:rsid w:val="008D7217"/>
    <w:rsid w:val="008E25A3"/>
    <w:rsid w:val="008E3045"/>
    <w:rsid w:val="008E4916"/>
    <w:rsid w:val="008E4CA8"/>
    <w:rsid w:val="008F0E99"/>
    <w:rsid w:val="008F235F"/>
    <w:rsid w:val="00901ADF"/>
    <w:rsid w:val="00903AD5"/>
    <w:rsid w:val="00914D75"/>
    <w:rsid w:val="009267A9"/>
    <w:rsid w:val="00931ABE"/>
    <w:rsid w:val="0093386F"/>
    <w:rsid w:val="00940EF7"/>
    <w:rsid w:val="009428CD"/>
    <w:rsid w:val="00954FB6"/>
    <w:rsid w:val="009728F6"/>
    <w:rsid w:val="00984006"/>
    <w:rsid w:val="00986781"/>
    <w:rsid w:val="00995D48"/>
    <w:rsid w:val="00997B35"/>
    <w:rsid w:val="009C0F41"/>
    <w:rsid w:val="009C359E"/>
    <w:rsid w:val="009D5704"/>
    <w:rsid w:val="009F351C"/>
    <w:rsid w:val="00A14AA8"/>
    <w:rsid w:val="00A14F80"/>
    <w:rsid w:val="00A17399"/>
    <w:rsid w:val="00A25B85"/>
    <w:rsid w:val="00A26967"/>
    <w:rsid w:val="00A34EFE"/>
    <w:rsid w:val="00A57458"/>
    <w:rsid w:val="00A67DE1"/>
    <w:rsid w:val="00A72E3F"/>
    <w:rsid w:val="00A75E66"/>
    <w:rsid w:val="00A81C4C"/>
    <w:rsid w:val="00A84E81"/>
    <w:rsid w:val="00A90C16"/>
    <w:rsid w:val="00A95366"/>
    <w:rsid w:val="00A95376"/>
    <w:rsid w:val="00A9648D"/>
    <w:rsid w:val="00AA1FC7"/>
    <w:rsid w:val="00AA2220"/>
    <w:rsid w:val="00AA37BA"/>
    <w:rsid w:val="00AA3FCB"/>
    <w:rsid w:val="00AB6127"/>
    <w:rsid w:val="00AC1EC1"/>
    <w:rsid w:val="00AC5E0D"/>
    <w:rsid w:val="00AC6BF5"/>
    <w:rsid w:val="00AD4DA5"/>
    <w:rsid w:val="00AE7B37"/>
    <w:rsid w:val="00AF05EC"/>
    <w:rsid w:val="00AF0FCC"/>
    <w:rsid w:val="00AF1DE4"/>
    <w:rsid w:val="00AF3AC3"/>
    <w:rsid w:val="00AF6E6A"/>
    <w:rsid w:val="00B01BD6"/>
    <w:rsid w:val="00B0407B"/>
    <w:rsid w:val="00B06D0E"/>
    <w:rsid w:val="00B24A76"/>
    <w:rsid w:val="00B25822"/>
    <w:rsid w:val="00B26DD9"/>
    <w:rsid w:val="00B519B8"/>
    <w:rsid w:val="00B52B01"/>
    <w:rsid w:val="00B576AD"/>
    <w:rsid w:val="00B638C5"/>
    <w:rsid w:val="00B6749B"/>
    <w:rsid w:val="00B80761"/>
    <w:rsid w:val="00B8530D"/>
    <w:rsid w:val="00B87B25"/>
    <w:rsid w:val="00B930FF"/>
    <w:rsid w:val="00B9335A"/>
    <w:rsid w:val="00B95966"/>
    <w:rsid w:val="00B96E00"/>
    <w:rsid w:val="00BA5092"/>
    <w:rsid w:val="00BA668A"/>
    <w:rsid w:val="00BB1A9C"/>
    <w:rsid w:val="00BB29E5"/>
    <w:rsid w:val="00BB39E0"/>
    <w:rsid w:val="00BB67ED"/>
    <w:rsid w:val="00BB7583"/>
    <w:rsid w:val="00BC47AC"/>
    <w:rsid w:val="00BC4BF4"/>
    <w:rsid w:val="00BD5B12"/>
    <w:rsid w:val="00BD78BA"/>
    <w:rsid w:val="00BE237D"/>
    <w:rsid w:val="00BE55FA"/>
    <w:rsid w:val="00BE635E"/>
    <w:rsid w:val="00C02F70"/>
    <w:rsid w:val="00C2015C"/>
    <w:rsid w:val="00C2050B"/>
    <w:rsid w:val="00C30B08"/>
    <w:rsid w:val="00C35F87"/>
    <w:rsid w:val="00C36FA7"/>
    <w:rsid w:val="00C5276F"/>
    <w:rsid w:val="00C61D09"/>
    <w:rsid w:val="00C628D8"/>
    <w:rsid w:val="00C85A68"/>
    <w:rsid w:val="00C92637"/>
    <w:rsid w:val="00C93847"/>
    <w:rsid w:val="00C9538C"/>
    <w:rsid w:val="00C969C5"/>
    <w:rsid w:val="00CA3858"/>
    <w:rsid w:val="00CA6B2C"/>
    <w:rsid w:val="00CB1549"/>
    <w:rsid w:val="00CB3B8A"/>
    <w:rsid w:val="00CB623D"/>
    <w:rsid w:val="00CC0BBE"/>
    <w:rsid w:val="00CC1320"/>
    <w:rsid w:val="00CC4FAD"/>
    <w:rsid w:val="00CC6E70"/>
    <w:rsid w:val="00CD1B01"/>
    <w:rsid w:val="00CD4864"/>
    <w:rsid w:val="00CE1E27"/>
    <w:rsid w:val="00CF0E28"/>
    <w:rsid w:val="00CF2F01"/>
    <w:rsid w:val="00CF6814"/>
    <w:rsid w:val="00CF7B08"/>
    <w:rsid w:val="00D042A4"/>
    <w:rsid w:val="00D07BCC"/>
    <w:rsid w:val="00D12D6E"/>
    <w:rsid w:val="00D25523"/>
    <w:rsid w:val="00D33279"/>
    <w:rsid w:val="00D46BE1"/>
    <w:rsid w:val="00D47D40"/>
    <w:rsid w:val="00D645F6"/>
    <w:rsid w:val="00D75728"/>
    <w:rsid w:val="00D8014A"/>
    <w:rsid w:val="00D86442"/>
    <w:rsid w:val="00D90CD7"/>
    <w:rsid w:val="00D91AA6"/>
    <w:rsid w:val="00D953F6"/>
    <w:rsid w:val="00D957BC"/>
    <w:rsid w:val="00DA4B54"/>
    <w:rsid w:val="00DA591F"/>
    <w:rsid w:val="00DA7350"/>
    <w:rsid w:val="00DB53CD"/>
    <w:rsid w:val="00DC0A12"/>
    <w:rsid w:val="00DC1F90"/>
    <w:rsid w:val="00DC2639"/>
    <w:rsid w:val="00DD1C9D"/>
    <w:rsid w:val="00DD31B1"/>
    <w:rsid w:val="00DE4E66"/>
    <w:rsid w:val="00DF69DC"/>
    <w:rsid w:val="00DF6A30"/>
    <w:rsid w:val="00E03279"/>
    <w:rsid w:val="00E077F1"/>
    <w:rsid w:val="00E30683"/>
    <w:rsid w:val="00E313ED"/>
    <w:rsid w:val="00E32CFE"/>
    <w:rsid w:val="00E332B3"/>
    <w:rsid w:val="00E41B28"/>
    <w:rsid w:val="00E476FF"/>
    <w:rsid w:val="00E5129C"/>
    <w:rsid w:val="00E52A1A"/>
    <w:rsid w:val="00E55D71"/>
    <w:rsid w:val="00E5696D"/>
    <w:rsid w:val="00E63183"/>
    <w:rsid w:val="00E67885"/>
    <w:rsid w:val="00E77264"/>
    <w:rsid w:val="00E8020D"/>
    <w:rsid w:val="00E91843"/>
    <w:rsid w:val="00E922E2"/>
    <w:rsid w:val="00E93679"/>
    <w:rsid w:val="00E93EA5"/>
    <w:rsid w:val="00E97156"/>
    <w:rsid w:val="00EA5E7B"/>
    <w:rsid w:val="00EB4463"/>
    <w:rsid w:val="00EC75DE"/>
    <w:rsid w:val="00ED6201"/>
    <w:rsid w:val="00ED6F1A"/>
    <w:rsid w:val="00EF5E61"/>
    <w:rsid w:val="00F058F8"/>
    <w:rsid w:val="00F2553E"/>
    <w:rsid w:val="00F31116"/>
    <w:rsid w:val="00F32E1B"/>
    <w:rsid w:val="00F33E15"/>
    <w:rsid w:val="00F404E5"/>
    <w:rsid w:val="00F41030"/>
    <w:rsid w:val="00F43572"/>
    <w:rsid w:val="00F4658A"/>
    <w:rsid w:val="00F50F2F"/>
    <w:rsid w:val="00F51488"/>
    <w:rsid w:val="00F56630"/>
    <w:rsid w:val="00F658EC"/>
    <w:rsid w:val="00F73596"/>
    <w:rsid w:val="00F74C29"/>
    <w:rsid w:val="00F77674"/>
    <w:rsid w:val="00F8119C"/>
    <w:rsid w:val="00F820C8"/>
    <w:rsid w:val="00F822D3"/>
    <w:rsid w:val="00F83762"/>
    <w:rsid w:val="00F87412"/>
    <w:rsid w:val="00F91AE0"/>
    <w:rsid w:val="00F91CD9"/>
    <w:rsid w:val="00F91D39"/>
    <w:rsid w:val="00F932C8"/>
    <w:rsid w:val="00F951A5"/>
    <w:rsid w:val="00F96267"/>
    <w:rsid w:val="00F97D44"/>
    <w:rsid w:val="00FA13CF"/>
    <w:rsid w:val="00FA428F"/>
    <w:rsid w:val="00FB3673"/>
    <w:rsid w:val="00FB3C7F"/>
    <w:rsid w:val="00FB5C9B"/>
    <w:rsid w:val="00FC4350"/>
    <w:rsid w:val="00FC5A67"/>
    <w:rsid w:val="00FC5C1A"/>
    <w:rsid w:val="00FD5307"/>
    <w:rsid w:val="00FE3B79"/>
    <w:rsid w:val="00FE400B"/>
    <w:rsid w:val="00FF7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A5"/>
    <w:rPr>
      <w:sz w:val="24"/>
      <w:szCs w:val="24"/>
    </w:rPr>
  </w:style>
  <w:style w:type="paragraph" w:styleId="Heading3">
    <w:name w:val="heading 3"/>
    <w:basedOn w:val="Normal"/>
    <w:next w:val="Normal"/>
    <w:qFormat/>
    <w:rsid w:val="003E7766"/>
    <w:pPr>
      <w:keepNext/>
      <w:spacing w:before="240" w:after="60"/>
      <w:outlineLvl w:val="2"/>
    </w:pPr>
    <w:rPr>
      <w:rFonts w:ascii="Arial" w:hAnsi="Arial" w:cs="Arial"/>
      <w:b/>
      <w:bCs/>
      <w:sz w:val="26"/>
      <w:szCs w:val="26"/>
    </w:rPr>
  </w:style>
  <w:style w:type="paragraph" w:styleId="Heading5">
    <w:name w:val="heading 5"/>
    <w:basedOn w:val="Normal"/>
    <w:next w:val="Normal"/>
    <w:qFormat/>
    <w:rsid w:val="006C62CB"/>
    <w:pPr>
      <w:spacing w:before="240" w:after="60"/>
      <w:outlineLvl w:val="4"/>
    </w:pPr>
    <w:rPr>
      <w:b/>
      <w:bCs/>
      <w:i/>
      <w:iCs/>
      <w:sz w:val="26"/>
      <w:szCs w:val="26"/>
    </w:rPr>
  </w:style>
  <w:style w:type="paragraph" w:styleId="Heading6">
    <w:name w:val="heading 6"/>
    <w:basedOn w:val="Normal"/>
    <w:next w:val="Normal"/>
    <w:qFormat/>
    <w:rsid w:val="006C62C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CDB">
    <w:name w:val="Table Style CDB"/>
    <w:basedOn w:val="TableGrid"/>
    <w:rsid w:val="00940EF7"/>
    <w:rPr>
      <w:sz w:val="24"/>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tblPr/>
      <w:tcPr>
        <w:tcBorders>
          <w:bottom w:val="single" w:sz="4" w:space="0" w:color="auto"/>
        </w:tcBorders>
      </w:tcPr>
    </w:tblStylePr>
  </w:style>
  <w:style w:type="table" w:styleId="TableGrid">
    <w:name w:val="Table Grid"/>
    <w:basedOn w:val="TableNormal"/>
    <w:rsid w:val="00940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BHeading1">
    <w:name w:val="CDB Heading 1"/>
    <w:basedOn w:val="Heading5"/>
    <w:autoRedefine/>
    <w:rsid w:val="006C62CB"/>
    <w:pPr>
      <w:keepNext/>
      <w:numPr>
        <w:numId w:val="4"/>
      </w:numPr>
      <w:pBdr>
        <w:top w:val="single" w:sz="4" w:space="1" w:color="auto"/>
        <w:left w:val="single" w:sz="4" w:space="1" w:color="auto"/>
        <w:bottom w:val="single" w:sz="4" w:space="1" w:color="auto"/>
        <w:right w:val="single" w:sz="4" w:space="1" w:color="auto"/>
      </w:pBdr>
      <w:tabs>
        <w:tab w:val="left" w:pos="540"/>
      </w:tabs>
      <w:spacing w:before="0" w:after="0"/>
    </w:pPr>
    <w:rPr>
      <w:rFonts w:ascii="Arial" w:hAnsi="Arial"/>
      <w:i w:val="0"/>
      <w:iCs w:val="0"/>
      <w:sz w:val="28"/>
      <w:szCs w:val="20"/>
    </w:rPr>
  </w:style>
  <w:style w:type="paragraph" w:customStyle="1" w:styleId="CDBHeading2">
    <w:name w:val="CDB Heading 2"/>
    <w:basedOn w:val="Heading6"/>
    <w:autoRedefine/>
    <w:rsid w:val="006C62CB"/>
    <w:pPr>
      <w:keepNext/>
      <w:numPr>
        <w:ilvl w:val="1"/>
        <w:numId w:val="4"/>
      </w:numPr>
      <w:tabs>
        <w:tab w:val="left" w:pos="547"/>
      </w:tabs>
      <w:spacing w:before="0" w:after="0"/>
    </w:pPr>
    <w:rPr>
      <w:sz w:val="24"/>
      <w:szCs w:val="24"/>
    </w:rPr>
  </w:style>
  <w:style w:type="paragraph" w:customStyle="1" w:styleId="CDBHeading3">
    <w:name w:val="CDB Heading 3"/>
    <w:basedOn w:val="Heading3"/>
    <w:next w:val="Normal"/>
    <w:rsid w:val="003E7766"/>
    <w:pPr>
      <w:numPr>
        <w:ilvl w:val="2"/>
        <w:numId w:val="4"/>
      </w:numPr>
      <w:spacing w:before="0" w:after="0"/>
    </w:pPr>
    <w:rPr>
      <w:rFonts w:ascii="Times New Roman" w:hAnsi="Times New Roman" w:cs="Times New Roman"/>
      <w:bCs w:val="0"/>
      <w:i/>
      <w:sz w:val="24"/>
      <w:szCs w:val="20"/>
    </w:rPr>
  </w:style>
  <w:style w:type="paragraph" w:styleId="Header">
    <w:name w:val="header"/>
    <w:basedOn w:val="Normal"/>
    <w:rsid w:val="003B358F"/>
    <w:pPr>
      <w:tabs>
        <w:tab w:val="center" w:pos="4320"/>
        <w:tab w:val="right" w:pos="8640"/>
      </w:tabs>
    </w:pPr>
  </w:style>
  <w:style w:type="paragraph" w:styleId="Footer">
    <w:name w:val="footer"/>
    <w:basedOn w:val="Normal"/>
    <w:rsid w:val="008A08D4"/>
    <w:pPr>
      <w:tabs>
        <w:tab w:val="center" w:pos="4320"/>
        <w:tab w:val="right" w:pos="8640"/>
      </w:tabs>
    </w:pPr>
  </w:style>
  <w:style w:type="character" w:styleId="PageNumber">
    <w:name w:val="page number"/>
    <w:basedOn w:val="DefaultParagraphFont"/>
    <w:rsid w:val="008A08D4"/>
  </w:style>
  <w:style w:type="paragraph" w:styleId="BalloonText">
    <w:name w:val="Balloon Text"/>
    <w:basedOn w:val="Normal"/>
    <w:link w:val="BalloonTextChar"/>
    <w:uiPriority w:val="99"/>
    <w:semiHidden/>
    <w:unhideWhenUsed/>
    <w:rsid w:val="00214C84"/>
    <w:rPr>
      <w:rFonts w:ascii="Tahoma" w:hAnsi="Tahoma" w:cs="Tahoma"/>
      <w:sz w:val="16"/>
      <w:szCs w:val="16"/>
    </w:rPr>
  </w:style>
  <w:style w:type="character" w:customStyle="1" w:styleId="BalloonTextChar">
    <w:name w:val="Balloon Text Char"/>
    <w:basedOn w:val="DefaultParagraphFont"/>
    <w:link w:val="BalloonText"/>
    <w:uiPriority w:val="99"/>
    <w:semiHidden/>
    <w:rsid w:val="00214C84"/>
    <w:rPr>
      <w:rFonts w:ascii="Tahoma" w:hAnsi="Tahoma" w:cs="Tahoma"/>
      <w:sz w:val="16"/>
      <w:szCs w:val="16"/>
    </w:rPr>
  </w:style>
  <w:style w:type="character" w:styleId="Hyperlink">
    <w:name w:val="Hyperlink"/>
    <w:uiPriority w:val="99"/>
    <w:rsid w:val="00B2582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A5"/>
    <w:rPr>
      <w:sz w:val="24"/>
      <w:szCs w:val="24"/>
    </w:rPr>
  </w:style>
  <w:style w:type="paragraph" w:styleId="Heading3">
    <w:name w:val="heading 3"/>
    <w:basedOn w:val="Normal"/>
    <w:next w:val="Normal"/>
    <w:qFormat/>
    <w:rsid w:val="003E7766"/>
    <w:pPr>
      <w:keepNext/>
      <w:spacing w:before="240" w:after="60"/>
      <w:outlineLvl w:val="2"/>
    </w:pPr>
    <w:rPr>
      <w:rFonts w:ascii="Arial" w:hAnsi="Arial" w:cs="Arial"/>
      <w:b/>
      <w:bCs/>
      <w:sz w:val="26"/>
      <w:szCs w:val="26"/>
    </w:rPr>
  </w:style>
  <w:style w:type="paragraph" w:styleId="Heading5">
    <w:name w:val="heading 5"/>
    <w:basedOn w:val="Normal"/>
    <w:next w:val="Normal"/>
    <w:qFormat/>
    <w:rsid w:val="006C62CB"/>
    <w:pPr>
      <w:spacing w:before="240" w:after="60"/>
      <w:outlineLvl w:val="4"/>
    </w:pPr>
    <w:rPr>
      <w:b/>
      <w:bCs/>
      <w:i/>
      <w:iCs/>
      <w:sz w:val="26"/>
      <w:szCs w:val="26"/>
    </w:rPr>
  </w:style>
  <w:style w:type="paragraph" w:styleId="Heading6">
    <w:name w:val="heading 6"/>
    <w:basedOn w:val="Normal"/>
    <w:next w:val="Normal"/>
    <w:qFormat/>
    <w:rsid w:val="006C62C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CDB">
    <w:name w:val="Table Style CDB"/>
    <w:basedOn w:val="TableGrid"/>
    <w:rsid w:val="00940EF7"/>
    <w:rPr>
      <w:sz w:val="24"/>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tblPr/>
      <w:tcPr>
        <w:tcBorders>
          <w:bottom w:val="single" w:sz="4" w:space="0" w:color="auto"/>
        </w:tcBorders>
      </w:tcPr>
    </w:tblStylePr>
  </w:style>
  <w:style w:type="table" w:styleId="TableGrid">
    <w:name w:val="Table Grid"/>
    <w:basedOn w:val="TableNormal"/>
    <w:rsid w:val="00940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BHeading1">
    <w:name w:val="CDB Heading 1"/>
    <w:basedOn w:val="Heading5"/>
    <w:autoRedefine/>
    <w:rsid w:val="006C62CB"/>
    <w:pPr>
      <w:keepNext/>
      <w:numPr>
        <w:numId w:val="4"/>
      </w:numPr>
      <w:pBdr>
        <w:top w:val="single" w:sz="4" w:space="1" w:color="auto"/>
        <w:left w:val="single" w:sz="4" w:space="1" w:color="auto"/>
        <w:bottom w:val="single" w:sz="4" w:space="1" w:color="auto"/>
        <w:right w:val="single" w:sz="4" w:space="1" w:color="auto"/>
      </w:pBdr>
      <w:tabs>
        <w:tab w:val="left" w:pos="540"/>
      </w:tabs>
      <w:spacing w:before="0" w:after="0"/>
    </w:pPr>
    <w:rPr>
      <w:rFonts w:ascii="Arial" w:hAnsi="Arial"/>
      <w:i w:val="0"/>
      <w:iCs w:val="0"/>
      <w:sz w:val="28"/>
      <w:szCs w:val="20"/>
    </w:rPr>
  </w:style>
  <w:style w:type="paragraph" w:customStyle="1" w:styleId="CDBHeading2">
    <w:name w:val="CDB Heading 2"/>
    <w:basedOn w:val="Heading6"/>
    <w:autoRedefine/>
    <w:rsid w:val="006C62CB"/>
    <w:pPr>
      <w:keepNext/>
      <w:numPr>
        <w:ilvl w:val="1"/>
        <w:numId w:val="4"/>
      </w:numPr>
      <w:tabs>
        <w:tab w:val="left" w:pos="547"/>
      </w:tabs>
      <w:spacing w:before="0" w:after="0"/>
    </w:pPr>
    <w:rPr>
      <w:sz w:val="24"/>
      <w:szCs w:val="24"/>
    </w:rPr>
  </w:style>
  <w:style w:type="paragraph" w:customStyle="1" w:styleId="CDBHeading3">
    <w:name w:val="CDB Heading 3"/>
    <w:basedOn w:val="Heading3"/>
    <w:next w:val="Normal"/>
    <w:rsid w:val="003E7766"/>
    <w:pPr>
      <w:numPr>
        <w:ilvl w:val="2"/>
        <w:numId w:val="4"/>
      </w:numPr>
      <w:spacing w:before="0" w:after="0"/>
    </w:pPr>
    <w:rPr>
      <w:rFonts w:ascii="Times New Roman" w:hAnsi="Times New Roman" w:cs="Times New Roman"/>
      <w:bCs w:val="0"/>
      <w:i/>
      <w:sz w:val="24"/>
      <w:szCs w:val="20"/>
    </w:rPr>
  </w:style>
  <w:style w:type="paragraph" w:styleId="Header">
    <w:name w:val="header"/>
    <w:basedOn w:val="Normal"/>
    <w:rsid w:val="003B358F"/>
    <w:pPr>
      <w:tabs>
        <w:tab w:val="center" w:pos="4320"/>
        <w:tab w:val="right" w:pos="8640"/>
      </w:tabs>
    </w:pPr>
  </w:style>
  <w:style w:type="paragraph" w:styleId="Footer">
    <w:name w:val="footer"/>
    <w:basedOn w:val="Normal"/>
    <w:rsid w:val="008A08D4"/>
    <w:pPr>
      <w:tabs>
        <w:tab w:val="center" w:pos="4320"/>
        <w:tab w:val="right" w:pos="8640"/>
      </w:tabs>
    </w:pPr>
  </w:style>
  <w:style w:type="character" w:styleId="PageNumber">
    <w:name w:val="page number"/>
    <w:basedOn w:val="DefaultParagraphFont"/>
    <w:rsid w:val="008A08D4"/>
  </w:style>
  <w:style w:type="paragraph" w:styleId="BalloonText">
    <w:name w:val="Balloon Text"/>
    <w:basedOn w:val="Normal"/>
    <w:link w:val="BalloonTextChar"/>
    <w:uiPriority w:val="99"/>
    <w:semiHidden/>
    <w:unhideWhenUsed/>
    <w:rsid w:val="00214C84"/>
    <w:rPr>
      <w:rFonts w:ascii="Tahoma" w:hAnsi="Tahoma" w:cs="Tahoma"/>
      <w:sz w:val="16"/>
      <w:szCs w:val="16"/>
    </w:rPr>
  </w:style>
  <w:style w:type="character" w:customStyle="1" w:styleId="BalloonTextChar">
    <w:name w:val="Balloon Text Char"/>
    <w:basedOn w:val="DefaultParagraphFont"/>
    <w:link w:val="BalloonText"/>
    <w:uiPriority w:val="99"/>
    <w:semiHidden/>
    <w:rsid w:val="00214C84"/>
    <w:rPr>
      <w:rFonts w:ascii="Tahoma" w:hAnsi="Tahoma" w:cs="Tahoma"/>
      <w:sz w:val="16"/>
      <w:szCs w:val="16"/>
    </w:rPr>
  </w:style>
  <w:style w:type="character" w:styleId="Hyperlink">
    <w:name w:val="Hyperlink"/>
    <w:uiPriority w:val="99"/>
    <w:rsid w:val="00B258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176169">
      <w:bodyDiv w:val="1"/>
      <w:marLeft w:val="0"/>
      <w:marRight w:val="0"/>
      <w:marTop w:val="0"/>
      <w:marBottom w:val="0"/>
      <w:divBdr>
        <w:top w:val="none" w:sz="0" w:space="0" w:color="auto"/>
        <w:left w:val="none" w:sz="0" w:space="0" w:color="auto"/>
        <w:bottom w:val="none" w:sz="0" w:space="0" w:color="auto"/>
        <w:right w:val="none" w:sz="0" w:space="0" w:color="auto"/>
      </w:divBdr>
      <w:divsChild>
        <w:div w:id="180048225">
          <w:marLeft w:val="0"/>
          <w:marRight w:val="0"/>
          <w:marTop w:val="0"/>
          <w:marBottom w:val="0"/>
          <w:divBdr>
            <w:top w:val="none" w:sz="0" w:space="0" w:color="auto"/>
            <w:left w:val="none" w:sz="0" w:space="0" w:color="auto"/>
            <w:bottom w:val="none" w:sz="0" w:space="0" w:color="auto"/>
            <w:right w:val="none" w:sz="0" w:space="0" w:color="auto"/>
          </w:divBdr>
          <w:divsChild>
            <w:div w:id="789710303">
              <w:marLeft w:val="0"/>
              <w:marRight w:val="0"/>
              <w:marTop w:val="0"/>
              <w:marBottom w:val="0"/>
              <w:divBdr>
                <w:top w:val="none" w:sz="0" w:space="0" w:color="auto"/>
                <w:left w:val="none" w:sz="0" w:space="0" w:color="auto"/>
                <w:bottom w:val="none" w:sz="0" w:space="0" w:color="auto"/>
                <w:right w:val="none" w:sz="0" w:space="0" w:color="auto"/>
              </w:divBdr>
            </w:div>
            <w:div w:id="1146360547">
              <w:marLeft w:val="0"/>
              <w:marRight w:val="0"/>
              <w:marTop w:val="0"/>
              <w:marBottom w:val="0"/>
              <w:divBdr>
                <w:top w:val="none" w:sz="0" w:space="0" w:color="auto"/>
                <w:left w:val="none" w:sz="0" w:space="0" w:color="auto"/>
                <w:bottom w:val="none" w:sz="0" w:space="0" w:color="auto"/>
                <w:right w:val="none" w:sz="0" w:space="0" w:color="auto"/>
              </w:divBdr>
            </w:div>
            <w:div w:id="19536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78010">
      <w:bodyDiv w:val="1"/>
      <w:marLeft w:val="0"/>
      <w:marRight w:val="0"/>
      <w:marTop w:val="0"/>
      <w:marBottom w:val="0"/>
      <w:divBdr>
        <w:top w:val="none" w:sz="0" w:space="0" w:color="auto"/>
        <w:left w:val="none" w:sz="0" w:space="0" w:color="auto"/>
        <w:bottom w:val="none" w:sz="0" w:space="0" w:color="auto"/>
        <w:right w:val="none" w:sz="0" w:space="0" w:color="auto"/>
      </w:divBdr>
      <w:divsChild>
        <w:div w:id="856698614">
          <w:marLeft w:val="0"/>
          <w:marRight w:val="0"/>
          <w:marTop w:val="0"/>
          <w:marBottom w:val="0"/>
          <w:divBdr>
            <w:top w:val="none" w:sz="0" w:space="0" w:color="auto"/>
            <w:left w:val="none" w:sz="0" w:space="0" w:color="auto"/>
            <w:bottom w:val="none" w:sz="0" w:space="0" w:color="auto"/>
            <w:right w:val="none" w:sz="0" w:space="0" w:color="auto"/>
          </w:divBdr>
          <w:divsChild>
            <w:div w:id="1002196518">
              <w:marLeft w:val="0"/>
              <w:marRight w:val="0"/>
              <w:marTop w:val="0"/>
              <w:marBottom w:val="0"/>
              <w:divBdr>
                <w:top w:val="none" w:sz="0" w:space="0" w:color="auto"/>
                <w:left w:val="none" w:sz="0" w:space="0" w:color="auto"/>
                <w:bottom w:val="none" w:sz="0" w:space="0" w:color="auto"/>
                <w:right w:val="none" w:sz="0" w:space="0" w:color="auto"/>
              </w:divBdr>
            </w:div>
            <w:div w:id="20170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0163">
      <w:bodyDiv w:val="1"/>
      <w:marLeft w:val="0"/>
      <w:marRight w:val="0"/>
      <w:marTop w:val="0"/>
      <w:marBottom w:val="0"/>
      <w:divBdr>
        <w:top w:val="none" w:sz="0" w:space="0" w:color="auto"/>
        <w:left w:val="none" w:sz="0" w:space="0" w:color="auto"/>
        <w:bottom w:val="none" w:sz="0" w:space="0" w:color="auto"/>
        <w:right w:val="none" w:sz="0" w:space="0" w:color="auto"/>
      </w:divBdr>
      <w:divsChild>
        <w:div w:id="304354710">
          <w:marLeft w:val="0"/>
          <w:marRight w:val="0"/>
          <w:marTop w:val="0"/>
          <w:marBottom w:val="0"/>
          <w:divBdr>
            <w:top w:val="none" w:sz="0" w:space="0" w:color="auto"/>
            <w:left w:val="none" w:sz="0" w:space="0" w:color="auto"/>
            <w:bottom w:val="none" w:sz="0" w:space="0" w:color="auto"/>
            <w:right w:val="none" w:sz="0" w:space="0" w:color="auto"/>
          </w:divBdr>
          <w:divsChild>
            <w:div w:id="48963425">
              <w:marLeft w:val="0"/>
              <w:marRight w:val="0"/>
              <w:marTop w:val="0"/>
              <w:marBottom w:val="0"/>
              <w:divBdr>
                <w:top w:val="none" w:sz="0" w:space="0" w:color="auto"/>
                <w:left w:val="none" w:sz="0" w:space="0" w:color="auto"/>
                <w:bottom w:val="none" w:sz="0" w:space="0" w:color="auto"/>
                <w:right w:val="none" w:sz="0" w:space="0" w:color="auto"/>
              </w:divBdr>
            </w:div>
            <w:div w:id="862549854">
              <w:marLeft w:val="0"/>
              <w:marRight w:val="0"/>
              <w:marTop w:val="0"/>
              <w:marBottom w:val="0"/>
              <w:divBdr>
                <w:top w:val="none" w:sz="0" w:space="0" w:color="auto"/>
                <w:left w:val="none" w:sz="0" w:space="0" w:color="auto"/>
                <w:bottom w:val="none" w:sz="0" w:space="0" w:color="auto"/>
                <w:right w:val="none" w:sz="0" w:space="0" w:color="auto"/>
              </w:divBdr>
            </w:div>
            <w:div w:id="1408109889">
              <w:marLeft w:val="0"/>
              <w:marRight w:val="0"/>
              <w:marTop w:val="0"/>
              <w:marBottom w:val="0"/>
              <w:divBdr>
                <w:top w:val="none" w:sz="0" w:space="0" w:color="auto"/>
                <w:left w:val="none" w:sz="0" w:space="0" w:color="auto"/>
                <w:bottom w:val="none" w:sz="0" w:space="0" w:color="auto"/>
                <w:right w:val="none" w:sz="0" w:space="0" w:color="auto"/>
              </w:divBdr>
            </w:div>
            <w:div w:id="18346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09919">
      <w:bodyDiv w:val="1"/>
      <w:marLeft w:val="0"/>
      <w:marRight w:val="0"/>
      <w:marTop w:val="0"/>
      <w:marBottom w:val="0"/>
      <w:divBdr>
        <w:top w:val="none" w:sz="0" w:space="0" w:color="auto"/>
        <w:left w:val="none" w:sz="0" w:space="0" w:color="auto"/>
        <w:bottom w:val="none" w:sz="0" w:space="0" w:color="auto"/>
        <w:right w:val="none" w:sz="0" w:space="0" w:color="auto"/>
      </w:divBdr>
      <w:divsChild>
        <w:div w:id="1586039460">
          <w:marLeft w:val="0"/>
          <w:marRight w:val="0"/>
          <w:marTop w:val="0"/>
          <w:marBottom w:val="0"/>
          <w:divBdr>
            <w:top w:val="none" w:sz="0" w:space="0" w:color="auto"/>
            <w:left w:val="none" w:sz="0" w:space="0" w:color="auto"/>
            <w:bottom w:val="none" w:sz="0" w:space="0" w:color="auto"/>
            <w:right w:val="none" w:sz="0" w:space="0" w:color="auto"/>
          </w:divBdr>
          <w:divsChild>
            <w:div w:id="971982268">
              <w:marLeft w:val="0"/>
              <w:marRight w:val="0"/>
              <w:marTop w:val="0"/>
              <w:marBottom w:val="0"/>
              <w:divBdr>
                <w:top w:val="none" w:sz="0" w:space="0" w:color="auto"/>
                <w:left w:val="none" w:sz="0" w:space="0" w:color="auto"/>
                <w:bottom w:val="none" w:sz="0" w:space="0" w:color="auto"/>
                <w:right w:val="none" w:sz="0" w:space="0" w:color="auto"/>
              </w:divBdr>
            </w:div>
            <w:div w:id="1825127458">
              <w:marLeft w:val="0"/>
              <w:marRight w:val="0"/>
              <w:marTop w:val="0"/>
              <w:marBottom w:val="0"/>
              <w:divBdr>
                <w:top w:val="none" w:sz="0" w:space="0" w:color="auto"/>
                <w:left w:val="none" w:sz="0" w:space="0" w:color="auto"/>
                <w:bottom w:val="none" w:sz="0" w:space="0" w:color="auto"/>
                <w:right w:val="none" w:sz="0" w:space="0" w:color="auto"/>
              </w:divBdr>
            </w:div>
            <w:div w:id="20107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4836">
      <w:bodyDiv w:val="1"/>
      <w:marLeft w:val="0"/>
      <w:marRight w:val="0"/>
      <w:marTop w:val="0"/>
      <w:marBottom w:val="0"/>
      <w:divBdr>
        <w:top w:val="none" w:sz="0" w:space="0" w:color="auto"/>
        <w:left w:val="none" w:sz="0" w:space="0" w:color="auto"/>
        <w:bottom w:val="none" w:sz="0" w:space="0" w:color="auto"/>
        <w:right w:val="none" w:sz="0" w:space="0" w:color="auto"/>
      </w:divBdr>
      <w:divsChild>
        <w:div w:id="324284829">
          <w:marLeft w:val="0"/>
          <w:marRight w:val="0"/>
          <w:marTop w:val="0"/>
          <w:marBottom w:val="0"/>
          <w:divBdr>
            <w:top w:val="none" w:sz="0" w:space="0" w:color="auto"/>
            <w:left w:val="none" w:sz="0" w:space="0" w:color="auto"/>
            <w:bottom w:val="none" w:sz="0" w:space="0" w:color="auto"/>
            <w:right w:val="none" w:sz="0" w:space="0" w:color="auto"/>
          </w:divBdr>
          <w:divsChild>
            <w:div w:id="91976902">
              <w:marLeft w:val="0"/>
              <w:marRight w:val="0"/>
              <w:marTop w:val="0"/>
              <w:marBottom w:val="0"/>
              <w:divBdr>
                <w:top w:val="none" w:sz="0" w:space="0" w:color="auto"/>
                <w:left w:val="none" w:sz="0" w:space="0" w:color="auto"/>
                <w:bottom w:val="none" w:sz="0" w:space="0" w:color="auto"/>
                <w:right w:val="none" w:sz="0" w:space="0" w:color="auto"/>
              </w:divBdr>
            </w:div>
            <w:div w:id="391656895">
              <w:marLeft w:val="0"/>
              <w:marRight w:val="0"/>
              <w:marTop w:val="0"/>
              <w:marBottom w:val="0"/>
              <w:divBdr>
                <w:top w:val="none" w:sz="0" w:space="0" w:color="auto"/>
                <w:left w:val="none" w:sz="0" w:space="0" w:color="auto"/>
                <w:bottom w:val="none" w:sz="0" w:space="0" w:color="auto"/>
                <w:right w:val="none" w:sz="0" w:space="0" w:color="auto"/>
              </w:divBdr>
            </w:div>
            <w:div w:id="1047802474">
              <w:marLeft w:val="0"/>
              <w:marRight w:val="0"/>
              <w:marTop w:val="0"/>
              <w:marBottom w:val="0"/>
              <w:divBdr>
                <w:top w:val="none" w:sz="0" w:space="0" w:color="auto"/>
                <w:left w:val="none" w:sz="0" w:space="0" w:color="auto"/>
                <w:bottom w:val="none" w:sz="0" w:space="0" w:color="auto"/>
                <w:right w:val="none" w:sz="0" w:space="0" w:color="auto"/>
              </w:divBdr>
            </w:div>
            <w:div w:id="20569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wmf"/><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7.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8.jpeg"/><Relationship Id="rId10" Type="http://schemas.openxmlformats.org/officeDocument/2006/relationships/image" Target="media/image1.emf"/><Relationship Id="rId19" Type="http://schemas.openxmlformats.org/officeDocument/2006/relationships/oleObject" Target="embeddings/oleObject1.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DF04-50BC-46E7-81A1-2CE83CFD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2949</Words>
  <Characters>16812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Example A4.2</vt:lpstr>
    </vt:vector>
  </TitlesOfParts>
  <Company>DEP - Commonwealth of PA</Company>
  <LinksUpToDate>false</LinksUpToDate>
  <CharactersWithSpaces>19722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A4.2</dc:title>
  <dc:subject>SERO Quick Domenico Model Manual</dc:subject>
  <dc:creator>C. David Brown</dc:creator>
  <dc:description>PA DEP | SERO | ECB
Example problem for draft regional Quick Domenico user's guide.</dc:description>
  <cp:lastModifiedBy>Build</cp:lastModifiedBy>
  <cp:revision>4</cp:revision>
  <cp:lastPrinted>2014-02-27T20:51:00Z</cp:lastPrinted>
  <dcterms:created xsi:type="dcterms:W3CDTF">2014-03-17T17:18:00Z</dcterms:created>
  <dcterms:modified xsi:type="dcterms:W3CDTF">2014-03-17T17:21:00Z</dcterms:modified>
</cp:coreProperties>
</file>