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896E" w14:textId="184C1C68" w:rsidR="00A32E1C" w:rsidRPr="0090618B" w:rsidRDefault="5F438A04" w:rsidP="2C70F3DA">
      <w:pPr>
        <w:spacing w:line="257" w:lineRule="auto"/>
      </w:pPr>
      <w:r>
        <w:rPr>
          <w:noProof/>
        </w:rPr>
        <w:drawing>
          <wp:inline distT="0" distB="0" distL="0" distR="0" wp14:anchorId="02E80260" wp14:editId="12A9713E">
            <wp:extent cx="2271184" cy="475364"/>
            <wp:effectExtent l="0" t="0" r="0" b="0"/>
            <wp:docPr id="1180768954" name="Picture 1180768954" descr="PA Department of Environmental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184" cy="47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B22">
        <w:t xml:space="preserve">                                                                                            12/19/2022</w:t>
      </w:r>
      <w:r w:rsidR="00AF1320">
        <w:br/>
      </w:r>
    </w:p>
    <w:p w14:paraId="27A0BCF8" w14:textId="732539DB" w:rsidR="00A32E1C" w:rsidRPr="0090618B" w:rsidRDefault="41F4BBA7" w:rsidP="2C70F3DA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76E0D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Additional RACT Requirements for Major Sources of NO</w:t>
      </w:r>
      <w:r w:rsidRPr="176E0D9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vertAlign w:val="subscript"/>
        </w:rPr>
        <w:t xml:space="preserve">x </w:t>
      </w:r>
      <w:r w:rsidRPr="176E0D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and VOCs</w:t>
      </w:r>
    </w:p>
    <w:p w14:paraId="78F28FAD" w14:textId="77B65DC0" w:rsidR="548F8901" w:rsidRDefault="548F8901" w:rsidP="176E0D93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25 Pa Code § 129.114</w:t>
      </w:r>
      <w:r w:rsidR="0764FE99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(</w:t>
      </w:r>
      <w:proofErr w:type="spellStart"/>
      <w:r w:rsidR="0764FE99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i</w:t>
      </w:r>
      <w:proofErr w:type="spellEnd"/>
      <w:r w:rsidR="0764FE99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)</w:t>
      </w:r>
      <w:r w:rsidRPr="176E0D9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- </w:t>
      </w:r>
      <w:r w:rsidR="00223C65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Demonstrating </w:t>
      </w:r>
      <w:r w:rsidR="19565605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that c</w:t>
      </w:r>
      <w:r w:rsidR="00223C65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ompliance with § </w:t>
      </w:r>
      <w:r w:rsidR="6ACAAED7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129.99(e) assures compliance with § </w:t>
      </w:r>
      <w:r w:rsidR="00223C65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129.114(a</w:t>
      </w:r>
      <w:r w:rsidR="581B1DCD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)</w:t>
      </w:r>
      <w:r w:rsidR="00223C65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-</w:t>
      </w:r>
      <w:r w:rsidR="6C5FCDF7"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(c) and (e)-(h)</w:t>
      </w:r>
      <w:r w:rsidRPr="176E0D93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1DBC24E8" w14:textId="6CC0683D" w:rsidR="00A32E1C" w:rsidRPr="0090618B" w:rsidRDefault="1926CC68" w:rsidP="37410470">
      <w:p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>This form is intended to assist applicant</w:t>
      </w:r>
      <w:r w:rsidR="0066207F">
        <w:rPr>
          <w:rFonts w:ascii="Calibri" w:eastAsia="Calibri" w:hAnsi="Calibri" w:cs="Calibri"/>
          <w:sz w:val="24"/>
          <w:szCs w:val="24"/>
        </w:rPr>
        <w:t>s</w:t>
      </w:r>
      <w:r w:rsidRPr="32174B8B">
        <w:rPr>
          <w:rFonts w:ascii="Calibri" w:eastAsia="Calibri" w:hAnsi="Calibri" w:cs="Calibri"/>
          <w:sz w:val="24"/>
          <w:szCs w:val="24"/>
        </w:rPr>
        <w:t xml:space="preserve"> in providing </w:t>
      </w:r>
      <w:r w:rsidR="0066207F">
        <w:rPr>
          <w:rFonts w:ascii="Calibri" w:eastAsia="Calibri" w:hAnsi="Calibri" w:cs="Calibri"/>
          <w:sz w:val="24"/>
          <w:szCs w:val="24"/>
        </w:rPr>
        <w:t>the</w:t>
      </w:r>
      <w:r w:rsidR="102BB938" w:rsidRPr="32174B8B">
        <w:rPr>
          <w:rFonts w:ascii="Calibri" w:eastAsia="Calibri" w:hAnsi="Calibri" w:cs="Calibri"/>
          <w:sz w:val="24"/>
          <w:szCs w:val="24"/>
        </w:rPr>
        <w:t xml:space="preserve"> </w:t>
      </w:r>
      <w:r w:rsidRPr="32174B8B">
        <w:rPr>
          <w:rFonts w:ascii="Calibri" w:eastAsia="Calibri" w:hAnsi="Calibri" w:cs="Calibri"/>
          <w:sz w:val="24"/>
          <w:szCs w:val="24"/>
        </w:rPr>
        <w:t xml:space="preserve">information </w:t>
      </w:r>
      <w:r w:rsidR="1C63ED6F" w:rsidRPr="32174B8B">
        <w:rPr>
          <w:rFonts w:ascii="Calibri" w:eastAsia="Calibri" w:hAnsi="Calibri" w:cs="Calibri"/>
          <w:sz w:val="24"/>
          <w:szCs w:val="24"/>
        </w:rPr>
        <w:t>needed by the Department t</w:t>
      </w:r>
      <w:r w:rsidR="1D0E43E8" w:rsidRPr="32174B8B">
        <w:rPr>
          <w:rFonts w:ascii="Calibri" w:eastAsia="Calibri" w:hAnsi="Calibri" w:cs="Calibri"/>
          <w:sz w:val="24"/>
          <w:szCs w:val="24"/>
        </w:rPr>
        <w:t xml:space="preserve">o </w:t>
      </w:r>
      <w:r w:rsidR="7C33202C" w:rsidRPr="32174B8B">
        <w:rPr>
          <w:rFonts w:ascii="Calibri" w:eastAsia="Calibri" w:hAnsi="Calibri" w:cs="Calibri"/>
          <w:sz w:val="24"/>
          <w:szCs w:val="24"/>
        </w:rPr>
        <w:t>evaluate</w:t>
      </w:r>
      <w:r w:rsidR="1D0E43E8" w:rsidRPr="32174B8B">
        <w:rPr>
          <w:rFonts w:ascii="Calibri" w:eastAsia="Calibri" w:hAnsi="Calibri" w:cs="Calibri"/>
          <w:sz w:val="24"/>
          <w:szCs w:val="24"/>
        </w:rPr>
        <w:t xml:space="preserve"> whether a source or sources at a facility </w:t>
      </w:r>
      <w:r w:rsidR="324D9EE0" w:rsidRPr="32174B8B">
        <w:rPr>
          <w:rFonts w:ascii="Calibri" w:eastAsia="Calibri" w:hAnsi="Calibri" w:cs="Calibri"/>
          <w:sz w:val="24"/>
          <w:szCs w:val="24"/>
        </w:rPr>
        <w:t xml:space="preserve">demonstrate that compliance with the alternative </w:t>
      </w:r>
      <w:r w:rsidR="7BE772A0" w:rsidRPr="32174B8B">
        <w:rPr>
          <w:rFonts w:ascii="Calibri" w:eastAsia="Calibri" w:hAnsi="Calibri" w:cs="Calibri"/>
          <w:sz w:val="24"/>
          <w:szCs w:val="24"/>
        </w:rPr>
        <w:t>RACT</w:t>
      </w:r>
      <w:r w:rsidR="324D9EE0" w:rsidRPr="32174B8B">
        <w:rPr>
          <w:rFonts w:ascii="Calibri" w:eastAsia="Calibri" w:hAnsi="Calibri" w:cs="Calibri"/>
          <w:sz w:val="24"/>
          <w:szCs w:val="24"/>
        </w:rPr>
        <w:t xml:space="preserve"> requirement or </w:t>
      </w:r>
      <w:r w:rsidR="5E981AC5" w:rsidRPr="32174B8B">
        <w:rPr>
          <w:rFonts w:ascii="Calibri" w:eastAsia="Calibri" w:hAnsi="Calibri" w:cs="Calibri"/>
          <w:sz w:val="24"/>
          <w:szCs w:val="24"/>
        </w:rPr>
        <w:t xml:space="preserve">alternative </w:t>
      </w:r>
      <w:r w:rsidR="34FB38F5" w:rsidRPr="32174B8B">
        <w:rPr>
          <w:rFonts w:ascii="Calibri" w:eastAsia="Calibri" w:hAnsi="Calibri" w:cs="Calibri"/>
          <w:sz w:val="24"/>
          <w:szCs w:val="24"/>
        </w:rPr>
        <w:t>RACT</w:t>
      </w:r>
      <w:r w:rsidR="324D9EE0" w:rsidRPr="32174B8B">
        <w:rPr>
          <w:rFonts w:ascii="Calibri" w:eastAsia="Calibri" w:hAnsi="Calibri" w:cs="Calibri"/>
          <w:sz w:val="24"/>
          <w:szCs w:val="24"/>
        </w:rPr>
        <w:t xml:space="preserve"> emission limitation approved by the </w:t>
      </w:r>
      <w:r w:rsidR="72472313" w:rsidRPr="32174B8B">
        <w:rPr>
          <w:rFonts w:ascii="Calibri" w:eastAsia="Calibri" w:hAnsi="Calibri" w:cs="Calibri"/>
          <w:sz w:val="24"/>
          <w:szCs w:val="24"/>
        </w:rPr>
        <w:t>D</w:t>
      </w:r>
      <w:r w:rsidR="324D9EE0" w:rsidRPr="32174B8B">
        <w:rPr>
          <w:rFonts w:ascii="Calibri" w:eastAsia="Calibri" w:hAnsi="Calibri" w:cs="Calibri"/>
          <w:sz w:val="24"/>
          <w:szCs w:val="24"/>
        </w:rPr>
        <w:t xml:space="preserve">epartment or </w:t>
      </w:r>
      <w:r w:rsidR="0066207F">
        <w:rPr>
          <w:rFonts w:ascii="Calibri" w:eastAsia="Calibri" w:hAnsi="Calibri" w:cs="Calibri"/>
          <w:sz w:val="24"/>
          <w:szCs w:val="24"/>
        </w:rPr>
        <w:t xml:space="preserve">the </w:t>
      </w:r>
      <w:r w:rsidR="324D9EE0" w:rsidRPr="32174B8B">
        <w:rPr>
          <w:rFonts w:ascii="Calibri" w:eastAsia="Calibri" w:hAnsi="Calibri" w:cs="Calibri"/>
          <w:sz w:val="24"/>
          <w:szCs w:val="24"/>
        </w:rPr>
        <w:t>appropriate approved local air pollution control agency under § 129.99(e) (relating to alternative RACT proposal and petition for alternative compliance schedule) assure</w:t>
      </w:r>
      <w:r w:rsidR="48CB1057" w:rsidRPr="32174B8B">
        <w:rPr>
          <w:rFonts w:ascii="Calibri" w:eastAsia="Calibri" w:hAnsi="Calibri" w:cs="Calibri"/>
          <w:sz w:val="24"/>
          <w:szCs w:val="24"/>
        </w:rPr>
        <w:t>s</w:t>
      </w:r>
      <w:r w:rsidR="324D9EE0" w:rsidRPr="32174B8B">
        <w:rPr>
          <w:rFonts w:ascii="Calibri" w:eastAsia="Calibri" w:hAnsi="Calibri" w:cs="Calibri"/>
          <w:sz w:val="24"/>
          <w:szCs w:val="24"/>
        </w:rPr>
        <w:t xml:space="preserve"> compliance with the provisions in subsections</w:t>
      </w:r>
      <w:r w:rsidR="0C546DDD" w:rsidRPr="32174B8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C546DDD" w:rsidRPr="32174B8B">
        <w:rPr>
          <w:rFonts w:ascii="Calibri" w:eastAsia="Calibri" w:hAnsi="Calibri" w:cs="Calibri"/>
          <w:sz w:val="24"/>
          <w:szCs w:val="24"/>
        </w:rPr>
        <w:t xml:space="preserve">25 Pa Code </w:t>
      </w:r>
      <w:r w:rsidR="0C546DDD" w:rsidRPr="32174B8B">
        <w:rPr>
          <w:rFonts w:ascii="Calibri" w:eastAsia="Calibri" w:hAnsi="Calibri" w:cs="Calibri"/>
          <w:i/>
          <w:iCs/>
          <w:sz w:val="24"/>
          <w:szCs w:val="24"/>
        </w:rPr>
        <w:t>§ 129.114(a)-(c) and (e)-(h)</w:t>
      </w:r>
      <w:r w:rsidR="324D9EE0" w:rsidRPr="32174B8B">
        <w:rPr>
          <w:rFonts w:ascii="Calibri" w:eastAsia="Calibri" w:hAnsi="Calibri" w:cs="Calibri"/>
          <w:sz w:val="24"/>
          <w:szCs w:val="24"/>
        </w:rPr>
        <w:t>, except for sources subject to § 129.112(c)(11) or (</w:t>
      </w:r>
      <w:proofErr w:type="spellStart"/>
      <w:r w:rsidR="324D9EE0" w:rsidRPr="32174B8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324D9EE0" w:rsidRPr="32174B8B">
        <w:rPr>
          <w:rFonts w:ascii="Calibri" w:eastAsia="Calibri" w:hAnsi="Calibri" w:cs="Calibri"/>
          <w:sz w:val="24"/>
          <w:szCs w:val="24"/>
        </w:rPr>
        <w:t xml:space="preserve">)—(k). </w:t>
      </w:r>
    </w:p>
    <w:p w14:paraId="09332186" w14:textId="3D9CD3EB" w:rsidR="00A32E1C" w:rsidRPr="0090618B" w:rsidRDefault="4EE7DE05" w:rsidP="37410470">
      <w:p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 xml:space="preserve">This provision allows for RACT III compliance using an abbreviated analysis </w:t>
      </w:r>
      <w:r w:rsidR="0964FBE9" w:rsidRPr="32174B8B">
        <w:rPr>
          <w:rFonts w:ascii="Calibri" w:eastAsia="Calibri" w:hAnsi="Calibri" w:cs="Calibri"/>
          <w:sz w:val="24"/>
          <w:szCs w:val="24"/>
        </w:rPr>
        <w:t xml:space="preserve">by providing the Department with the analysis </w:t>
      </w:r>
      <w:r w:rsidR="0CD0037B" w:rsidRPr="32174B8B">
        <w:rPr>
          <w:rFonts w:ascii="Calibri" w:eastAsia="Calibri" w:hAnsi="Calibri" w:cs="Calibri"/>
          <w:sz w:val="24"/>
          <w:szCs w:val="24"/>
        </w:rPr>
        <w:t>done</w:t>
      </w:r>
      <w:r w:rsidR="0964FBE9" w:rsidRPr="32174B8B">
        <w:rPr>
          <w:rFonts w:ascii="Calibri" w:eastAsia="Calibri" w:hAnsi="Calibri" w:cs="Calibri"/>
          <w:sz w:val="24"/>
          <w:szCs w:val="24"/>
        </w:rPr>
        <w:t xml:space="preserve"> on the same source </w:t>
      </w:r>
      <w:r w:rsidR="0CD0037B" w:rsidRPr="32174B8B">
        <w:rPr>
          <w:rFonts w:ascii="Calibri" w:eastAsia="Calibri" w:hAnsi="Calibri" w:cs="Calibri"/>
          <w:sz w:val="24"/>
          <w:szCs w:val="24"/>
        </w:rPr>
        <w:t xml:space="preserve">for RACT II. </w:t>
      </w:r>
    </w:p>
    <w:p w14:paraId="24BCEF76" w14:textId="6BAEBBC8" w:rsidR="00017D90" w:rsidRPr="0090618B" w:rsidRDefault="09753961" w:rsidP="37410470">
      <w:p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 xml:space="preserve">This form must be submitted to the Department </w:t>
      </w:r>
      <w:r w:rsidR="196C610C" w:rsidRPr="32174B8B">
        <w:rPr>
          <w:rFonts w:ascii="Calibri" w:eastAsia="Calibri" w:hAnsi="Calibri" w:cs="Calibri"/>
          <w:sz w:val="24"/>
          <w:szCs w:val="24"/>
        </w:rPr>
        <w:t xml:space="preserve">as </w:t>
      </w:r>
      <w:r w:rsidR="00C63986">
        <w:rPr>
          <w:rFonts w:ascii="Calibri" w:eastAsia="Calibri" w:hAnsi="Calibri" w:cs="Calibri"/>
          <w:sz w:val="24"/>
          <w:szCs w:val="24"/>
        </w:rPr>
        <w:t xml:space="preserve">soon as </w:t>
      </w:r>
      <w:r w:rsidR="196C610C" w:rsidRPr="32174B8B">
        <w:rPr>
          <w:rFonts w:ascii="Calibri" w:eastAsia="Calibri" w:hAnsi="Calibri" w:cs="Calibri"/>
          <w:sz w:val="24"/>
          <w:szCs w:val="24"/>
        </w:rPr>
        <w:t>practicable</w:t>
      </w:r>
      <w:r w:rsidR="00C63986">
        <w:rPr>
          <w:rFonts w:ascii="Calibri" w:eastAsia="Calibri" w:hAnsi="Calibri" w:cs="Calibri"/>
          <w:sz w:val="24"/>
          <w:szCs w:val="24"/>
        </w:rPr>
        <w:t>,</w:t>
      </w:r>
      <w:r w:rsidR="196C610C" w:rsidRPr="32174B8B">
        <w:rPr>
          <w:rFonts w:ascii="Calibri" w:eastAsia="Calibri" w:hAnsi="Calibri" w:cs="Calibri"/>
          <w:sz w:val="24"/>
          <w:szCs w:val="24"/>
        </w:rPr>
        <w:t xml:space="preserve"> but no later </w:t>
      </w:r>
      <w:r w:rsidR="5AFF3D22" w:rsidRPr="32174B8B">
        <w:rPr>
          <w:rFonts w:ascii="Calibri" w:eastAsia="Calibri" w:hAnsi="Calibri" w:cs="Calibri"/>
          <w:sz w:val="24"/>
          <w:szCs w:val="24"/>
        </w:rPr>
        <w:t>than December</w:t>
      </w:r>
      <w:r w:rsidR="7B39A98F" w:rsidRPr="32174B8B">
        <w:rPr>
          <w:rFonts w:ascii="Calibri" w:eastAsia="Calibri" w:hAnsi="Calibri" w:cs="Calibri"/>
          <w:sz w:val="24"/>
          <w:szCs w:val="24"/>
        </w:rPr>
        <w:t xml:space="preserve"> 31</w:t>
      </w:r>
      <w:r w:rsidR="7B39A98F" w:rsidRPr="32174B8B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="6BEC7878" w:rsidRPr="32174B8B">
        <w:rPr>
          <w:rFonts w:ascii="Calibri" w:eastAsia="Calibri" w:hAnsi="Calibri" w:cs="Calibri"/>
          <w:sz w:val="24"/>
          <w:szCs w:val="24"/>
        </w:rPr>
        <w:t>, 2022</w:t>
      </w:r>
      <w:r w:rsidR="7B39A98F" w:rsidRPr="32174B8B">
        <w:rPr>
          <w:rFonts w:ascii="Calibri" w:eastAsia="Calibri" w:hAnsi="Calibri" w:cs="Calibri"/>
          <w:sz w:val="24"/>
          <w:szCs w:val="24"/>
        </w:rPr>
        <w:t>.</w:t>
      </w:r>
    </w:p>
    <w:p w14:paraId="090F7B8E" w14:textId="4EFAC7CE" w:rsidR="00DC26A4" w:rsidRPr="0090618B" w:rsidRDefault="3FD92150" w:rsidP="37410470">
      <w:p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 xml:space="preserve">Please provide a list of sources </w:t>
      </w:r>
      <w:r w:rsidR="1C551927" w:rsidRPr="32174B8B">
        <w:rPr>
          <w:rFonts w:ascii="Calibri" w:eastAsia="Calibri" w:hAnsi="Calibri" w:cs="Calibri"/>
          <w:sz w:val="24"/>
          <w:szCs w:val="24"/>
        </w:rPr>
        <w:t xml:space="preserve">that </w:t>
      </w:r>
      <w:r w:rsidR="0A33E1F5" w:rsidRPr="32174B8B">
        <w:rPr>
          <w:rFonts w:ascii="Calibri" w:eastAsia="Calibri" w:hAnsi="Calibri" w:cs="Calibri"/>
          <w:sz w:val="24"/>
          <w:szCs w:val="24"/>
        </w:rPr>
        <w:t xml:space="preserve">the </w:t>
      </w:r>
      <w:r w:rsidR="1C551927" w:rsidRPr="32174B8B">
        <w:rPr>
          <w:rFonts w:ascii="Calibri" w:eastAsia="Calibri" w:hAnsi="Calibri" w:cs="Calibri"/>
          <w:sz w:val="24"/>
          <w:szCs w:val="24"/>
        </w:rPr>
        <w:t xml:space="preserve">owner or operator proposes to comply </w:t>
      </w:r>
      <w:r w:rsidR="1D6A7CF3" w:rsidRPr="32174B8B">
        <w:rPr>
          <w:rFonts w:ascii="Calibri" w:eastAsia="Calibri" w:hAnsi="Calibri" w:cs="Calibri"/>
          <w:sz w:val="24"/>
          <w:szCs w:val="24"/>
        </w:rPr>
        <w:t>with RACT III through 129.114(</w:t>
      </w:r>
      <w:proofErr w:type="spellStart"/>
      <w:r w:rsidR="1D6A7CF3" w:rsidRPr="32174B8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1D6A7CF3" w:rsidRPr="32174B8B">
        <w:rPr>
          <w:rFonts w:ascii="Calibri" w:eastAsia="Calibri" w:hAnsi="Calibri" w:cs="Calibri"/>
          <w:sz w:val="24"/>
          <w:szCs w:val="24"/>
        </w:rPr>
        <w:t>)</w:t>
      </w:r>
      <w:r w:rsidR="2925E2D2" w:rsidRPr="32174B8B">
        <w:rPr>
          <w:rFonts w:ascii="Calibri" w:eastAsia="Calibri" w:hAnsi="Calibri" w:cs="Calibri"/>
          <w:sz w:val="24"/>
          <w:szCs w:val="24"/>
        </w:rPr>
        <w:t xml:space="preserve"> in </w:t>
      </w:r>
      <w:r w:rsidR="0AD7B69D" w:rsidRPr="32174B8B">
        <w:rPr>
          <w:rFonts w:ascii="Calibri" w:eastAsia="Calibri" w:hAnsi="Calibri" w:cs="Calibri"/>
          <w:sz w:val="24"/>
          <w:szCs w:val="24"/>
        </w:rPr>
        <w:t>T</w:t>
      </w:r>
      <w:r w:rsidR="2925E2D2" w:rsidRPr="32174B8B">
        <w:rPr>
          <w:rFonts w:ascii="Calibri" w:eastAsia="Calibri" w:hAnsi="Calibri" w:cs="Calibri"/>
          <w:sz w:val="24"/>
          <w:szCs w:val="24"/>
        </w:rPr>
        <w:t>ab</w:t>
      </w:r>
      <w:r w:rsidR="35572BA6" w:rsidRPr="32174B8B">
        <w:rPr>
          <w:rFonts w:ascii="Calibri" w:eastAsia="Calibri" w:hAnsi="Calibri" w:cs="Calibri"/>
          <w:sz w:val="24"/>
          <w:szCs w:val="24"/>
        </w:rPr>
        <w:t>le 1 using the instructions below</w:t>
      </w:r>
      <w:r w:rsidR="2925E2D2" w:rsidRPr="32174B8B">
        <w:rPr>
          <w:rFonts w:ascii="Calibri" w:eastAsia="Calibri" w:hAnsi="Calibri" w:cs="Calibri"/>
          <w:sz w:val="24"/>
          <w:szCs w:val="24"/>
        </w:rPr>
        <w:t>.</w:t>
      </w:r>
    </w:p>
    <w:p w14:paraId="06E9CE59" w14:textId="2D840467" w:rsidR="00546015" w:rsidRPr="0090618B" w:rsidRDefault="67201AAC" w:rsidP="37410470">
      <w:p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 xml:space="preserve">The basic information requested here can be found in section A and H of </w:t>
      </w:r>
      <w:r w:rsidR="344C5D3B" w:rsidRPr="32174B8B">
        <w:rPr>
          <w:rFonts w:ascii="Calibri" w:eastAsia="Calibri" w:hAnsi="Calibri" w:cs="Calibri"/>
          <w:sz w:val="24"/>
          <w:szCs w:val="24"/>
        </w:rPr>
        <w:t xml:space="preserve">the </w:t>
      </w:r>
      <w:r w:rsidR="604FE3EE" w:rsidRPr="32174B8B">
        <w:rPr>
          <w:rFonts w:ascii="Calibri" w:eastAsia="Calibri" w:hAnsi="Calibri" w:cs="Calibri"/>
          <w:sz w:val="24"/>
          <w:szCs w:val="24"/>
        </w:rPr>
        <w:t>facility’s operating</w:t>
      </w:r>
      <w:r w:rsidRPr="32174B8B">
        <w:rPr>
          <w:rFonts w:ascii="Calibri" w:eastAsia="Calibri" w:hAnsi="Calibri" w:cs="Calibri"/>
          <w:sz w:val="24"/>
          <w:szCs w:val="24"/>
        </w:rPr>
        <w:t xml:space="preserve"> permit</w:t>
      </w:r>
      <w:r w:rsidR="5EDC2885" w:rsidRPr="32174B8B">
        <w:rPr>
          <w:rFonts w:ascii="Calibri" w:eastAsia="Calibri" w:hAnsi="Calibri" w:cs="Calibri"/>
          <w:sz w:val="24"/>
          <w:szCs w:val="24"/>
        </w:rPr>
        <w:t>.</w:t>
      </w:r>
    </w:p>
    <w:p w14:paraId="0E9CCE7E" w14:textId="64747256" w:rsidR="00546015" w:rsidRPr="0090618B" w:rsidRDefault="429E026D" w:rsidP="37410470">
      <w:p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 xml:space="preserve">If the source was evaluated for multiple control </w:t>
      </w:r>
      <w:r w:rsidR="6BEC7878" w:rsidRPr="32174B8B">
        <w:rPr>
          <w:rFonts w:ascii="Calibri" w:eastAsia="Calibri" w:hAnsi="Calibri" w:cs="Calibri"/>
          <w:sz w:val="24"/>
          <w:szCs w:val="24"/>
        </w:rPr>
        <w:t>devices,</w:t>
      </w:r>
      <w:r w:rsidRPr="32174B8B">
        <w:rPr>
          <w:rFonts w:ascii="Calibri" w:eastAsia="Calibri" w:hAnsi="Calibri" w:cs="Calibri"/>
          <w:sz w:val="24"/>
          <w:szCs w:val="24"/>
        </w:rPr>
        <w:t xml:space="preserve"> </w:t>
      </w:r>
      <w:r w:rsidR="49F7BCED" w:rsidRPr="32174B8B">
        <w:rPr>
          <w:rFonts w:ascii="Calibri" w:eastAsia="Calibri" w:hAnsi="Calibri" w:cs="Calibri"/>
          <w:sz w:val="24"/>
          <w:szCs w:val="24"/>
        </w:rPr>
        <w:t xml:space="preserve">please list the </w:t>
      </w:r>
      <w:r w:rsidR="4FD12D1C" w:rsidRPr="32174B8B">
        <w:rPr>
          <w:rFonts w:ascii="Calibri" w:eastAsia="Calibri" w:hAnsi="Calibri" w:cs="Calibri"/>
          <w:sz w:val="24"/>
          <w:szCs w:val="24"/>
        </w:rPr>
        <w:t xml:space="preserve">same </w:t>
      </w:r>
      <w:r w:rsidR="49F7BCED" w:rsidRPr="32174B8B">
        <w:rPr>
          <w:rFonts w:ascii="Calibri" w:eastAsia="Calibri" w:hAnsi="Calibri" w:cs="Calibri"/>
          <w:sz w:val="24"/>
          <w:szCs w:val="24"/>
        </w:rPr>
        <w:t xml:space="preserve">source multiple times </w:t>
      </w:r>
      <w:r w:rsidR="31E8496E" w:rsidRPr="32174B8B">
        <w:rPr>
          <w:rFonts w:ascii="Calibri" w:eastAsia="Calibri" w:hAnsi="Calibri" w:cs="Calibri"/>
          <w:sz w:val="24"/>
          <w:szCs w:val="24"/>
        </w:rPr>
        <w:t>so that every source</w:t>
      </w:r>
      <w:r w:rsidR="14EFE126" w:rsidRPr="32174B8B">
        <w:rPr>
          <w:rFonts w:ascii="Calibri" w:eastAsia="Calibri" w:hAnsi="Calibri" w:cs="Calibri"/>
          <w:sz w:val="24"/>
          <w:szCs w:val="24"/>
        </w:rPr>
        <w:t>/</w:t>
      </w:r>
      <w:r w:rsidR="31E8496E" w:rsidRPr="32174B8B">
        <w:rPr>
          <w:rFonts w:ascii="Calibri" w:eastAsia="Calibri" w:hAnsi="Calibri" w:cs="Calibri"/>
          <w:sz w:val="24"/>
          <w:szCs w:val="24"/>
        </w:rPr>
        <w:t>control device combination is listed</w:t>
      </w:r>
      <w:r w:rsidR="3F2A30EA" w:rsidRPr="32174B8B">
        <w:rPr>
          <w:rFonts w:ascii="Calibri" w:eastAsia="Calibri" w:hAnsi="Calibri" w:cs="Calibri"/>
          <w:sz w:val="24"/>
          <w:szCs w:val="24"/>
        </w:rPr>
        <w:t>.</w:t>
      </w:r>
    </w:p>
    <w:p w14:paraId="6D80AE8D" w14:textId="62E691E8" w:rsidR="002D39C5" w:rsidRPr="0090618B" w:rsidRDefault="5B67B707" w:rsidP="37410470">
      <w:p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 xml:space="preserve">If one control device was evaluated to control multiple sources, </w:t>
      </w:r>
      <w:r w:rsidR="3CD8B5E4" w:rsidRPr="32174B8B">
        <w:rPr>
          <w:rFonts w:ascii="Calibri" w:eastAsia="Calibri" w:hAnsi="Calibri" w:cs="Calibri"/>
          <w:sz w:val="24"/>
          <w:szCs w:val="24"/>
        </w:rPr>
        <w:t xml:space="preserve">please list all source ID’s which the control device would control in the source ID section </w:t>
      </w:r>
      <w:r w:rsidR="46D5A0A3" w:rsidRPr="32174B8B">
        <w:rPr>
          <w:rFonts w:ascii="Calibri" w:eastAsia="Calibri" w:hAnsi="Calibri" w:cs="Calibri"/>
          <w:sz w:val="24"/>
          <w:szCs w:val="24"/>
        </w:rPr>
        <w:t xml:space="preserve">while </w:t>
      </w:r>
      <w:r w:rsidR="16DA609F" w:rsidRPr="32174B8B">
        <w:rPr>
          <w:rFonts w:ascii="Calibri" w:eastAsia="Calibri" w:hAnsi="Calibri" w:cs="Calibri"/>
          <w:sz w:val="24"/>
          <w:szCs w:val="24"/>
        </w:rPr>
        <w:t>skipping</w:t>
      </w:r>
      <w:r w:rsidR="46D5A0A3" w:rsidRPr="32174B8B">
        <w:rPr>
          <w:rFonts w:ascii="Calibri" w:eastAsia="Calibri" w:hAnsi="Calibri" w:cs="Calibri"/>
          <w:sz w:val="24"/>
          <w:szCs w:val="24"/>
        </w:rPr>
        <w:t xml:space="preserve"> the source name, make, model, and location sections</w:t>
      </w:r>
      <w:r w:rsidR="4712DB6B" w:rsidRPr="32174B8B">
        <w:rPr>
          <w:rFonts w:ascii="Calibri" w:eastAsia="Calibri" w:hAnsi="Calibri" w:cs="Calibri"/>
          <w:sz w:val="24"/>
          <w:szCs w:val="24"/>
        </w:rPr>
        <w:t>. Please treat the “source group” as a source for the purposes of the rest of this form.</w:t>
      </w:r>
    </w:p>
    <w:p w14:paraId="5ED6E446" w14:textId="74EA1398" w:rsidR="0015356B" w:rsidRPr="0090618B" w:rsidRDefault="098C415C" w:rsidP="37410470">
      <w:p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 xml:space="preserve">Please choose one of the </w:t>
      </w:r>
      <w:r w:rsidR="68F554F2" w:rsidRPr="32174B8B">
        <w:rPr>
          <w:rFonts w:ascii="Calibri" w:eastAsia="Calibri" w:hAnsi="Calibri" w:cs="Calibri"/>
          <w:sz w:val="24"/>
          <w:szCs w:val="24"/>
        </w:rPr>
        <w:t>following provisions</w:t>
      </w:r>
      <w:r w:rsidRPr="32174B8B">
        <w:rPr>
          <w:rFonts w:ascii="Calibri" w:eastAsia="Calibri" w:hAnsi="Calibri" w:cs="Calibri"/>
          <w:sz w:val="24"/>
          <w:szCs w:val="24"/>
        </w:rPr>
        <w:t xml:space="preserve"> of 129.114(</w:t>
      </w:r>
      <w:proofErr w:type="spellStart"/>
      <w:r w:rsidRPr="32174B8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32174B8B">
        <w:rPr>
          <w:rFonts w:ascii="Calibri" w:eastAsia="Calibri" w:hAnsi="Calibri" w:cs="Calibri"/>
          <w:sz w:val="24"/>
          <w:szCs w:val="24"/>
        </w:rPr>
        <w:t xml:space="preserve">) </w:t>
      </w:r>
      <w:r w:rsidR="00F45EC6">
        <w:rPr>
          <w:rFonts w:ascii="Calibri" w:eastAsia="Calibri" w:hAnsi="Calibri" w:cs="Calibri"/>
          <w:sz w:val="24"/>
          <w:szCs w:val="24"/>
        </w:rPr>
        <w:t xml:space="preserve">with </w:t>
      </w:r>
      <w:r w:rsidRPr="32174B8B">
        <w:rPr>
          <w:rFonts w:ascii="Calibri" w:eastAsia="Calibri" w:hAnsi="Calibri" w:cs="Calibri"/>
          <w:sz w:val="24"/>
          <w:szCs w:val="24"/>
        </w:rPr>
        <w:t>which the source</w:t>
      </w:r>
      <w:r w:rsidR="797E501C" w:rsidRPr="32174B8B">
        <w:rPr>
          <w:rFonts w:ascii="Calibri" w:eastAsia="Calibri" w:hAnsi="Calibri" w:cs="Calibri"/>
          <w:sz w:val="24"/>
          <w:szCs w:val="24"/>
        </w:rPr>
        <w:t>/evaluated control device combination</w:t>
      </w:r>
      <w:r w:rsidRPr="32174B8B">
        <w:rPr>
          <w:rFonts w:ascii="Calibri" w:eastAsia="Calibri" w:hAnsi="Calibri" w:cs="Calibri"/>
          <w:sz w:val="24"/>
          <w:szCs w:val="24"/>
        </w:rPr>
        <w:t xml:space="preserve"> will comply with</w:t>
      </w:r>
      <w:r w:rsidR="03FB6A08" w:rsidRPr="32174B8B">
        <w:rPr>
          <w:rFonts w:ascii="Calibri" w:eastAsia="Calibri" w:hAnsi="Calibri" w:cs="Calibri"/>
          <w:sz w:val="24"/>
          <w:szCs w:val="24"/>
        </w:rPr>
        <w:t>:</w:t>
      </w:r>
      <w:r w:rsidR="70EDE848" w:rsidRPr="32174B8B">
        <w:rPr>
          <w:rFonts w:ascii="Calibri" w:eastAsia="Calibri" w:hAnsi="Calibri" w:cs="Calibri"/>
          <w:sz w:val="24"/>
          <w:szCs w:val="24"/>
        </w:rPr>
        <w:t xml:space="preserve"> </w:t>
      </w:r>
    </w:p>
    <w:p w14:paraId="09CA977E" w14:textId="19ABA6CC" w:rsidR="00945B3F" w:rsidRDefault="6F8C2815" w:rsidP="3741047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>129.114(</w:t>
      </w:r>
      <w:proofErr w:type="spellStart"/>
      <w:r w:rsidRPr="32174B8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32174B8B">
        <w:rPr>
          <w:rFonts w:ascii="Calibri" w:eastAsia="Calibri" w:hAnsi="Calibri" w:cs="Calibri"/>
          <w:sz w:val="24"/>
          <w:szCs w:val="24"/>
        </w:rPr>
        <w:t>)(1)(</w:t>
      </w:r>
      <w:proofErr w:type="spellStart"/>
      <w:r w:rsidRPr="32174B8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32174B8B">
        <w:rPr>
          <w:rFonts w:ascii="Calibri" w:eastAsia="Calibri" w:hAnsi="Calibri" w:cs="Calibri"/>
          <w:sz w:val="24"/>
          <w:szCs w:val="24"/>
        </w:rPr>
        <w:t xml:space="preserve">) </w:t>
      </w:r>
      <w:r w:rsidR="0C0B9C1E" w:rsidRPr="32174B8B">
        <w:rPr>
          <w:rFonts w:ascii="Calibri" w:eastAsia="Calibri" w:hAnsi="Calibri" w:cs="Calibri"/>
          <w:sz w:val="24"/>
          <w:szCs w:val="24"/>
        </w:rPr>
        <w:t>–</w:t>
      </w:r>
      <w:r w:rsidRPr="32174B8B">
        <w:rPr>
          <w:rFonts w:ascii="Calibri" w:eastAsia="Calibri" w:hAnsi="Calibri" w:cs="Calibri"/>
          <w:sz w:val="24"/>
          <w:szCs w:val="24"/>
        </w:rPr>
        <w:t xml:space="preserve"> </w:t>
      </w:r>
      <w:r w:rsidR="0C0B9C1E" w:rsidRPr="32174B8B">
        <w:rPr>
          <w:rFonts w:ascii="Calibri" w:eastAsia="Calibri" w:hAnsi="Calibri" w:cs="Calibri"/>
          <w:sz w:val="24"/>
          <w:szCs w:val="24"/>
        </w:rPr>
        <w:t xml:space="preserve">Please choose this option if </w:t>
      </w:r>
      <w:r w:rsidR="011BA856" w:rsidRPr="32174B8B">
        <w:rPr>
          <w:rFonts w:ascii="Calibri" w:eastAsia="Calibri" w:hAnsi="Calibri" w:cs="Calibri"/>
          <w:sz w:val="24"/>
          <w:szCs w:val="24"/>
        </w:rPr>
        <w:t xml:space="preserve">no new </w:t>
      </w:r>
      <w:r w:rsidR="43F7A053" w:rsidRPr="32174B8B">
        <w:rPr>
          <w:rFonts w:ascii="Calibri" w:eastAsia="Calibri" w:hAnsi="Calibri" w:cs="Calibri"/>
          <w:sz w:val="24"/>
          <w:szCs w:val="24"/>
        </w:rPr>
        <w:t>air pollution control device</w:t>
      </w:r>
      <w:r w:rsidR="16B6C5FE" w:rsidRPr="32174B8B">
        <w:rPr>
          <w:rFonts w:ascii="Calibri" w:eastAsia="Calibri" w:hAnsi="Calibri" w:cs="Calibri"/>
          <w:sz w:val="24"/>
          <w:szCs w:val="24"/>
        </w:rPr>
        <w:t xml:space="preserve"> is available or if</w:t>
      </w:r>
      <w:r w:rsidR="43F7A053" w:rsidRPr="32174B8B">
        <w:rPr>
          <w:rFonts w:ascii="Calibri" w:eastAsia="Calibri" w:hAnsi="Calibri" w:cs="Calibri"/>
          <w:sz w:val="24"/>
          <w:szCs w:val="24"/>
        </w:rPr>
        <w:t xml:space="preserve"> </w:t>
      </w:r>
      <w:r w:rsidR="0C0B9C1E" w:rsidRPr="32174B8B">
        <w:rPr>
          <w:rFonts w:ascii="Calibri" w:eastAsia="Calibri" w:hAnsi="Calibri" w:cs="Calibri"/>
          <w:sz w:val="24"/>
          <w:szCs w:val="24"/>
        </w:rPr>
        <w:t>the cost analysis</w:t>
      </w:r>
      <w:r w:rsidR="089C1D22" w:rsidRPr="32174B8B">
        <w:rPr>
          <w:rFonts w:ascii="Calibri" w:eastAsia="Calibri" w:hAnsi="Calibri" w:cs="Calibri"/>
          <w:sz w:val="24"/>
          <w:szCs w:val="24"/>
        </w:rPr>
        <w:t xml:space="preserve"> done</w:t>
      </w:r>
      <w:r w:rsidR="0C0B9C1E" w:rsidRPr="32174B8B">
        <w:rPr>
          <w:rFonts w:ascii="Calibri" w:eastAsia="Calibri" w:hAnsi="Calibri" w:cs="Calibri"/>
          <w:sz w:val="24"/>
          <w:szCs w:val="24"/>
        </w:rPr>
        <w:t xml:space="preserve"> </w:t>
      </w:r>
      <w:r w:rsidR="089C1D22" w:rsidRPr="32174B8B">
        <w:rPr>
          <w:rFonts w:ascii="Calibri" w:eastAsia="Calibri" w:hAnsi="Calibri" w:cs="Calibri"/>
          <w:sz w:val="24"/>
          <w:szCs w:val="24"/>
        </w:rPr>
        <w:t>for RACT II (129.99(e))</w:t>
      </w:r>
      <w:r w:rsidR="3345FC59" w:rsidRPr="32174B8B">
        <w:rPr>
          <w:rFonts w:ascii="Calibri" w:eastAsia="Calibri" w:hAnsi="Calibri" w:cs="Calibri"/>
          <w:sz w:val="24"/>
          <w:szCs w:val="24"/>
        </w:rPr>
        <w:t xml:space="preserve"> resulted in a cost</w:t>
      </w:r>
      <w:r w:rsidR="6195BDC6" w:rsidRPr="32174B8B">
        <w:rPr>
          <w:rFonts w:ascii="Calibri" w:eastAsia="Calibri" w:hAnsi="Calibri" w:cs="Calibri"/>
          <w:sz w:val="24"/>
          <w:szCs w:val="24"/>
        </w:rPr>
        <w:t xml:space="preserve">-effectiveness </w:t>
      </w:r>
      <w:r w:rsidR="3345FC59" w:rsidRPr="32174B8B">
        <w:rPr>
          <w:rFonts w:ascii="Calibri" w:eastAsia="Calibri" w:hAnsi="Calibri" w:cs="Calibri"/>
          <w:sz w:val="24"/>
          <w:szCs w:val="24"/>
        </w:rPr>
        <w:t xml:space="preserve">equal to or greater than </w:t>
      </w:r>
      <w:r w:rsidR="2D3A53EF" w:rsidRPr="32174B8B">
        <w:rPr>
          <w:rFonts w:ascii="Calibri" w:eastAsia="Calibri" w:hAnsi="Calibri" w:cs="Calibri"/>
          <w:sz w:val="24"/>
          <w:szCs w:val="24"/>
        </w:rPr>
        <w:t>$</w:t>
      </w:r>
      <w:r w:rsidR="3345FC59" w:rsidRPr="32174B8B">
        <w:rPr>
          <w:rFonts w:ascii="Calibri" w:eastAsia="Calibri" w:hAnsi="Calibri" w:cs="Calibri"/>
          <w:sz w:val="24"/>
          <w:szCs w:val="24"/>
        </w:rPr>
        <w:t>7</w:t>
      </w:r>
      <w:r w:rsidR="505297E7" w:rsidRPr="32174B8B">
        <w:rPr>
          <w:rFonts w:ascii="Calibri" w:eastAsia="Calibri" w:hAnsi="Calibri" w:cs="Calibri"/>
          <w:sz w:val="24"/>
          <w:szCs w:val="24"/>
        </w:rPr>
        <w:t>,</w:t>
      </w:r>
      <w:r w:rsidR="3345FC59" w:rsidRPr="32174B8B">
        <w:rPr>
          <w:rFonts w:ascii="Calibri" w:eastAsia="Calibri" w:hAnsi="Calibri" w:cs="Calibri"/>
          <w:sz w:val="24"/>
          <w:szCs w:val="24"/>
        </w:rPr>
        <w:t xml:space="preserve">500 for NOx </w:t>
      </w:r>
      <w:r w:rsidR="000ED448" w:rsidRPr="32174B8B">
        <w:rPr>
          <w:rFonts w:ascii="Calibri" w:eastAsia="Calibri" w:hAnsi="Calibri" w:cs="Calibri"/>
          <w:sz w:val="24"/>
          <w:szCs w:val="24"/>
        </w:rPr>
        <w:t xml:space="preserve">or </w:t>
      </w:r>
      <w:r w:rsidR="12DA61F3" w:rsidRPr="32174B8B">
        <w:rPr>
          <w:rFonts w:ascii="Calibri" w:eastAsia="Calibri" w:hAnsi="Calibri" w:cs="Calibri"/>
          <w:sz w:val="24"/>
          <w:szCs w:val="24"/>
        </w:rPr>
        <w:t>$</w:t>
      </w:r>
      <w:r w:rsidR="000ED448" w:rsidRPr="32174B8B">
        <w:rPr>
          <w:rFonts w:ascii="Calibri" w:eastAsia="Calibri" w:hAnsi="Calibri" w:cs="Calibri"/>
          <w:sz w:val="24"/>
          <w:szCs w:val="24"/>
        </w:rPr>
        <w:t>12</w:t>
      </w:r>
      <w:r w:rsidR="5EC8A339" w:rsidRPr="32174B8B">
        <w:rPr>
          <w:rFonts w:ascii="Calibri" w:eastAsia="Calibri" w:hAnsi="Calibri" w:cs="Calibri"/>
          <w:sz w:val="24"/>
          <w:szCs w:val="24"/>
        </w:rPr>
        <w:t>,</w:t>
      </w:r>
      <w:r w:rsidR="000ED448" w:rsidRPr="32174B8B">
        <w:rPr>
          <w:rFonts w:ascii="Calibri" w:eastAsia="Calibri" w:hAnsi="Calibri" w:cs="Calibri"/>
          <w:sz w:val="24"/>
          <w:szCs w:val="24"/>
        </w:rPr>
        <w:t xml:space="preserve">000 per ton of VOC reduced. </w:t>
      </w:r>
      <w:r w:rsidR="0ED42545" w:rsidRPr="32174B8B">
        <w:rPr>
          <w:rFonts w:ascii="Calibri" w:eastAsia="Calibri" w:hAnsi="Calibri" w:cs="Calibri"/>
          <w:sz w:val="24"/>
          <w:szCs w:val="24"/>
        </w:rPr>
        <w:t xml:space="preserve">In addition, </w:t>
      </w:r>
      <w:r w:rsidR="00AF2423">
        <w:rPr>
          <w:rFonts w:ascii="Calibri" w:eastAsia="Calibri" w:hAnsi="Calibri" w:cs="Calibri"/>
          <w:sz w:val="24"/>
          <w:szCs w:val="24"/>
        </w:rPr>
        <w:t xml:space="preserve">the owner or operator </w:t>
      </w:r>
      <w:r w:rsidR="0ED42545" w:rsidRPr="32174B8B">
        <w:rPr>
          <w:rFonts w:ascii="Calibri" w:eastAsia="Calibri" w:hAnsi="Calibri" w:cs="Calibri"/>
          <w:sz w:val="24"/>
          <w:szCs w:val="24"/>
        </w:rPr>
        <w:t>may choose this option if</w:t>
      </w:r>
      <w:r w:rsidR="2775E843" w:rsidRPr="32174B8B">
        <w:rPr>
          <w:rFonts w:ascii="Calibri" w:eastAsia="Calibri" w:hAnsi="Calibri" w:cs="Calibri"/>
          <w:sz w:val="24"/>
          <w:szCs w:val="24"/>
        </w:rPr>
        <w:t>…</w:t>
      </w:r>
    </w:p>
    <w:p w14:paraId="0DE9DD80" w14:textId="77777777" w:rsidR="00AF2423" w:rsidRPr="0090618B" w:rsidRDefault="00AF2423" w:rsidP="00052387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0A350E71" w14:textId="5FE337A3" w:rsidR="00945B3F" w:rsidRDefault="469046FA" w:rsidP="37410470">
      <w:pPr>
        <w:pStyle w:val="ListParagraph"/>
        <w:numPr>
          <w:ilvl w:val="0"/>
          <w:numId w:val="9"/>
        </w:numPr>
        <w:ind w:firstLine="0"/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 xml:space="preserve">  </w:t>
      </w:r>
      <w:r w:rsidR="2775E843" w:rsidRPr="32174B8B">
        <w:rPr>
          <w:rFonts w:ascii="Calibri" w:eastAsia="Calibri" w:hAnsi="Calibri" w:cs="Calibri"/>
          <w:sz w:val="24"/>
          <w:szCs w:val="24"/>
        </w:rPr>
        <w:t>A</w:t>
      </w:r>
      <w:r w:rsidR="0ED42545" w:rsidRPr="32174B8B">
        <w:rPr>
          <w:rFonts w:ascii="Calibri" w:eastAsia="Calibri" w:hAnsi="Calibri" w:cs="Calibri"/>
          <w:sz w:val="24"/>
          <w:szCs w:val="24"/>
        </w:rPr>
        <w:t xml:space="preserve"> control option </w:t>
      </w:r>
      <w:r w:rsidR="77780018" w:rsidRPr="32174B8B">
        <w:rPr>
          <w:rFonts w:ascii="Calibri" w:eastAsia="Calibri" w:hAnsi="Calibri" w:cs="Calibri"/>
          <w:sz w:val="24"/>
          <w:szCs w:val="24"/>
        </w:rPr>
        <w:t>during</w:t>
      </w:r>
      <w:r w:rsidR="0ED42545" w:rsidRPr="32174B8B">
        <w:rPr>
          <w:rFonts w:ascii="Calibri" w:eastAsia="Calibri" w:hAnsi="Calibri" w:cs="Calibri"/>
          <w:sz w:val="24"/>
          <w:szCs w:val="24"/>
        </w:rPr>
        <w:t xml:space="preserve"> RACT II</w:t>
      </w:r>
      <w:r w:rsidR="00AEDBBA" w:rsidRPr="32174B8B">
        <w:rPr>
          <w:rFonts w:ascii="Calibri" w:eastAsia="Calibri" w:hAnsi="Calibri" w:cs="Calibri"/>
          <w:sz w:val="24"/>
          <w:szCs w:val="24"/>
        </w:rPr>
        <w:t xml:space="preserve"> evaluation</w:t>
      </w:r>
      <w:r w:rsidR="0ED42545" w:rsidRPr="32174B8B">
        <w:rPr>
          <w:rFonts w:ascii="Calibri" w:eastAsia="Calibri" w:hAnsi="Calibri" w:cs="Calibri"/>
          <w:sz w:val="24"/>
          <w:szCs w:val="24"/>
        </w:rPr>
        <w:t xml:space="preserve"> was </w:t>
      </w:r>
      <w:r w:rsidR="11F73F25" w:rsidRPr="32174B8B">
        <w:rPr>
          <w:rFonts w:ascii="Calibri" w:eastAsia="Calibri" w:hAnsi="Calibri" w:cs="Calibri"/>
          <w:sz w:val="24"/>
          <w:szCs w:val="24"/>
        </w:rPr>
        <w:t xml:space="preserve">determined to be </w:t>
      </w:r>
      <w:r w:rsidR="69EEE7D1" w:rsidRPr="32174B8B">
        <w:rPr>
          <w:rFonts w:ascii="Calibri" w:eastAsia="Calibri" w:hAnsi="Calibri" w:cs="Calibri"/>
          <w:sz w:val="24"/>
          <w:szCs w:val="24"/>
        </w:rPr>
        <w:t>technically</w:t>
      </w:r>
      <w:r w:rsidR="0ED42545" w:rsidRPr="32174B8B">
        <w:rPr>
          <w:rFonts w:ascii="Calibri" w:eastAsia="Calibri" w:hAnsi="Calibri" w:cs="Calibri"/>
          <w:sz w:val="24"/>
          <w:szCs w:val="24"/>
        </w:rPr>
        <w:t xml:space="preserve"> infeasible</w:t>
      </w:r>
      <w:r w:rsidR="5EDC2885" w:rsidRPr="32174B8B">
        <w:rPr>
          <w:rFonts w:ascii="Calibri" w:eastAsia="Calibri" w:hAnsi="Calibri" w:cs="Calibri"/>
          <w:sz w:val="24"/>
          <w:szCs w:val="24"/>
        </w:rPr>
        <w:t>.</w:t>
      </w:r>
    </w:p>
    <w:p w14:paraId="2ADA54A3" w14:textId="77777777" w:rsidR="00AF2423" w:rsidRPr="0090618B" w:rsidRDefault="00AF2423" w:rsidP="00052387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E4E2EF7" w14:textId="6F9003A9" w:rsidR="7DCFBF26" w:rsidRDefault="49B66B6F" w:rsidP="37410470">
      <w:pPr>
        <w:pStyle w:val="ListParagraph"/>
        <w:numPr>
          <w:ilvl w:val="0"/>
          <w:numId w:val="9"/>
        </w:numPr>
        <w:ind w:firstLine="0"/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lastRenderedPageBreak/>
        <w:t xml:space="preserve">  </w:t>
      </w:r>
      <w:r w:rsidR="37467D4D" w:rsidRPr="32174B8B">
        <w:rPr>
          <w:rFonts w:ascii="Calibri" w:eastAsia="Calibri" w:hAnsi="Calibri" w:cs="Calibri"/>
          <w:sz w:val="24"/>
          <w:szCs w:val="24"/>
        </w:rPr>
        <w:t>N</w:t>
      </w:r>
      <w:r w:rsidR="7F16B0E8" w:rsidRPr="32174B8B">
        <w:rPr>
          <w:rFonts w:ascii="Calibri" w:eastAsia="Calibri" w:hAnsi="Calibri" w:cs="Calibri"/>
          <w:sz w:val="24"/>
          <w:szCs w:val="24"/>
        </w:rPr>
        <w:t xml:space="preserve">o cost analysis was </w:t>
      </w:r>
      <w:r w:rsidR="577CB27A" w:rsidRPr="32174B8B">
        <w:rPr>
          <w:rFonts w:ascii="Calibri" w:eastAsia="Calibri" w:hAnsi="Calibri" w:cs="Calibri"/>
          <w:sz w:val="24"/>
          <w:szCs w:val="24"/>
        </w:rPr>
        <w:t>performed</w:t>
      </w:r>
      <w:r w:rsidR="7F16B0E8" w:rsidRPr="32174B8B">
        <w:rPr>
          <w:rFonts w:ascii="Calibri" w:eastAsia="Calibri" w:hAnsi="Calibri" w:cs="Calibri"/>
          <w:sz w:val="24"/>
          <w:szCs w:val="24"/>
        </w:rPr>
        <w:t xml:space="preserve"> for another reason</w:t>
      </w:r>
      <w:r w:rsidR="77E02254" w:rsidRPr="32174B8B">
        <w:rPr>
          <w:rFonts w:ascii="Calibri" w:eastAsia="Calibri" w:hAnsi="Calibri" w:cs="Calibri"/>
          <w:sz w:val="24"/>
          <w:szCs w:val="24"/>
        </w:rPr>
        <w:t>,</w:t>
      </w:r>
      <w:r w:rsidR="4A4B0876" w:rsidRPr="32174B8B">
        <w:rPr>
          <w:rFonts w:ascii="Calibri" w:eastAsia="Calibri" w:hAnsi="Calibri" w:cs="Calibri"/>
          <w:sz w:val="24"/>
          <w:szCs w:val="24"/>
        </w:rPr>
        <w:t xml:space="preserve"> such as a higher ranked control technology was installed</w:t>
      </w:r>
      <w:r w:rsidR="3E04AA04" w:rsidRPr="32174B8B">
        <w:rPr>
          <w:rFonts w:ascii="Calibri" w:eastAsia="Calibri" w:hAnsi="Calibri" w:cs="Calibri"/>
          <w:sz w:val="24"/>
          <w:szCs w:val="24"/>
        </w:rPr>
        <w:t>.</w:t>
      </w:r>
    </w:p>
    <w:p w14:paraId="59D7DABC" w14:textId="14EDC4B0" w:rsidR="00E15E0C" w:rsidRDefault="1E26873E" w:rsidP="3741047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>129.114(</w:t>
      </w:r>
      <w:proofErr w:type="spellStart"/>
      <w:r w:rsidRPr="32174B8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32174B8B">
        <w:rPr>
          <w:rFonts w:ascii="Calibri" w:eastAsia="Calibri" w:hAnsi="Calibri" w:cs="Calibri"/>
          <w:sz w:val="24"/>
          <w:szCs w:val="24"/>
        </w:rPr>
        <w:t>)(1)(ii) – Please choose this option if the cost analysis done for RACT II (129.99(e)) resulted in a cost</w:t>
      </w:r>
      <w:r w:rsidR="346408EC" w:rsidRPr="32174B8B">
        <w:rPr>
          <w:rFonts w:ascii="Calibri" w:eastAsia="Calibri" w:hAnsi="Calibri" w:cs="Calibri"/>
          <w:sz w:val="24"/>
          <w:szCs w:val="24"/>
        </w:rPr>
        <w:t>-</w:t>
      </w:r>
      <w:r w:rsidR="551217D9" w:rsidRPr="32174B8B">
        <w:rPr>
          <w:rFonts w:ascii="Calibri" w:eastAsia="Calibri" w:hAnsi="Calibri" w:cs="Calibri"/>
          <w:sz w:val="24"/>
          <w:szCs w:val="24"/>
        </w:rPr>
        <w:t>effectiveness</w:t>
      </w:r>
      <w:r w:rsidR="346408EC" w:rsidRPr="32174B8B">
        <w:rPr>
          <w:rFonts w:ascii="Calibri" w:eastAsia="Calibri" w:hAnsi="Calibri" w:cs="Calibri"/>
          <w:sz w:val="24"/>
          <w:szCs w:val="24"/>
        </w:rPr>
        <w:t xml:space="preserve"> </w:t>
      </w:r>
      <w:r w:rsidRPr="32174B8B">
        <w:rPr>
          <w:rFonts w:ascii="Calibri" w:eastAsia="Calibri" w:hAnsi="Calibri" w:cs="Calibri"/>
          <w:sz w:val="24"/>
          <w:szCs w:val="24"/>
        </w:rPr>
        <w:t xml:space="preserve">less than </w:t>
      </w:r>
      <w:r w:rsidR="78C645E4" w:rsidRPr="32174B8B">
        <w:rPr>
          <w:rFonts w:ascii="Calibri" w:eastAsia="Calibri" w:hAnsi="Calibri" w:cs="Calibri"/>
          <w:sz w:val="24"/>
          <w:szCs w:val="24"/>
        </w:rPr>
        <w:t>$</w:t>
      </w:r>
      <w:r w:rsidRPr="32174B8B">
        <w:rPr>
          <w:rFonts w:ascii="Calibri" w:eastAsia="Calibri" w:hAnsi="Calibri" w:cs="Calibri"/>
          <w:sz w:val="24"/>
          <w:szCs w:val="24"/>
        </w:rPr>
        <w:t>7</w:t>
      </w:r>
      <w:r w:rsidR="12C8D7CB" w:rsidRPr="32174B8B">
        <w:rPr>
          <w:rFonts w:ascii="Calibri" w:eastAsia="Calibri" w:hAnsi="Calibri" w:cs="Calibri"/>
          <w:sz w:val="24"/>
          <w:szCs w:val="24"/>
        </w:rPr>
        <w:t>,</w:t>
      </w:r>
      <w:r w:rsidRPr="32174B8B">
        <w:rPr>
          <w:rFonts w:ascii="Calibri" w:eastAsia="Calibri" w:hAnsi="Calibri" w:cs="Calibri"/>
          <w:sz w:val="24"/>
          <w:szCs w:val="24"/>
        </w:rPr>
        <w:t xml:space="preserve">500 for NOx </w:t>
      </w:r>
      <w:r w:rsidR="213E8D02" w:rsidRPr="32174B8B">
        <w:rPr>
          <w:rFonts w:ascii="Calibri" w:eastAsia="Calibri" w:hAnsi="Calibri" w:cs="Calibri"/>
          <w:sz w:val="24"/>
          <w:szCs w:val="24"/>
        </w:rPr>
        <w:t xml:space="preserve">emissions reduced </w:t>
      </w:r>
      <w:r w:rsidRPr="32174B8B">
        <w:rPr>
          <w:rFonts w:ascii="Calibri" w:eastAsia="Calibri" w:hAnsi="Calibri" w:cs="Calibri"/>
          <w:sz w:val="24"/>
          <w:szCs w:val="24"/>
        </w:rPr>
        <w:t xml:space="preserve">or </w:t>
      </w:r>
      <w:r w:rsidR="23EC2CD6" w:rsidRPr="32174B8B">
        <w:rPr>
          <w:rFonts w:ascii="Calibri" w:eastAsia="Calibri" w:hAnsi="Calibri" w:cs="Calibri"/>
          <w:sz w:val="24"/>
          <w:szCs w:val="24"/>
        </w:rPr>
        <w:t>$</w:t>
      </w:r>
      <w:r w:rsidRPr="32174B8B">
        <w:rPr>
          <w:rFonts w:ascii="Calibri" w:eastAsia="Calibri" w:hAnsi="Calibri" w:cs="Calibri"/>
          <w:sz w:val="24"/>
          <w:szCs w:val="24"/>
        </w:rPr>
        <w:t xml:space="preserve">12000 per ton of VOC </w:t>
      </w:r>
      <w:r w:rsidR="252A78CA" w:rsidRPr="32174B8B">
        <w:rPr>
          <w:rFonts w:ascii="Calibri" w:eastAsia="Calibri" w:hAnsi="Calibri" w:cs="Calibri"/>
          <w:sz w:val="24"/>
          <w:szCs w:val="24"/>
        </w:rPr>
        <w:t xml:space="preserve">emissions </w:t>
      </w:r>
      <w:r w:rsidRPr="32174B8B">
        <w:rPr>
          <w:rFonts w:ascii="Calibri" w:eastAsia="Calibri" w:hAnsi="Calibri" w:cs="Calibri"/>
          <w:sz w:val="24"/>
          <w:szCs w:val="24"/>
        </w:rPr>
        <w:t xml:space="preserve">reduced. </w:t>
      </w:r>
    </w:p>
    <w:p w14:paraId="009F54C1" w14:textId="77777777" w:rsidR="00AF2423" w:rsidRPr="0090618B" w:rsidRDefault="00AF2423" w:rsidP="00052387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41CF465" w14:textId="02733575" w:rsidR="00E15E0C" w:rsidRPr="0090618B" w:rsidRDefault="19E9CE54" w:rsidP="3741047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32174B8B">
        <w:rPr>
          <w:rFonts w:ascii="Calibri" w:eastAsia="Calibri" w:hAnsi="Calibri" w:cs="Calibri"/>
          <w:sz w:val="24"/>
          <w:szCs w:val="24"/>
        </w:rPr>
        <w:t>129.114(</w:t>
      </w:r>
      <w:proofErr w:type="spellStart"/>
      <w:r w:rsidRPr="32174B8B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32174B8B">
        <w:rPr>
          <w:rFonts w:ascii="Calibri" w:eastAsia="Calibri" w:hAnsi="Calibri" w:cs="Calibri"/>
          <w:sz w:val="24"/>
          <w:szCs w:val="24"/>
        </w:rPr>
        <w:t>)(2) – Please choose this option for any sources which have new or upgraded control device, beyond what was evaluated for RACT II (129.99(e)), which needs to be evaluated.</w:t>
      </w:r>
    </w:p>
    <w:p w14:paraId="655E769F" w14:textId="28D16D31" w:rsidR="00335B84" w:rsidRPr="0090618B" w:rsidRDefault="00335B84" w:rsidP="00335B84">
      <w:pPr>
        <w:jc w:val="center"/>
        <w:rPr>
          <w:rFonts w:cstheme="minorHAnsi"/>
          <w:b/>
          <w:bCs/>
        </w:rPr>
      </w:pPr>
      <w:r w:rsidRPr="0090618B">
        <w:rPr>
          <w:rFonts w:cstheme="minorHAnsi"/>
          <w:b/>
          <w:bCs/>
        </w:rPr>
        <w:t>Table 1</w:t>
      </w:r>
    </w:p>
    <w:tbl>
      <w:tblPr>
        <w:tblStyle w:val="TableGrid"/>
        <w:tblpPr w:leftFromText="180" w:rightFromText="180" w:vertAnchor="text" w:tblpXSpec="center" w:tblpY="1"/>
        <w:tblOverlap w:val="never"/>
        <w:tblW w:w="9392" w:type="dxa"/>
        <w:tblLook w:val="04A0" w:firstRow="1" w:lastRow="0" w:firstColumn="1" w:lastColumn="0" w:noHBand="0" w:noVBand="1"/>
      </w:tblPr>
      <w:tblGrid>
        <w:gridCol w:w="900"/>
        <w:gridCol w:w="945"/>
        <w:gridCol w:w="1185"/>
        <w:gridCol w:w="1305"/>
        <w:gridCol w:w="1341"/>
        <w:gridCol w:w="1376"/>
        <w:gridCol w:w="2340"/>
      </w:tblGrid>
      <w:tr w:rsidR="007A4282" w:rsidRPr="0090618B" w14:paraId="1D2A9EBB" w14:textId="77777777" w:rsidTr="26532240">
        <w:tc>
          <w:tcPr>
            <w:tcW w:w="900" w:type="dxa"/>
            <w:shd w:val="clear" w:color="auto" w:fill="A6A6A6" w:themeFill="background1" w:themeFillShade="A6"/>
          </w:tcPr>
          <w:p w14:paraId="62F922F8" w14:textId="77777777" w:rsidR="007A4282" w:rsidRPr="0090618B" w:rsidRDefault="007A4282" w:rsidP="00C82FA2">
            <w:pPr>
              <w:rPr>
                <w:rFonts w:cstheme="minorHAnsi"/>
                <w:b/>
                <w:bCs/>
              </w:rPr>
            </w:pPr>
            <w:r w:rsidRPr="0090618B">
              <w:rPr>
                <w:rFonts w:cstheme="minorHAnsi"/>
                <w:b/>
                <w:bCs/>
              </w:rPr>
              <w:t>Source ID</w:t>
            </w:r>
          </w:p>
        </w:tc>
        <w:tc>
          <w:tcPr>
            <w:tcW w:w="945" w:type="dxa"/>
            <w:shd w:val="clear" w:color="auto" w:fill="A6A6A6" w:themeFill="background1" w:themeFillShade="A6"/>
          </w:tcPr>
          <w:p w14:paraId="0ABF73E4" w14:textId="77777777" w:rsidR="007A4282" w:rsidRPr="0090618B" w:rsidRDefault="007A4282" w:rsidP="00C82FA2">
            <w:pPr>
              <w:rPr>
                <w:rFonts w:cstheme="minorHAnsi"/>
                <w:b/>
                <w:bCs/>
              </w:rPr>
            </w:pPr>
            <w:r w:rsidRPr="0090618B">
              <w:rPr>
                <w:rFonts w:cstheme="minorHAnsi"/>
                <w:b/>
                <w:bCs/>
              </w:rPr>
              <w:t>Source Name</w:t>
            </w:r>
          </w:p>
        </w:tc>
        <w:tc>
          <w:tcPr>
            <w:tcW w:w="1185" w:type="dxa"/>
            <w:shd w:val="clear" w:color="auto" w:fill="A6A6A6" w:themeFill="background1" w:themeFillShade="A6"/>
          </w:tcPr>
          <w:p w14:paraId="0B495E6D" w14:textId="6892DBF9" w:rsidR="007A4282" w:rsidRPr="0090618B" w:rsidRDefault="6E70D706" w:rsidP="176E0D93">
            <w:pPr>
              <w:rPr>
                <w:b/>
                <w:bCs/>
              </w:rPr>
            </w:pPr>
            <w:r w:rsidRPr="17ED8AEB">
              <w:rPr>
                <w:b/>
                <w:bCs/>
              </w:rPr>
              <w:t xml:space="preserve">NOx </w:t>
            </w:r>
            <w:r w:rsidR="42CCADA0" w:rsidRPr="17ED8AEB">
              <w:rPr>
                <w:b/>
                <w:bCs/>
              </w:rPr>
              <w:t>Control device evaluated</w:t>
            </w:r>
          </w:p>
        </w:tc>
        <w:tc>
          <w:tcPr>
            <w:tcW w:w="1305" w:type="dxa"/>
            <w:shd w:val="clear" w:color="auto" w:fill="A6A6A6" w:themeFill="background1" w:themeFillShade="A6"/>
          </w:tcPr>
          <w:p w14:paraId="79926395" w14:textId="1E576A37" w:rsidR="1F377760" w:rsidRDefault="0BBC35A0" w:rsidP="176E0D93">
            <w:pPr>
              <w:rPr>
                <w:b/>
                <w:bCs/>
              </w:rPr>
            </w:pPr>
            <w:r w:rsidRPr="17ED8AEB">
              <w:rPr>
                <w:b/>
                <w:bCs/>
              </w:rPr>
              <w:t>Cost per ton</w:t>
            </w:r>
            <w:r w:rsidR="6C9882CB" w:rsidRPr="17ED8AEB">
              <w:rPr>
                <w:b/>
                <w:bCs/>
              </w:rPr>
              <w:t xml:space="preserve"> of NOx</w:t>
            </w:r>
            <w:r w:rsidRPr="17ED8AEB">
              <w:rPr>
                <w:b/>
                <w:bCs/>
              </w:rPr>
              <w:t xml:space="preserve"> determined</w:t>
            </w:r>
          </w:p>
          <w:p w14:paraId="72C4877E" w14:textId="76BF22B0" w:rsidR="176E0D93" w:rsidRDefault="176E0D93" w:rsidP="176E0D93">
            <w:pPr>
              <w:rPr>
                <w:b/>
                <w:bCs/>
              </w:rPr>
            </w:pPr>
          </w:p>
          <w:p w14:paraId="393D92F5" w14:textId="51D30AA4" w:rsidR="176E0D93" w:rsidRDefault="176E0D93" w:rsidP="176E0D93">
            <w:pPr>
              <w:rPr>
                <w:b/>
                <w:bCs/>
              </w:rPr>
            </w:pPr>
          </w:p>
        </w:tc>
        <w:tc>
          <w:tcPr>
            <w:tcW w:w="1341" w:type="dxa"/>
            <w:shd w:val="clear" w:color="auto" w:fill="A6A6A6" w:themeFill="background1" w:themeFillShade="A6"/>
          </w:tcPr>
          <w:p w14:paraId="673A86BA" w14:textId="67E6803A" w:rsidR="007A4282" w:rsidRPr="0090618B" w:rsidRDefault="04744A57" w:rsidP="176E0D93">
            <w:pPr>
              <w:rPr>
                <w:b/>
                <w:bCs/>
              </w:rPr>
            </w:pPr>
            <w:r w:rsidRPr="17ED8AEB">
              <w:rPr>
                <w:b/>
                <w:bCs/>
              </w:rPr>
              <w:t>VOC Control device evaluated</w:t>
            </w:r>
          </w:p>
          <w:p w14:paraId="596ADE51" w14:textId="5F3C93F0" w:rsidR="007A4282" w:rsidRPr="0090618B" w:rsidRDefault="007A4282" w:rsidP="176E0D93">
            <w:pPr>
              <w:rPr>
                <w:b/>
                <w:bCs/>
              </w:rPr>
            </w:pPr>
          </w:p>
        </w:tc>
        <w:tc>
          <w:tcPr>
            <w:tcW w:w="1376" w:type="dxa"/>
            <w:shd w:val="clear" w:color="auto" w:fill="A6A6A6" w:themeFill="background1" w:themeFillShade="A6"/>
          </w:tcPr>
          <w:p w14:paraId="7318D936" w14:textId="702A792B" w:rsidR="23737B82" w:rsidRDefault="04744A57" w:rsidP="176E0D93">
            <w:pPr>
              <w:rPr>
                <w:b/>
                <w:bCs/>
              </w:rPr>
            </w:pPr>
            <w:r w:rsidRPr="17ED8AEB">
              <w:rPr>
                <w:b/>
                <w:bCs/>
              </w:rPr>
              <w:t>Cost per ton</w:t>
            </w:r>
            <w:r w:rsidR="78D8381C" w:rsidRPr="17ED8AEB">
              <w:rPr>
                <w:b/>
                <w:bCs/>
              </w:rPr>
              <w:t xml:space="preserve"> of VOC</w:t>
            </w:r>
            <w:r w:rsidRPr="17ED8AEB">
              <w:rPr>
                <w:b/>
                <w:bCs/>
              </w:rPr>
              <w:t xml:space="preserve"> determined</w:t>
            </w:r>
          </w:p>
          <w:p w14:paraId="2F91210D" w14:textId="211F42E6" w:rsidR="176E0D93" w:rsidRDefault="176E0D93" w:rsidP="176E0D93">
            <w:pPr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6A6A6" w:themeFill="background1" w:themeFillShade="A6"/>
          </w:tcPr>
          <w:p w14:paraId="117075D5" w14:textId="54EC43BD" w:rsidR="007A4282" w:rsidRPr="0090618B" w:rsidRDefault="0B76717D" w:rsidP="0E818163">
            <w:pPr>
              <w:rPr>
                <w:b/>
                <w:bCs/>
              </w:rPr>
            </w:pPr>
            <w:r w:rsidRPr="17ED8AEB">
              <w:rPr>
                <w:b/>
                <w:bCs/>
              </w:rPr>
              <w:t>Provision of 129.114(</w:t>
            </w:r>
            <w:proofErr w:type="spellStart"/>
            <w:r w:rsidRPr="17ED8AEB">
              <w:rPr>
                <w:b/>
                <w:bCs/>
              </w:rPr>
              <w:t>i</w:t>
            </w:r>
            <w:proofErr w:type="spellEnd"/>
            <w:r w:rsidRPr="17ED8AEB">
              <w:rPr>
                <w:b/>
                <w:bCs/>
              </w:rPr>
              <w:t>) which the source/evaluated control device will comply with</w:t>
            </w:r>
            <w:r w:rsidR="49C6C5C6" w:rsidRPr="17ED8AEB">
              <w:rPr>
                <w:b/>
                <w:bCs/>
              </w:rPr>
              <w:t xml:space="preserve"> (a, </w:t>
            </w:r>
            <w:proofErr w:type="gramStart"/>
            <w:r w:rsidR="49C6C5C6" w:rsidRPr="17ED8AEB">
              <w:rPr>
                <w:b/>
                <w:bCs/>
              </w:rPr>
              <w:t>b</w:t>
            </w:r>
            <w:proofErr w:type="gramEnd"/>
            <w:r w:rsidR="49C6C5C6" w:rsidRPr="17ED8AEB">
              <w:rPr>
                <w:b/>
                <w:bCs/>
              </w:rPr>
              <w:t xml:space="preserve"> or c)</w:t>
            </w:r>
          </w:p>
        </w:tc>
      </w:tr>
      <w:tr w:rsidR="007A4282" w:rsidRPr="0090618B" w14:paraId="29DE3E2F" w14:textId="77777777" w:rsidTr="26532240">
        <w:tc>
          <w:tcPr>
            <w:tcW w:w="900" w:type="dxa"/>
          </w:tcPr>
          <w:p w14:paraId="07183C7C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47D51EA3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7C6B88BD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348F57A9" w14:textId="1BC0C1C6" w:rsidR="176E0D93" w:rsidRDefault="176E0D93" w:rsidP="176E0D93"/>
        </w:tc>
        <w:tc>
          <w:tcPr>
            <w:tcW w:w="1341" w:type="dxa"/>
          </w:tcPr>
          <w:p w14:paraId="3C6466A8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00506FA5" w14:textId="46DACC42" w:rsidR="176E0D93" w:rsidRDefault="176E0D93" w:rsidP="176E0D93"/>
        </w:tc>
        <w:tc>
          <w:tcPr>
            <w:tcW w:w="2340" w:type="dxa"/>
          </w:tcPr>
          <w:p w14:paraId="631D8CE9" w14:textId="5C8A301B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4D1C1F9A" w14:textId="77777777" w:rsidTr="26532240">
        <w:tc>
          <w:tcPr>
            <w:tcW w:w="900" w:type="dxa"/>
          </w:tcPr>
          <w:p w14:paraId="4E046704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19F0EB68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6E844492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7559673F" w14:textId="708BF8E9" w:rsidR="176E0D93" w:rsidRDefault="176E0D93" w:rsidP="176E0D93"/>
        </w:tc>
        <w:tc>
          <w:tcPr>
            <w:tcW w:w="1341" w:type="dxa"/>
          </w:tcPr>
          <w:p w14:paraId="4512FDFC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5759C6BD" w14:textId="4341D0B6" w:rsidR="176E0D93" w:rsidRDefault="176E0D93" w:rsidP="176E0D93"/>
        </w:tc>
        <w:tc>
          <w:tcPr>
            <w:tcW w:w="2340" w:type="dxa"/>
          </w:tcPr>
          <w:p w14:paraId="363D3081" w14:textId="3389B5DF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0EA5BBC3" w14:textId="77777777" w:rsidTr="26532240">
        <w:tc>
          <w:tcPr>
            <w:tcW w:w="900" w:type="dxa"/>
          </w:tcPr>
          <w:p w14:paraId="4AF53C66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3D1AECA5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20C18966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1669BF68" w14:textId="18F2FEB8" w:rsidR="176E0D93" w:rsidRDefault="176E0D93" w:rsidP="176E0D93"/>
        </w:tc>
        <w:tc>
          <w:tcPr>
            <w:tcW w:w="1341" w:type="dxa"/>
          </w:tcPr>
          <w:p w14:paraId="0C7E75F0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2A23B532" w14:textId="7D56484E" w:rsidR="176E0D93" w:rsidRDefault="176E0D93" w:rsidP="176E0D93"/>
        </w:tc>
        <w:tc>
          <w:tcPr>
            <w:tcW w:w="2340" w:type="dxa"/>
          </w:tcPr>
          <w:p w14:paraId="59B63DBC" w14:textId="3C7FC391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38DA40D1" w14:textId="77777777" w:rsidTr="26532240">
        <w:tc>
          <w:tcPr>
            <w:tcW w:w="900" w:type="dxa"/>
          </w:tcPr>
          <w:p w14:paraId="0720CDE8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1087FB40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5D36001A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2A2B72D1" w14:textId="6E37D63C" w:rsidR="176E0D93" w:rsidRDefault="176E0D93" w:rsidP="176E0D93"/>
        </w:tc>
        <w:tc>
          <w:tcPr>
            <w:tcW w:w="1341" w:type="dxa"/>
          </w:tcPr>
          <w:p w14:paraId="51255001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74251157" w14:textId="12A50389" w:rsidR="176E0D93" w:rsidRDefault="176E0D93" w:rsidP="176E0D93"/>
        </w:tc>
        <w:tc>
          <w:tcPr>
            <w:tcW w:w="2340" w:type="dxa"/>
          </w:tcPr>
          <w:p w14:paraId="1A63B2BE" w14:textId="2F50FDCC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68F50E17" w14:textId="77777777" w:rsidTr="26532240">
        <w:tc>
          <w:tcPr>
            <w:tcW w:w="900" w:type="dxa"/>
          </w:tcPr>
          <w:p w14:paraId="27F55CA2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0AEF6A01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68B0E75D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3F06FF00" w14:textId="69F8A1F0" w:rsidR="176E0D93" w:rsidRDefault="176E0D93" w:rsidP="176E0D93"/>
        </w:tc>
        <w:tc>
          <w:tcPr>
            <w:tcW w:w="1341" w:type="dxa"/>
          </w:tcPr>
          <w:p w14:paraId="0F64E7BC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0754BBB2" w14:textId="59F00827" w:rsidR="176E0D93" w:rsidRDefault="176E0D93" w:rsidP="176E0D93"/>
        </w:tc>
        <w:tc>
          <w:tcPr>
            <w:tcW w:w="2340" w:type="dxa"/>
          </w:tcPr>
          <w:p w14:paraId="793BDE5B" w14:textId="24E20EF7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2F98A687" w14:textId="77777777" w:rsidTr="26532240">
        <w:tc>
          <w:tcPr>
            <w:tcW w:w="900" w:type="dxa"/>
          </w:tcPr>
          <w:p w14:paraId="1C2A7767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2433653D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7038A186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4AC7A05A" w14:textId="55AB6E21" w:rsidR="176E0D93" w:rsidRDefault="176E0D93" w:rsidP="176E0D93"/>
        </w:tc>
        <w:tc>
          <w:tcPr>
            <w:tcW w:w="1341" w:type="dxa"/>
          </w:tcPr>
          <w:p w14:paraId="23B9FABE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2448D374" w14:textId="1C87CEFA" w:rsidR="176E0D93" w:rsidRDefault="176E0D93" w:rsidP="176E0D93"/>
        </w:tc>
        <w:tc>
          <w:tcPr>
            <w:tcW w:w="2340" w:type="dxa"/>
          </w:tcPr>
          <w:p w14:paraId="09BD8BF8" w14:textId="11AC8D6B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690C74BC" w14:textId="77777777" w:rsidTr="26532240">
        <w:tc>
          <w:tcPr>
            <w:tcW w:w="900" w:type="dxa"/>
          </w:tcPr>
          <w:p w14:paraId="0E395F10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4A00B05E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17FCADEC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6B863EE9" w14:textId="1AA72978" w:rsidR="176E0D93" w:rsidRDefault="176E0D93" w:rsidP="176E0D93"/>
        </w:tc>
        <w:tc>
          <w:tcPr>
            <w:tcW w:w="1341" w:type="dxa"/>
          </w:tcPr>
          <w:p w14:paraId="29B8FDED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4F1B196B" w14:textId="2DA01309" w:rsidR="176E0D93" w:rsidRDefault="176E0D93" w:rsidP="176E0D93"/>
        </w:tc>
        <w:tc>
          <w:tcPr>
            <w:tcW w:w="2340" w:type="dxa"/>
          </w:tcPr>
          <w:p w14:paraId="58572400" w14:textId="224E1CF1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51CB77E7" w14:textId="77777777" w:rsidTr="26532240">
        <w:tc>
          <w:tcPr>
            <w:tcW w:w="900" w:type="dxa"/>
          </w:tcPr>
          <w:p w14:paraId="1DE746C3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4C9260FC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7D693EA2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20672EF1" w14:textId="4440304D" w:rsidR="176E0D93" w:rsidRDefault="176E0D93" w:rsidP="176E0D93"/>
        </w:tc>
        <w:tc>
          <w:tcPr>
            <w:tcW w:w="1341" w:type="dxa"/>
          </w:tcPr>
          <w:p w14:paraId="3A12CAD7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705E9D30" w14:textId="73025E8D" w:rsidR="176E0D93" w:rsidRDefault="176E0D93" w:rsidP="176E0D93"/>
        </w:tc>
        <w:tc>
          <w:tcPr>
            <w:tcW w:w="2340" w:type="dxa"/>
          </w:tcPr>
          <w:p w14:paraId="5EB181AA" w14:textId="34D0672C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6C85C2DB" w14:textId="77777777" w:rsidTr="26532240">
        <w:tc>
          <w:tcPr>
            <w:tcW w:w="900" w:type="dxa"/>
          </w:tcPr>
          <w:p w14:paraId="05C3B336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3FBECD5F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5FCE6B01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6EF146BC" w14:textId="1185F611" w:rsidR="176E0D93" w:rsidRDefault="176E0D93" w:rsidP="176E0D93"/>
        </w:tc>
        <w:tc>
          <w:tcPr>
            <w:tcW w:w="1341" w:type="dxa"/>
          </w:tcPr>
          <w:p w14:paraId="35AC7346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32BF16D5" w14:textId="491581A1" w:rsidR="176E0D93" w:rsidRDefault="176E0D93" w:rsidP="176E0D93"/>
        </w:tc>
        <w:tc>
          <w:tcPr>
            <w:tcW w:w="2340" w:type="dxa"/>
          </w:tcPr>
          <w:p w14:paraId="5F107C0B" w14:textId="036E3323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70D65052" w14:textId="77777777" w:rsidTr="26532240">
        <w:tc>
          <w:tcPr>
            <w:tcW w:w="900" w:type="dxa"/>
          </w:tcPr>
          <w:p w14:paraId="62914338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79CC9854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0CF3E42C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2C05433B" w14:textId="248B7151" w:rsidR="176E0D93" w:rsidRDefault="176E0D93" w:rsidP="176E0D93"/>
        </w:tc>
        <w:tc>
          <w:tcPr>
            <w:tcW w:w="1341" w:type="dxa"/>
          </w:tcPr>
          <w:p w14:paraId="21E3808E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4D4FE643" w14:textId="158C1DFB" w:rsidR="176E0D93" w:rsidRDefault="176E0D93" w:rsidP="176E0D93"/>
        </w:tc>
        <w:tc>
          <w:tcPr>
            <w:tcW w:w="2340" w:type="dxa"/>
          </w:tcPr>
          <w:p w14:paraId="1C235892" w14:textId="4C10218A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2A3F90EE" w14:textId="77777777" w:rsidTr="26532240">
        <w:tc>
          <w:tcPr>
            <w:tcW w:w="900" w:type="dxa"/>
          </w:tcPr>
          <w:p w14:paraId="68D44A08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3328F2A5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25200CFB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1BBCB9EC" w14:textId="6A129177" w:rsidR="176E0D93" w:rsidRDefault="176E0D93" w:rsidP="176E0D93"/>
        </w:tc>
        <w:tc>
          <w:tcPr>
            <w:tcW w:w="1341" w:type="dxa"/>
          </w:tcPr>
          <w:p w14:paraId="42226A36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00AFE4FC" w14:textId="48064640" w:rsidR="176E0D93" w:rsidRDefault="176E0D93" w:rsidP="176E0D93"/>
        </w:tc>
        <w:tc>
          <w:tcPr>
            <w:tcW w:w="2340" w:type="dxa"/>
          </w:tcPr>
          <w:p w14:paraId="54D9D0D1" w14:textId="4225E080" w:rsidR="007A4282" w:rsidRPr="0090618B" w:rsidRDefault="007A4282" w:rsidP="00C82FA2">
            <w:pPr>
              <w:rPr>
                <w:rFonts w:cstheme="minorHAnsi"/>
              </w:rPr>
            </w:pPr>
          </w:p>
        </w:tc>
      </w:tr>
      <w:tr w:rsidR="007A4282" w:rsidRPr="0090618B" w14:paraId="6B8953F3" w14:textId="77777777" w:rsidTr="26532240">
        <w:tc>
          <w:tcPr>
            <w:tcW w:w="900" w:type="dxa"/>
          </w:tcPr>
          <w:p w14:paraId="63A7D413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945" w:type="dxa"/>
          </w:tcPr>
          <w:p w14:paraId="387FC009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185" w:type="dxa"/>
          </w:tcPr>
          <w:p w14:paraId="60A10B79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05" w:type="dxa"/>
          </w:tcPr>
          <w:p w14:paraId="002ADAD0" w14:textId="40645E9C" w:rsidR="176E0D93" w:rsidRDefault="176E0D93" w:rsidP="176E0D93"/>
        </w:tc>
        <w:tc>
          <w:tcPr>
            <w:tcW w:w="1341" w:type="dxa"/>
          </w:tcPr>
          <w:p w14:paraId="7A7B8706" w14:textId="77777777" w:rsidR="007A4282" w:rsidRPr="0090618B" w:rsidRDefault="007A4282" w:rsidP="00C82FA2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2CDED82A" w14:textId="706B8259" w:rsidR="176E0D93" w:rsidRDefault="176E0D93" w:rsidP="176E0D93"/>
        </w:tc>
        <w:tc>
          <w:tcPr>
            <w:tcW w:w="2340" w:type="dxa"/>
          </w:tcPr>
          <w:p w14:paraId="5FC74392" w14:textId="6886125E" w:rsidR="007A4282" w:rsidRPr="0090618B" w:rsidRDefault="007A4282" w:rsidP="00C82FA2">
            <w:pPr>
              <w:rPr>
                <w:rFonts w:cstheme="minorHAnsi"/>
              </w:rPr>
            </w:pPr>
          </w:p>
        </w:tc>
      </w:tr>
    </w:tbl>
    <w:p w14:paraId="7AA2E1EA" w14:textId="25A59E55" w:rsidR="00266A53" w:rsidRPr="0090618B" w:rsidRDefault="00266A53" w:rsidP="2C70F3DA"/>
    <w:p w14:paraId="18D33A08" w14:textId="5FE21E86" w:rsidR="00266A53" w:rsidRPr="0090618B" w:rsidRDefault="01E9B8E7" w:rsidP="37410470">
      <w:pPr>
        <w:rPr>
          <w:rFonts w:ascii="Calibri" w:eastAsia="Calibri" w:hAnsi="Calibri" w:cs="Calibri"/>
          <w:b/>
          <w:bCs/>
          <w:sz w:val="24"/>
          <w:szCs w:val="24"/>
        </w:rPr>
      </w:pPr>
      <w:r w:rsidRPr="56C7D3FB">
        <w:rPr>
          <w:rFonts w:ascii="Calibri" w:eastAsia="Calibri" w:hAnsi="Calibri" w:cs="Calibri"/>
          <w:b/>
          <w:bCs/>
          <w:sz w:val="24"/>
          <w:szCs w:val="24"/>
        </w:rPr>
        <w:t>For all source/control device combination</w:t>
      </w:r>
      <w:r w:rsidR="6D08B5D7" w:rsidRPr="56C7D3FB">
        <w:rPr>
          <w:rFonts w:ascii="Calibri" w:eastAsia="Calibri" w:hAnsi="Calibri" w:cs="Calibri"/>
          <w:b/>
          <w:bCs/>
          <w:sz w:val="24"/>
          <w:szCs w:val="24"/>
        </w:rPr>
        <w:t xml:space="preserve">s listed </w:t>
      </w:r>
      <w:r w:rsidR="0066207F">
        <w:rPr>
          <w:rFonts w:ascii="Calibri" w:eastAsia="Calibri" w:hAnsi="Calibri" w:cs="Calibri"/>
          <w:b/>
          <w:bCs/>
          <w:sz w:val="24"/>
          <w:szCs w:val="24"/>
        </w:rPr>
        <w:t xml:space="preserve">in Table 1 </w:t>
      </w:r>
      <w:r w:rsidRPr="56C7D3FB">
        <w:rPr>
          <w:rFonts w:ascii="Calibri" w:eastAsia="Calibri" w:hAnsi="Calibri" w:cs="Calibri"/>
          <w:b/>
          <w:bCs/>
          <w:sz w:val="24"/>
          <w:szCs w:val="24"/>
        </w:rPr>
        <w:t xml:space="preserve">subject to </w:t>
      </w:r>
      <w:r w:rsidR="5C60C10F" w:rsidRPr="56C7D3FB">
        <w:rPr>
          <w:rFonts w:ascii="Calibri" w:eastAsia="Calibri" w:hAnsi="Calibri" w:cs="Calibri"/>
          <w:b/>
          <w:bCs/>
          <w:sz w:val="24"/>
          <w:szCs w:val="24"/>
        </w:rPr>
        <w:t>129.114(</w:t>
      </w:r>
      <w:proofErr w:type="spellStart"/>
      <w:r w:rsidR="5C60C10F" w:rsidRPr="56C7D3FB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="5C60C10F" w:rsidRPr="56C7D3FB">
        <w:rPr>
          <w:rFonts w:ascii="Calibri" w:eastAsia="Calibri" w:hAnsi="Calibri" w:cs="Calibri"/>
          <w:b/>
          <w:bCs/>
          <w:sz w:val="24"/>
          <w:szCs w:val="24"/>
        </w:rPr>
        <w:t>)(1)(</w:t>
      </w:r>
      <w:proofErr w:type="spellStart"/>
      <w:r w:rsidR="5C60C10F" w:rsidRPr="56C7D3FB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="5C60C10F" w:rsidRPr="56C7D3FB">
        <w:rPr>
          <w:rFonts w:ascii="Calibri" w:eastAsia="Calibri" w:hAnsi="Calibri" w:cs="Calibri"/>
          <w:b/>
          <w:bCs/>
          <w:sz w:val="24"/>
          <w:szCs w:val="24"/>
        </w:rPr>
        <w:t>)</w:t>
      </w:r>
      <w:r w:rsidR="6D08B5D7" w:rsidRPr="56C7D3FB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5C60C10F" w:rsidRPr="56C7D3FB">
        <w:rPr>
          <w:rFonts w:ascii="Calibri" w:eastAsia="Calibri" w:hAnsi="Calibri" w:cs="Calibri"/>
          <w:b/>
          <w:bCs/>
          <w:sz w:val="24"/>
          <w:szCs w:val="24"/>
        </w:rPr>
        <w:t xml:space="preserve"> please provide the following</w:t>
      </w:r>
      <w:r w:rsidR="569AC670" w:rsidRPr="56C7D3F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0FA5292" w14:textId="715AA0BB" w:rsidR="1E31B6E6" w:rsidRPr="00052387" w:rsidRDefault="1E31B6E6" w:rsidP="56C7D3FB">
      <w:pPr>
        <w:pStyle w:val="ListParagraph"/>
        <w:numPr>
          <w:ilvl w:val="0"/>
          <w:numId w:val="5"/>
        </w:numPr>
        <w:rPr>
          <w:rFonts w:eastAsiaTheme="minorEastAsia" w:cstheme="minorHAnsi"/>
          <w:b/>
          <w:bCs/>
          <w:sz w:val="24"/>
          <w:szCs w:val="24"/>
        </w:rPr>
      </w:pPr>
      <w:r w:rsidRPr="00052387">
        <w:rPr>
          <w:rFonts w:cstheme="minorHAnsi"/>
          <w:sz w:val="24"/>
          <w:szCs w:val="24"/>
        </w:rPr>
        <w:t xml:space="preserve">A statement that explains how the owner or operator determined that there is no new pollutant specific air cleaning device, air pollution control technology or technique available. </w:t>
      </w:r>
    </w:p>
    <w:p w14:paraId="3CD511D5" w14:textId="77777777" w:rsidR="00AF2423" w:rsidRPr="00052387" w:rsidRDefault="00AF2423" w:rsidP="00052387">
      <w:pPr>
        <w:pStyle w:val="ListParagraph"/>
        <w:rPr>
          <w:rFonts w:eastAsiaTheme="minorEastAsia" w:cstheme="minorHAnsi"/>
          <w:b/>
          <w:bCs/>
          <w:sz w:val="24"/>
          <w:szCs w:val="24"/>
        </w:rPr>
      </w:pPr>
    </w:p>
    <w:p w14:paraId="42BC0116" w14:textId="5519E16F" w:rsidR="1E31B6E6" w:rsidRPr="00052387" w:rsidRDefault="1E31B6E6" w:rsidP="56C7D3FB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052387">
        <w:rPr>
          <w:rFonts w:cstheme="minorHAnsi"/>
          <w:sz w:val="24"/>
          <w:szCs w:val="24"/>
        </w:rPr>
        <w:t xml:space="preserve">A copy of the final version of the cost analysis done for RACT II which was approved by the Department. If a copy of the final analysis is not available, you may submit a new cost analysis calculated consistent with the “EPA air pollution control cost manual” (sixth edition), EPA/452/b-02-001, January 2002, as amended.  </w:t>
      </w:r>
    </w:p>
    <w:p w14:paraId="21326B56" w14:textId="77777777" w:rsidR="00AF2423" w:rsidRPr="00052387" w:rsidRDefault="00AF2423" w:rsidP="0005238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0D18B7D" w14:textId="4DAFEF87" w:rsidR="1E31B6E6" w:rsidRPr="00052387" w:rsidRDefault="1E31B6E6" w:rsidP="56C7D3FB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052387">
        <w:rPr>
          <w:rFonts w:cstheme="minorHAnsi"/>
          <w:sz w:val="24"/>
          <w:szCs w:val="24"/>
        </w:rPr>
        <w:t>A statement that an evaluation of each economic feasibility analysis summarized as required above demonstrates that the cost effectiveness remains equal to or greater than $7,500 per ton of NO</w:t>
      </w:r>
      <w:r w:rsidRPr="00052387">
        <w:rPr>
          <w:rFonts w:cstheme="minorHAnsi"/>
          <w:sz w:val="24"/>
          <w:szCs w:val="24"/>
          <w:vertAlign w:val="subscript"/>
        </w:rPr>
        <w:t>x</w:t>
      </w:r>
      <w:r w:rsidRPr="00052387">
        <w:rPr>
          <w:rFonts w:cstheme="minorHAnsi"/>
          <w:sz w:val="24"/>
          <w:szCs w:val="24"/>
        </w:rPr>
        <w:t xml:space="preserve"> emissions reduced or $12,000 per ton of VOC emissions reduced.</w:t>
      </w:r>
    </w:p>
    <w:p w14:paraId="7184EA6D" w14:textId="77777777" w:rsidR="00AF2423" w:rsidRPr="00052387" w:rsidRDefault="00AF2423" w:rsidP="00052387">
      <w:pPr>
        <w:pStyle w:val="ListParagraph"/>
        <w:rPr>
          <w:rFonts w:eastAsiaTheme="minorEastAsia" w:cstheme="minorHAnsi"/>
          <w:sz w:val="24"/>
          <w:szCs w:val="24"/>
        </w:rPr>
      </w:pPr>
    </w:p>
    <w:p w14:paraId="39872AB2" w14:textId="768D7ECC" w:rsidR="1E31B6E6" w:rsidRPr="00052387" w:rsidRDefault="1E31B6E6" w:rsidP="56C7D3FB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052387">
        <w:rPr>
          <w:rFonts w:cstheme="minorHAnsi"/>
          <w:sz w:val="24"/>
          <w:szCs w:val="24"/>
        </w:rPr>
        <w:lastRenderedPageBreak/>
        <w:t xml:space="preserve">If </w:t>
      </w:r>
      <w:r w:rsidR="00AF2423" w:rsidRPr="00052387">
        <w:rPr>
          <w:rFonts w:cstheme="minorHAnsi"/>
          <w:sz w:val="24"/>
          <w:szCs w:val="24"/>
        </w:rPr>
        <w:t>the owner or operator feels</w:t>
      </w:r>
      <w:r w:rsidRPr="00052387">
        <w:rPr>
          <w:rFonts w:cstheme="minorHAnsi"/>
          <w:sz w:val="24"/>
          <w:szCs w:val="24"/>
        </w:rPr>
        <w:t xml:space="preserve"> that the Department should have any additional information to assist them in evaluating </w:t>
      </w:r>
      <w:r w:rsidR="00AF2423" w:rsidRPr="00052387">
        <w:rPr>
          <w:rFonts w:cstheme="minorHAnsi"/>
          <w:sz w:val="24"/>
          <w:szCs w:val="24"/>
        </w:rPr>
        <w:t>their</w:t>
      </w:r>
      <w:r w:rsidRPr="00052387">
        <w:rPr>
          <w:rFonts w:cstheme="minorHAnsi"/>
          <w:sz w:val="24"/>
          <w:szCs w:val="24"/>
        </w:rPr>
        <w:t xml:space="preserve"> application, please provide it.</w:t>
      </w:r>
    </w:p>
    <w:p w14:paraId="23BBA3B4" w14:textId="62E2930D" w:rsidR="004A6D2E" w:rsidRPr="0090618B" w:rsidRDefault="400BA478" w:rsidP="37410470">
      <w:pPr>
        <w:rPr>
          <w:rFonts w:ascii="Calibri" w:eastAsia="Calibri" w:hAnsi="Calibri" w:cs="Calibri"/>
          <w:b/>
          <w:bCs/>
          <w:sz w:val="24"/>
          <w:szCs w:val="24"/>
        </w:rPr>
      </w:pPr>
      <w:r w:rsidRPr="56C7D3FB">
        <w:rPr>
          <w:rFonts w:ascii="Calibri" w:eastAsia="Calibri" w:hAnsi="Calibri" w:cs="Calibri"/>
          <w:b/>
          <w:bCs/>
          <w:sz w:val="24"/>
          <w:szCs w:val="24"/>
        </w:rPr>
        <w:t xml:space="preserve">For all source/control device combinations listed </w:t>
      </w:r>
      <w:r w:rsidR="0066207F">
        <w:rPr>
          <w:rFonts w:ascii="Calibri" w:eastAsia="Calibri" w:hAnsi="Calibri" w:cs="Calibri"/>
          <w:b/>
          <w:bCs/>
          <w:sz w:val="24"/>
          <w:szCs w:val="24"/>
        </w:rPr>
        <w:t>in Table 1</w:t>
      </w:r>
      <w:r w:rsidRPr="56C7D3FB">
        <w:rPr>
          <w:rFonts w:ascii="Calibri" w:eastAsia="Calibri" w:hAnsi="Calibri" w:cs="Calibri"/>
          <w:b/>
          <w:bCs/>
          <w:sz w:val="24"/>
          <w:szCs w:val="24"/>
        </w:rPr>
        <w:t xml:space="preserve"> subject to 129.114(</w:t>
      </w:r>
      <w:proofErr w:type="spellStart"/>
      <w:r w:rsidRPr="56C7D3FB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Pr="56C7D3FB">
        <w:rPr>
          <w:rFonts w:ascii="Calibri" w:eastAsia="Calibri" w:hAnsi="Calibri" w:cs="Calibri"/>
          <w:b/>
          <w:bCs/>
          <w:sz w:val="24"/>
          <w:szCs w:val="24"/>
        </w:rPr>
        <w:t>)(1)(i</w:t>
      </w:r>
      <w:r w:rsidR="4A782301" w:rsidRPr="56C7D3FB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56C7D3FB">
        <w:rPr>
          <w:rFonts w:ascii="Calibri" w:eastAsia="Calibri" w:hAnsi="Calibri" w:cs="Calibri"/>
          <w:b/>
          <w:bCs/>
          <w:sz w:val="24"/>
          <w:szCs w:val="24"/>
        </w:rPr>
        <w:t>), please provide the following</w:t>
      </w:r>
      <w:r w:rsidR="02329348" w:rsidRPr="56C7D3FB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4D3544F" w14:textId="653127AC" w:rsidR="7AD3E266" w:rsidRPr="00052387" w:rsidRDefault="7AD3E266" w:rsidP="56C7D3FB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052387">
        <w:rPr>
          <w:sz w:val="24"/>
          <w:szCs w:val="24"/>
        </w:rPr>
        <w:t xml:space="preserve">A statement that explains how the owner or operator determined that there is no new pollutant specific air cleaning device, air pollution control technology or technique available. </w:t>
      </w:r>
    </w:p>
    <w:p w14:paraId="29CBE134" w14:textId="77777777" w:rsidR="00AF2423" w:rsidRPr="00052387" w:rsidRDefault="00AF2423" w:rsidP="00052387">
      <w:pPr>
        <w:pStyle w:val="ListParagraph"/>
        <w:rPr>
          <w:rFonts w:eastAsiaTheme="minorEastAsia"/>
          <w:sz w:val="24"/>
          <w:szCs w:val="24"/>
        </w:rPr>
      </w:pPr>
    </w:p>
    <w:p w14:paraId="0F17101A" w14:textId="29305355" w:rsidR="7AD3E266" w:rsidRPr="00052387" w:rsidRDefault="7AD3E266" w:rsidP="56C7D3F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2387">
        <w:rPr>
          <w:sz w:val="24"/>
          <w:szCs w:val="24"/>
        </w:rPr>
        <w:t xml:space="preserve">A copy of the final version of the cost analysis done for RACT II which was approved by the Department. If a copy of the final analysis is not available, </w:t>
      </w:r>
      <w:r w:rsidR="00AF2423" w:rsidRPr="00052387">
        <w:rPr>
          <w:sz w:val="24"/>
          <w:szCs w:val="24"/>
        </w:rPr>
        <w:t xml:space="preserve">the owner or operator </w:t>
      </w:r>
      <w:r w:rsidRPr="00052387">
        <w:rPr>
          <w:sz w:val="24"/>
          <w:szCs w:val="24"/>
        </w:rPr>
        <w:t xml:space="preserve">may submit a new cost analysis calculated consistent with the “EPA air pollution control cost manual” (sixth edition), EPA/452/b-02-001, January 2002, as amended.  </w:t>
      </w:r>
    </w:p>
    <w:p w14:paraId="727B014A" w14:textId="77777777" w:rsidR="00AF2423" w:rsidRPr="00052387" w:rsidRDefault="00AF2423" w:rsidP="00052387">
      <w:pPr>
        <w:pStyle w:val="ListParagraph"/>
        <w:rPr>
          <w:sz w:val="24"/>
          <w:szCs w:val="24"/>
        </w:rPr>
      </w:pPr>
    </w:p>
    <w:p w14:paraId="3A990B6F" w14:textId="1EDA0068" w:rsidR="7AD3E266" w:rsidRPr="00052387" w:rsidRDefault="7AD3E266" w:rsidP="56C7D3FB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052387">
        <w:rPr>
          <w:sz w:val="24"/>
          <w:szCs w:val="24"/>
        </w:rPr>
        <w:t>A new economic feasibility analysis for each source/control device combination.</w:t>
      </w:r>
    </w:p>
    <w:p w14:paraId="2C4E5DF0" w14:textId="77777777" w:rsidR="00AF2423" w:rsidRPr="00052387" w:rsidRDefault="00AF2423" w:rsidP="00052387">
      <w:pPr>
        <w:pStyle w:val="ListParagraph"/>
        <w:rPr>
          <w:rFonts w:eastAsiaTheme="minorEastAsia"/>
          <w:sz w:val="24"/>
          <w:szCs w:val="24"/>
        </w:rPr>
      </w:pPr>
    </w:p>
    <w:p w14:paraId="144E3425" w14:textId="557696F4" w:rsidR="7AD3E266" w:rsidRPr="00052387" w:rsidRDefault="7AD3E266" w:rsidP="56C7D3FB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052387">
        <w:rPr>
          <w:sz w:val="24"/>
          <w:szCs w:val="24"/>
        </w:rPr>
        <w:t>A statement that an evaluation of each economic feasibility analysis summarized</w:t>
      </w:r>
      <w:r w:rsidR="00C63986" w:rsidRPr="00052387">
        <w:rPr>
          <w:sz w:val="24"/>
          <w:szCs w:val="24"/>
        </w:rPr>
        <w:t xml:space="preserve"> as required above</w:t>
      </w:r>
      <w:r w:rsidRPr="00052387">
        <w:rPr>
          <w:sz w:val="24"/>
          <w:szCs w:val="24"/>
        </w:rPr>
        <w:t xml:space="preserve"> demonstrates that the cost effectiveness remains less than $7,500 per ton of NO</w:t>
      </w:r>
      <w:r w:rsidRPr="00052387">
        <w:rPr>
          <w:sz w:val="24"/>
          <w:szCs w:val="24"/>
          <w:vertAlign w:val="subscript"/>
        </w:rPr>
        <w:t>x</w:t>
      </w:r>
      <w:r w:rsidRPr="00052387">
        <w:rPr>
          <w:sz w:val="24"/>
          <w:szCs w:val="24"/>
        </w:rPr>
        <w:t xml:space="preserve"> emissions reduced or $12,000 per ton of VOC emissions reduced.</w:t>
      </w:r>
    </w:p>
    <w:p w14:paraId="649CB1DA" w14:textId="77777777" w:rsidR="00AF2423" w:rsidRPr="00052387" w:rsidRDefault="00AF2423" w:rsidP="00052387">
      <w:pPr>
        <w:pStyle w:val="ListParagraph"/>
        <w:rPr>
          <w:rFonts w:eastAsiaTheme="minorEastAsia"/>
          <w:sz w:val="24"/>
          <w:szCs w:val="24"/>
        </w:rPr>
      </w:pPr>
    </w:p>
    <w:p w14:paraId="14A86946" w14:textId="3DF9B627" w:rsidR="7AD3E266" w:rsidRPr="00052387" w:rsidRDefault="7AD3E266" w:rsidP="56C7D3FB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052387">
        <w:rPr>
          <w:sz w:val="24"/>
          <w:szCs w:val="24"/>
        </w:rPr>
        <w:t xml:space="preserve">If </w:t>
      </w:r>
      <w:r w:rsidR="00AF2423" w:rsidRPr="00052387">
        <w:rPr>
          <w:sz w:val="24"/>
          <w:szCs w:val="24"/>
        </w:rPr>
        <w:t xml:space="preserve">the owner or operator feels </w:t>
      </w:r>
      <w:r w:rsidRPr="00052387">
        <w:rPr>
          <w:sz w:val="24"/>
          <w:szCs w:val="24"/>
        </w:rPr>
        <w:t>that the Department should have any additional information to assist them in evaluating your application, please provide it.</w:t>
      </w:r>
    </w:p>
    <w:p w14:paraId="6C89EC80" w14:textId="027B9364" w:rsidR="00266A53" w:rsidRPr="0090618B" w:rsidRDefault="30ED54CF" w:rsidP="37410470">
      <w:pPr>
        <w:rPr>
          <w:rFonts w:ascii="Calibri" w:eastAsia="Calibri" w:hAnsi="Calibri" w:cs="Calibri"/>
          <w:b/>
          <w:bCs/>
          <w:sz w:val="24"/>
          <w:szCs w:val="24"/>
        </w:rPr>
      </w:pPr>
      <w:r w:rsidRPr="37410470">
        <w:rPr>
          <w:rFonts w:ascii="Calibri" w:eastAsia="Calibri" w:hAnsi="Calibri" w:cs="Calibri"/>
          <w:b/>
          <w:bCs/>
          <w:sz w:val="24"/>
          <w:szCs w:val="24"/>
        </w:rPr>
        <w:t xml:space="preserve">For all source/control device combinations listed </w:t>
      </w:r>
      <w:r w:rsidR="0066207F">
        <w:rPr>
          <w:rFonts w:ascii="Calibri" w:eastAsia="Calibri" w:hAnsi="Calibri" w:cs="Calibri"/>
          <w:b/>
          <w:bCs/>
          <w:sz w:val="24"/>
          <w:szCs w:val="24"/>
        </w:rPr>
        <w:t>in Table 1</w:t>
      </w:r>
      <w:r w:rsidRPr="37410470">
        <w:rPr>
          <w:rFonts w:ascii="Calibri" w:eastAsia="Calibri" w:hAnsi="Calibri" w:cs="Calibri"/>
          <w:b/>
          <w:bCs/>
          <w:sz w:val="24"/>
          <w:szCs w:val="24"/>
        </w:rPr>
        <w:t xml:space="preserve"> subject to 129.114(</w:t>
      </w:r>
      <w:proofErr w:type="spellStart"/>
      <w:r w:rsidRPr="37410470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Pr="37410470">
        <w:rPr>
          <w:rFonts w:ascii="Calibri" w:eastAsia="Calibri" w:hAnsi="Calibri" w:cs="Calibri"/>
          <w:b/>
          <w:bCs/>
          <w:sz w:val="24"/>
          <w:szCs w:val="24"/>
        </w:rPr>
        <w:t>)(2), please provide the following</w:t>
      </w:r>
      <w:r w:rsidR="19792379" w:rsidRPr="37410470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07E9EC9" w14:textId="25CC015D" w:rsidR="006F7684" w:rsidRPr="0090618B" w:rsidRDefault="33B7EBE9" w:rsidP="3741047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7410470">
        <w:rPr>
          <w:rFonts w:ascii="Calibri" w:eastAsia="Calibri" w:hAnsi="Calibri" w:cs="Calibri"/>
          <w:sz w:val="24"/>
          <w:szCs w:val="24"/>
        </w:rPr>
        <w:t xml:space="preserve">A technical feasibility analysis and an economic feasibility analysis in accordance with § 129.92(b) (this is a standard RACT analysis). </w:t>
      </w:r>
    </w:p>
    <w:p w14:paraId="649E5112" w14:textId="77777777" w:rsidR="006F7684" w:rsidRPr="0090618B" w:rsidRDefault="006F7684" w:rsidP="3741047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8990764" w14:textId="6A689D95" w:rsidR="006F7684" w:rsidRPr="0090618B" w:rsidRDefault="33B7EBE9" w:rsidP="37410470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7410470">
        <w:rPr>
          <w:rFonts w:ascii="Calibri" w:eastAsia="Calibri" w:hAnsi="Calibri" w:cs="Calibri"/>
          <w:sz w:val="24"/>
          <w:szCs w:val="24"/>
        </w:rPr>
        <w:t>Submit the RACT analyses to the department or appropriate approved local air pollution control agency for review.</w:t>
      </w:r>
    </w:p>
    <w:p w14:paraId="11BD57BB" w14:textId="77777777" w:rsidR="006F7684" w:rsidRPr="0090618B" w:rsidRDefault="006F7684" w:rsidP="3741047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509429D" w14:textId="59D20BB7" w:rsidR="00F34811" w:rsidRPr="0090618B" w:rsidRDefault="73767643" w:rsidP="3741047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37410470">
        <w:rPr>
          <w:rFonts w:ascii="Calibri" w:eastAsia="Calibri" w:hAnsi="Calibri" w:cs="Calibri"/>
          <w:sz w:val="24"/>
          <w:szCs w:val="24"/>
        </w:rPr>
        <w:t xml:space="preserve">If </w:t>
      </w:r>
      <w:r w:rsidR="00AF2423">
        <w:rPr>
          <w:rFonts w:ascii="Calibri" w:eastAsia="Calibri" w:hAnsi="Calibri" w:cs="Calibri"/>
          <w:sz w:val="24"/>
          <w:szCs w:val="24"/>
        </w:rPr>
        <w:t>the owner or operator feels</w:t>
      </w:r>
      <w:r w:rsidRPr="37410470">
        <w:rPr>
          <w:rFonts w:ascii="Calibri" w:eastAsia="Calibri" w:hAnsi="Calibri" w:cs="Calibri"/>
          <w:sz w:val="24"/>
          <w:szCs w:val="24"/>
        </w:rPr>
        <w:t xml:space="preserve"> that the Department should have any additional information to assist them in evaluating your application, please provide it below.</w:t>
      </w:r>
    </w:p>
    <w:p w14:paraId="5792826B" w14:textId="77777777" w:rsidR="00266A53" w:rsidRPr="0090618B" w:rsidRDefault="00266A53" w:rsidP="003A17CF">
      <w:pPr>
        <w:rPr>
          <w:rFonts w:cstheme="minorHAnsi"/>
        </w:rPr>
      </w:pPr>
    </w:p>
    <w:p w14:paraId="2AA9DE79" w14:textId="77777777" w:rsidR="00266A53" w:rsidRDefault="00266A53" w:rsidP="003A17CF"/>
    <w:p w14:paraId="6F344819" w14:textId="58CE1F56" w:rsidR="00F30CEF" w:rsidRPr="00F30CEF" w:rsidRDefault="00F30CEF" w:rsidP="32174B8B"/>
    <w:sectPr w:rsidR="00F30CEF" w:rsidRPr="00F30CEF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37654" w14:textId="77777777" w:rsidR="00C37073" w:rsidRDefault="00C37073" w:rsidP="00715544">
      <w:pPr>
        <w:spacing w:after="0" w:line="240" w:lineRule="auto"/>
      </w:pPr>
      <w:r>
        <w:separator/>
      </w:r>
    </w:p>
  </w:endnote>
  <w:endnote w:type="continuationSeparator" w:id="0">
    <w:p w14:paraId="6416F746" w14:textId="77777777" w:rsidR="00C37073" w:rsidRDefault="00C37073" w:rsidP="0071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69754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E5C58B3" w14:textId="3A8408B2" w:rsidR="005C6B22" w:rsidRDefault="005C6B22" w:rsidP="005C6B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319F8C" w14:textId="77777777" w:rsidR="00715544" w:rsidRDefault="00715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1F7E3" w14:textId="77777777" w:rsidR="00C37073" w:rsidRDefault="00C37073" w:rsidP="00715544">
      <w:pPr>
        <w:spacing w:after="0" w:line="240" w:lineRule="auto"/>
      </w:pPr>
      <w:r>
        <w:separator/>
      </w:r>
    </w:p>
  </w:footnote>
  <w:footnote w:type="continuationSeparator" w:id="0">
    <w:p w14:paraId="76EF63AE" w14:textId="77777777" w:rsidR="00C37073" w:rsidRDefault="00C37073" w:rsidP="00715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B215A"/>
    <w:multiLevelType w:val="hybridMultilevel"/>
    <w:tmpl w:val="47CE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1BAE"/>
    <w:multiLevelType w:val="hybridMultilevel"/>
    <w:tmpl w:val="077A54BA"/>
    <w:lvl w:ilvl="0" w:tplc="B484DFDE">
      <w:start w:val="1"/>
      <w:numFmt w:val="lowerLetter"/>
      <w:lvlText w:val="%1."/>
      <w:lvlJc w:val="left"/>
      <w:pPr>
        <w:ind w:left="720" w:hanging="360"/>
      </w:pPr>
    </w:lvl>
    <w:lvl w:ilvl="1" w:tplc="E83498BC">
      <w:start w:val="1"/>
      <w:numFmt w:val="lowerLetter"/>
      <w:lvlText w:val="%2."/>
      <w:lvlJc w:val="left"/>
      <w:pPr>
        <w:ind w:left="1440" w:hanging="360"/>
      </w:pPr>
    </w:lvl>
    <w:lvl w:ilvl="2" w:tplc="FCBAFB30">
      <w:start w:val="1"/>
      <w:numFmt w:val="lowerRoman"/>
      <w:lvlText w:val="%3."/>
      <w:lvlJc w:val="right"/>
      <w:pPr>
        <w:ind w:left="2160" w:hanging="180"/>
      </w:pPr>
    </w:lvl>
    <w:lvl w:ilvl="3" w:tplc="1AA6A05A">
      <w:start w:val="1"/>
      <w:numFmt w:val="decimal"/>
      <w:lvlText w:val="%4."/>
      <w:lvlJc w:val="left"/>
      <w:pPr>
        <w:ind w:left="2880" w:hanging="360"/>
      </w:pPr>
    </w:lvl>
    <w:lvl w:ilvl="4" w:tplc="45621248">
      <w:start w:val="1"/>
      <w:numFmt w:val="lowerLetter"/>
      <w:lvlText w:val="%5."/>
      <w:lvlJc w:val="left"/>
      <w:pPr>
        <w:ind w:left="3600" w:hanging="360"/>
      </w:pPr>
    </w:lvl>
    <w:lvl w:ilvl="5" w:tplc="D2AE0418">
      <w:start w:val="1"/>
      <w:numFmt w:val="lowerRoman"/>
      <w:lvlText w:val="%6."/>
      <w:lvlJc w:val="right"/>
      <w:pPr>
        <w:ind w:left="4320" w:hanging="180"/>
      </w:pPr>
    </w:lvl>
    <w:lvl w:ilvl="6" w:tplc="8D8CDA38">
      <w:start w:val="1"/>
      <w:numFmt w:val="decimal"/>
      <w:lvlText w:val="%7."/>
      <w:lvlJc w:val="left"/>
      <w:pPr>
        <w:ind w:left="5040" w:hanging="360"/>
      </w:pPr>
    </w:lvl>
    <w:lvl w:ilvl="7" w:tplc="44AE43FC">
      <w:start w:val="1"/>
      <w:numFmt w:val="lowerLetter"/>
      <w:lvlText w:val="%8."/>
      <w:lvlJc w:val="left"/>
      <w:pPr>
        <w:ind w:left="5760" w:hanging="360"/>
      </w:pPr>
    </w:lvl>
    <w:lvl w:ilvl="8" w:tplc="99F017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A9A9"/>
    <w:multiLevelType w:val="hybridMultilevel"/>
    <w:tmpl w:val="3A0AE936"/>
    <w:lvl w:ilvl="0" w:tplc="5A56E968">
      <w:start w:val="1"/>
      <w:numFmt w:val="lowerLetter"/>
      <w:lvlText w:val="%1."/>
      <w:lvlJc w:val="left"/>
      <w:pPr>
        <w:ind w:left="720" w:hanging="360"/>
      </w:pPr>
    </w:lvl>
    <w:lvl w:ilvl="1" w:tplc="F23C9692">
      <w:start w:val="1"/>
      <w:numFmt w:val="lowerLetter"/>
      <w:lvlText w:val="%2."/>
      <w:lvlJc w:val="left"/>
      <w:pPr>
        <w:ind w:left="1440" w:hanging="360"/>
      </w:pPr>
    </w:lvl>
    <w:lvl w:ilvl="2" w:tplc="CC521A54">
      <w:start w:val="1"/>
      <w:numFmt w:val="lowerRoman"/>
      <w:lvlText w:val="%3."/>
      <w:lvlJc w:val="right"/>
      <w:pPr>
        <w:ind w:left="2160" w:hanging="180"/>
      </w:pPr>
    </w:lvl>
    <w:lvl w:ilvl="3" w:tplc="69DA66BA">
      <w:start w:val="1"/>
      <w:numFmt w:val="decimal"/>
      <w:lvlText w:val="%4."/>
      <w:lvlJc w:val="left"/>
      <w:pPr>
        <w:ind w:left="2880" w:hanging="360"/>
      </w:pPr>
    </w:lvl>
    <w:lvl w:ilvl="4" w:tplc="731C6818">
      <w:start w:val="1"/>
      <w:numFmt w:val="lowerLetter"/>
      <w:lvlText w:val="%5."/>
      <w:lvlJc w:val="left"/>
      <w:pPr>
        <w:ind w:left="3600" w:hanging="360"/>
      </w:pPr>
    </w:lvl>
    <w:lvl w:ilvl="5" w:tplc="B6988394">
      <w:start w:val="1"/>
      <w:numFmt w:val="lowerRoman"/>
      <w:lvlText w:val="%6."/>
      <w:lvlJc w:val="right"/>
      <w:pPr>
        <w:ind w:left="4320" w:hanging="180"/>
      </w:pPr>
    </w:lvl>
    <w:lvl w:ilvl="6" w:tplc="65D89F9E">
      <w:start w:val="1"/>
      <w:numFmt w:val="decimal"/>
      <w:lvlText w:val="%7."/>
      <w:lvlJc w:val="left"/>
      <w:pPr>
        <w:ind w:left="5040" w:hanging="360"/>
      </w:pPr>
    </w:lvl>
    <w:lvl w:ilvl="7" w:tplc="F5C4ED32">
      <w:start w:val="1"/>
      <w:numFmt w:val="lowerLetter"/>
      <w:lvlText w:val="%8."/>
      <w:lvlJc w:val="left"/>
      <w:pPr>
        <w:ind w:left="5760" w:hanging="360"/>
      </w:pPr>
    </w:lvl>
    <w:lvl w:ilvl="8" w:tplc="16E476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6AB"/>
    <w:multiLevelType w:val="hybridMultilevel"/>
    <w:tmpl w:val="20ACA708"/>
    <w:lvl w:ilvl="0" w:tplc="9B1C1236">
      <w:start w:val="1"/>
      <w:numFmt w:val="lowerRoman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BFC2B85"/>
    <w:multiLevelType w:val="hybridMultilevel"/>
    <w:tmpl w:val="B5CE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7B3E"/>
    <w:multiLevelType w:val="hybridMultilevel"/>
    <w:tmpl w:val="A002E58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E2791"/>
    <w:multiLevelType w:val="hybridMultilevel"/>
    <w:tmpl w:val="2524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C29DC"/>
    <w:multiLevelType w:val="hybridMultilevel"/>
    <w:tmpl w:val="799A6C7E"/>
    <w:lvl w:ilvl="0" w:tplc="842E71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D8B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C0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2B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24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E8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45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2E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E2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0664E"/>
    <w:multiLevelType w:val="hybridMultilevel"/>
    <w:tmpl w:val="86F27F04"/>
    <w:lvl w:ilvl="0" w:tplc="32CE67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A25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0D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0E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F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E5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46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6A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46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5E"/>
    <w:rsid w:val="00006489"/>
    <w:rsid w:val="00017D90"/>
    <w:rsid w:val="00052387"/>
    <w:rsid w:val="00094447"/>
    <w:rsid w:val="000D0488"/>
    <w:rsid w:val="000E3C91"/>
    <w:rsid w:val="000E7A73"/>
    <w:rsid w:val="000ED448"/>
    <w:rsid w:val="00107394"/>
    <w:rsid w:val="00117FA9"/>
    <w:rsid w:val="0014926F"/>
    <w:rsid w:val="0015356B"/>
    <w:rsid w:val="00155FD6"/>
    <w:rsid w:val="00176967"/>
    <w:rsid w:val="001E71A4"/>
    <w:rsid w:val="00223C65"/>
    <w:rsid w:val="00266A53"/>
    <w:rsid w:val="00270AAC"/>
    <w:rsid w:val="002D39C5"/>
    <w:rsid w:val="002E6D8E"/>
    <w:rsid w:val="003332F9"/>
    <w:rsid w:val="00335B84"/>
    <w:rsid w:val="0033733F"/>
    <w:rsid w:val="003867AE"/>
    <w:rsid w:val="00390988"/>
    <w:rsid w:val="003A17CF"/>
    <w:rsid w:val="003B378F"/>
    <w:rsid w:val="003C3290"/>
    <w:rsid w:val="00407926"/>
    <w:rsid w:val="0041697B"/>
    <w:rsid w:val="004559A9"/>
    <w:rsid w:val="004A4A59"/>
    <w:rsid w:val="004A6D2E"/>
    <w:rsid w:val="004D34F1"/>
    <w:rsid w:val="004D7F77"/>
    <w:rsid w:val="004E02CE"/>
    <w:rsid w:val="004F23FC"/>
    <w:rsid w:val="004F393D"/>
    <w:rsid w:val="00500120"/>
    <w:rsid w:val="00527818"/>
    <w:rsid w:val="00546015"/>
    <w:rsid w:val="00560D47"/>
    <w:rsid w:val="00586EFD"/>
    <w:rsid w:val="005C6B22"/>
    <w:rsid w:val="005F29DB"/>
    <w:rsid w:val="00607323"/>
    <w:rsid w:val="00614D0D"/>
    <w:rsid w:val="00646E9A"/>
    <w:rsid w:val="0066207F"/>
    <w:rsid w:val="006672F1"/>
    <w:rsid w:val="006836CE"/>
    <w:rsid w:val="006B40F6"/>
    <w:rsid w:val="006D0BAA"/>
    <w:rsid w:val="006D5D91"/>
    <w:rsid w:val="006D5E80"/>
    <w:rsid w:val="006F7684"/>
    <w:rsid w:val="00707A97"/>
    <w:rsid w:val="00715544"/>
    <w:rsid w:val="0072799D"/>
    <w:rsid w:val="00750301"/>
    <w:rsid w:val="00792DD0"/>
    <w:rsid w:val="007A4282"/>
    <w:rsid w:val="007B4319"/>
    <w:rsid w:val="007C0875"/>
    <w:rsid w:val="007F3154"/>
    <w:rsid w:val="00800A4F"/>
    <w:rsid w:val="00887CCE"/>
    <w:rsid w:val="008A65FE"/>
    <w:rsid w:val="008B590B"/>
    <w:rsid w:val="008D6657"/>
    <w:rsid w:val="009008A3"/>
    <w:rsid w:val="0090618B"/>
    <w:rsid w:val="00945B3F"/>
    <w:rsid w:val="0095029E"/>
    <w:rsid w:val="009A26DC"/>
    <w:rsid w:val="009A3D5E"/>
    <w:rsid w:val="009C560F"/>
    <w:rsid w:val="009D4990"/>
    <w:rsid w:val="009E017B"/>
    <w:rsid w:val="009E652E"/>
    <w:rsid w:val="009F4F99"/>
    <w:rsid w:val="00A1347B"/>
    <w:rsid w:val="00A238A7"/>
    <w:rsid w:val="00A2536D"/>
    <w:rsid w:val="00A32E1C"/>
    <w:rsid w:val="00A330E7"/>
    <w:rsid w:val="00A416E3"/>
    <w:rsid w:val="00A44673"/>
    <w:rsid w:val="00A665A5"/>
    <w:rsid w:val="00A737D8"/>
    <w:rsid w:val="00AEDBBA"/>
    <w:rsid w:val="00AF1320"/>
    <w:rsid w:val="00AF2423"/>
    <w:rsid w:val="00B15D4E"/>
    <w:rsid w:val="00B27061"/>
    <w:rsid w:val="00B46C46"/>
    <w:rsid w:val="00B57EA5"/>
    <w:rsid w:val="00C37073"/>
    <w:rsid w:val="00C63986"/>
    <w:rsid w:val="00C913DC"/>
    <w:rsid w:val="00CA2CDC"/>
    <w:rsid w:val="00CB3B4D"/>
    <w:rsid w:val="00CE2AE3"/>
    <w:rsid w:val="00CF65F0"/>
    <w:rsid w:val="00D0001D"/>
    <w:rsid w:val="00D0249B"/>
    <w:rsid w:val="00D310DA"/>
    <w:rsid w:val="00D52060"/>
    <w:rsid w:val="00D55991"/>
    <w:rsid w:val="00D6358D"/>
    <w:rsid w:val="00D75EE6"/>
    <w:rsid w:val="00D777E3"/>
    <w:rsid w:val="00DC26A4"/>
    <w:rsid w:val="00DC2B64"/>
    <w:rsid w:val="00DE31E2"/>
    <w:rsid w:val="00E15E0C"/>
    <w:rsid w:val="00E3159B"/>
    <w:rsid w:val="00E320DE"/>
    <w:rsid w:val="00E55122"/>
    <w:rsid w:val="00E74C84"/>
    <w:rsid w:val="00E87840"/>
    <w:rsid w:val="00F30CEF"/>
    <w:rsid w:val="00F34811"/>
    <w:rsid w:val="00F3637E"/>
    <w:rsid w:val="00F42F62"/>
    <w:rsid w:val="00F45EC6"/>
    <w:rsid w:val="00F5302A"/>
    <w:rsid w:val="00FC4990"/>
    <w:rsid w:val="011BA856"/>
    <w:rsid w:val="013E3A3B"/>
    <w:rsid w:val="016606AD"/>
    <w:rsid w:val="01767C12"/>
    <w:rsid w:val="0193EE35"/>
    <w:rsid w:val="01E9B8E7"/>
    <w:rsid w:val="02157F33"/>
    <w:rsid w:val="02329348"/>
    <w:rsid w:val="02962C0F"/>
    <w:rsid w:val="02AF2C3D"/>
    <w:rsid w:val="02D68CCA"/>
    <w:rsid w:val="03571245"/>
    <w:rsid w:val="03FB6A08"/>
    <w:rsid w:val="04744A57"/>
    <w:rsid w:val="04DE744A"/>
    <w:rsid w:val="051454E1"/>
    <w:rsid w:val="058C4CFF"/>
    <w:rsid w:val="0599F236"/>
    <w:rsid w:val="061789DF"/>
    <w:rsid w:val="06584B15"/>
    <w:rsid w:val="06BDA2A3"/>
    <w:rsid w:val="0735C297"/>
    <w:rsid w:val="07383ED5"/>
    <w:rsid w:val="0764FE99"/>
    <w:rsid w:val="07F4A3FF"/>
    <w:rsid w:val="089C1D22"/>
    <w:rsid w:val="08B533E5"/>
    <w:rsid w:val="08B5CC30"/>
    <w:rsid w:val="08D40F40"/>
    <w:rsid w:val="08EE5FF8"/>
    <w:rsid w:val="092823E2"/>
    <w:rsid w:val="0964FBE9"/>
    <w:rsid w:val="09753961"/>
    <w:rsid w:val="098C415C"/>
    <w:rsid w:val="09974B6C"/>
    <w:rsid w:val="0A33E1F5"/>
    <w:rsid w:val="0A519C91"/>
    <w:rsid w:val="0A7895EC"/>
    <w:rsid w:val="0A791488"/>
    <w:rsid w:val="0AD7B69D"/>
    <w:rsid w:val="0B1BF993"/>
    <w:rsid w:val="0B49FDA3"/>
    <w:rsid w:val="0B5B02DA"/>
    <w:rsid w:val="0B76717D"/>
    <w:rsid w:val="0BBC35A0"/>
    <w:rsid w:val="0BE03E5D"/>
    <w:rsid w:val="0C0B9C1E"/>
    <w:rsid w:val="0C546DDD"/>
    <w:rsid w:val="0C95CC2D"/>
    <w:rsid w:val="0CD0037B"/>
    <w:rsid w:val="0D48A09F"/>
    <w:rsid w:val="0D8012F8"/>
    <w:rsid w:val="0DFB0979"/>
    <w:rsid w:val="0E818163"/>
    <w:rsid w:val="0E8476BB"/>
    <w:rsid w:val="0E8CD4DB"/>
    <w:rsid w:val="0EAE4DD5"/>
    <w:rsid w:val="0ED42545"/>
    <w:rsid w:val="0EE8D1B6"/>
    <w:rsid w:val="0F20F6F0"/>
    <w:rsid w:val="102BB938"/>
    <w:rsid w:val="106F56F7"/>
    <w:rsid w:val="10C69AED"/>
    <w:rsid w:val="10C86A16"/>
    <w:rsid w:val="111980A8"/>
    <w:rsid w:val="11F73F25"/>
    <w:rsid w:val="120B8C65"/>
    <w:rsid w:val="128342E7"/>
    <w:rsid w:val="12C8D7CB"/>
    <w:rsid w:val="12CD89DD"/>
    <w:rsid w:val="12CF8418"/>
    <w:rsid w:val="12DA61F3"/>
    <w:rsid w:val="133A834C"/>
    <w:rsid w:val="13937078"/>
    <w:rsid w:val="13CA963F"/>
    <w:rsid w:val="13FC1A5C"/>
    <w:rsid w:val="14309113"/>
    <w:rsid w:val="14430E41"/>
    <w:rsid w:val="14EFE126"/>
    <w:rsid w:val="1562CDA1"/>
    <w:rsid w:val="15B5B960"/>
    <w:rsid w:val="166A64C4"/>
    <w:rsid w:val="16B6C5FE"/>
    <w:rsid w:val="16DA609F"/>
    <w:rsid w:val="16E37DA5"/>
    <w:rsid w:val="1750F1AB"/>
    <w:rsid w:val="176E0D93"/>
    <w:rsid w:val="17ED8AEB"/>
    <w:rsid w:val="180F759B"/>
    <w:rsid w:val="181D3655"/>
    <w:rsid w:val="189EE403"/>
    <w:rsid w:val="18EFA448"/>
    <w:rsid w:val="18F86A86"/>
    <w:rsid w:val="1926CC68"/>
    <w:rsid w:val="19293A41"/>
    <w:rsid w:val="19565605"/>
    <w:rsid w:val="196C610C"/>
    <w:rsid w:val="19792379"/>
    <w:rsid w:val="19A2235F"/>
    <w:rsid w:val="19B56908"/>
    <w:rsid w:val="19E9CE54"/>
    <w:rsid w:val="1A3BD726"/>
    <w:rsid w:val="1AF83383"/>
    <w:rsid w:val="1B4D01E2"/>
    <w:rsid w:val="1B6E22B3"/>
    <w:rsid w:val="1B905D3E"/>
    <w:rsid w:val="1BD94BC2"/>
    <w:rsid w:val="1BE9DD0B"/>
    <w:rsid w:val="1C551927"/>
    <w:rsid w:val="1C63ED6F"/>
    <w:rsid w:val="1CAA342F"/>
    <w:rsid w:val="1CBD68FE"/>
    <w:rsid w:val="1CFDC4C0"/>
    <w:rsid w:val="1D0E43E8"/>
    <w:rsid w:val="1D2BF2A5"/>
    <w:rsid w:val="1D6A7CF3"/>
    <w:rsid w:val="1D72D785"/>
    <w:rsid w:val="1D8BF11B"/>
    <w:rsid w:val="1E26873E"/>
    <w:rsid w:val="1E31B6E6"/>
    <w:rsid w:val="1E388C55"/>
    <w:rsid w:val="1E52C776"/>
    <w:rsid w:val="1E73FBCC"/>
    <w:rsid w:val="1E95E376"/>
    <w:rsid w:val="1E9A4DD2"/>
    <w:rsid w:val="1F377760"/>
    <w:rsid w:val="1F626086"/>
    <w:rsid w:val="1F97C8D5"/>
    <w:rsid w:val="1FBBD6C0"/>
    <w:rsid w:val="1FE2E48B"/>
    <w:rsid w:val="20353DF2"/>
    <w:rsid w:val="205EBB54"/>
    <w:rsid w:val="20A2B367"/>
    <w:rsid w:val="20E67B66"/>
    <w:rsid w:val="212CC3CB"/>
    <w:rsid w:val="213E8D02"/>
    <w:rsid w:val="21CD633D"/>
    <w:rsid w:val="21D0E5A9"/>
    <w:rsid w:val="222DF4E4"/>
    <w:rsid w:val="22A9FD87"/>
    <w:rsid w:val="23737B82"/>
    <w:rsid w:val="23EC2CD6"/>
    <w:rsid w:val="247CEE35"/>
    <w:rsid w:val="24C535A2"/>
    <w:rsid w:val="24D03E09"/>
    <w:rsid w:val="2501E049"/>
    <w:rsid w:val="251FC570"/>
    <w:rsid w:val="252A78CA"/>
    <w:rsid w:val="26274D73"/>
    <w:rsid w:val="26532240"/>
    <w:rsid w:val="266EC924"/>
    <w:rsid w:val="26B2A0F3"/>
    <w:rsid w:val="26F900D1"/>
    <w:rsid w:val="2775E843"/>
    <w:rsid w:val="28EDD214"/>
    <w:rsid w:val="2925E2D2"/>
    <w:rsid w:val="2959D088"/>
    <w:rsid w:val="2AB7E7C2"/>
    <w:rsid w:val="2ADCBCA2"/>
    <w:rsid w:val="2B06F79D"/>
    <w:rsid w:val="2B26EB4A"/>
    <w:rsid w:val="2B5826B3"/>
    <w:rsid w:val="2B5FB751"/>
    <w:rsid w:val="2B962C2C"/>
    <w:rsid w:val="2BC7DCFB"/>
    <w:rsid w:val="2BF2353B"/>
    <w:rsid w:val="2BFAC716"/>
    <w:rsid w:val="2C70F3DA"/>
    <w:rsid w:val="2C741EF9"/>
    <w:rsid w:val="2C788D03"/>
    <w:rsid w:val="2C79A7EA"/>
    <w:rsid w:val="2CA2C7FE"/>
    <w:rsid w:val="2CA99500"/>
    <w:rsid w:val="2D3A53EF"/>
    <w:rsid w:val="2D450B88"/>
    <w:rsid w:val="2E28D4F5"/>
    <w:rsid w:val="2E7831A3"/>
    <w:rsid w:val="2F14984D"/>
    <w:rsid w:val="2F7C83C6"/>
    <w:rsid w:val="2FA956C0"/>
    <w:rsid w:val="2FC7E4AD"/>
    <w:rsid w:val="2FF7A166"/>
    <w:rsid w:val="30438CBC"/>
    <w:rsid w:val="30BC6306"/>
    <w:rsid w:val="30ED54CF"/>
    <w:rsid w:val="3106A90B"/>
    <w:rsid w:val="312B28D3"/>
    <w:rsid w:val="3159B3A3"/>
    <w:rsid w:val="317B1E4B"/>
    <w:rsid w:val="319C7A28"/>
    <w:rsid w:val="31CCCB12"/>
    <w:rsid w:val="31D97526"/>
    <w:rsid w:val="31E8496E"/>
    <w:rsid w:val="32174B8B"/>
    <w:rsid w:val="322E4BF1"/>
    <w:rsid w:val="324D9EE0"/>
    <w:rsid w:val="327B56B8"/>
    <w:rsid w:val="32BACB66"/>
    <w:rsid w:val="32C7C3A4"/>
    <w:rsid w:val="3316EEAC"/>
    <w:rsid w:val="3330B4E5"/>
    <w:rsid w:val="3345FC59"/>
    <w:rsid w:val="339C0A21"/>
    <w:rsid w:val="33B7EBE9"/>
    <w:rsid w:val="340D22C7"/>
    <w:rsid w:val="3417F116"/>
    <w:rsid w:val="34475A19"/>
    <w:rsid w:val="344ACD06"/>
    <w:rsid w:val="344C5D3B"/>
    <w:rsid w:val="3456A330"/>
    <w:rsid w:val="346408EC"/>
    <w:rsid w:val="34C68836"/>
    <w:rsid w:val="34FB38F5"/>
    <w:rsid w:val="352C222C"/>
    <w:rsid w:val="3532BE4E"/>
    <w:rsid w:val="35572BA6"/>
    <w:rsid w:val="35A0E4A3"/>
    <w:rsid w:val="35E4ED2A"/>
    <w:rsid w:val="36445796"/>
    <w:rsid w:val="36B116E1"/>
    <w:rsid w:val="36DDB077"/>
    <w:rsid w:val="36F420F6"/>
    <w:rsid w:val="37410470"/>
    <w:rsid w:val="37467D4D"/>
    <w:rsid w:val="376F9C95"/>
    <w:rsid w:val="37896E1D"/>
    <w:rsid w:val="37E575FB"/>
    <w:rsid w:val="37FA0817"/>
    <w:rsid w:val="380AF576"/>
    <w:rsid w:val="38467B4A"/>
    <w:rsid w:val="38BD484D"/>
    <w:rsid w:val="38E5BACD"/>
    <w:rsid w:val="39801619"/>
    <w:rsid w:val="39A88D87"/>
    <w:rsid w:val="39B0E968"/>
    <w:rsid w:val="39CED15C"/>
    <w:rsid w:val="39DEF6A2"/>
    <w:rsid w:val="39E74FB4"/>
    <w:rsid w:val="3A2B9C66"/>
    <w:rsid w:val="3A4ACDD4"/>
    <w:rsid w:val="3A67B09A"/>
    <w:rsid w:val="3A717691"/>
    <w:rsid w:val="3AAB8F0E"/>
    <w:rsid w:val="3AB74256"/>
    <w:rsid w:val="3AD61EA6"/>
    <w:rsid w:val="3BE35DEC"/>
    <w:rsid w:val="3BE82BA8"/>
    <w:rsid w:val="3BF43B0D"/>
    <w:rsid w:val="3CA0610E"/>
    <w:rsid w:val="3CCCE90C"/>
    <w:rsid w:val="3CD8B5E4"/>
    <w:rsid w:val="3DEBB685"/>
    <w:rsid w:val="3DFA59CD"/>
    <w:rsid w:val="3E04AA04"/>
    <w:rsid w:val="3E9DC61B"/>
    <w:rsid w:val="3ED9A37B"/>
    <w:rsid w:val="3F0351F9"/>
    <w:rsid w:val="3F2A30EA"/>
    <w:rsid w:val="3F60B0C6"/>
    <w:rsid w:val="3F92650E"/>
    <w:rsid w:val="3FD92150"/>
    <w:rsid w:val="3FD976A8"/>
    <w:rsid w:val="400BA478"/>
    <w:rsid w:val="403C1BE7"/>
    <w:rsid w:val="40F78540"/>
    <w:rsid w:val="411027B1"/>
    <w:rsid w:val="4130ABC4"/>
    <w:rsid w:val="4156AF10"/>
    <w:rsid w:val="4186689E"/>
    <w:rsid w:val="41F4BBA7"/>
    <w:rsid w:val="4217E7A6"/>
    <w:rsid w:val="429E026D"/>
    <w:rsid w:val="42B2D453"/>
    <w:rsid w:val="42CCADA0"/>
    <w:rsid w:val="42CFA703"/>
    <w:rsid w:val="4327DCDF"/>
    <w:rsid w:val="4360ECD1"/>
    <w:rsid w:val="43D4FE02"/>
    <w:rsid w:val="43F7A053"/>
    <w:rsid w:val="44060EDD"/>
    <w:rsid w:val="44F38D26"/>
    <w:rsid w:val="4576919D"/>
    <w:rsid w:val="45A27D08"/>
    <w:rsid w:val="45CB0390"/>
    <w:rsid w:val="46136F9B"/>
    <w:rsid w:val="46199E32"/>
    <w:rsid w:val="4663FFB1"/>
    <w:rsid w:val="469046FA"/>
    <w:rsid w:val="4696B9F2"/>
    <w:rsid w:val="46D5A0A3"/>
    <w:rsid w:val="46FA20EC"/>
    <w:rsid w:val="4712DB6B"/>
    <w:rsid w:val="47C10963"/>
    <w:rsid w:val="48370EF5"/>
    <w:rsid w:val="4845D74D"/>
    <w:rsid w:val="48697CD9"/>
    <w:rsid w:val="4896BFC7"/>
    <w:rsid w:val="48CB1057"/>
    <w:rsid w:val="49B66B6F"/>
    <w:rsid w:val="49C1DFEA"/>
    <w:rsid w:val="49C6C5C6"/>
    <w:rsid w:val="49CAFD2A"/>
    <w:rsid w:val="49F7BCED"/>
    <w:rsid w:val="4A4B0876"/>
    <w:rsid w:val="4A6A267D"/>
    <w:rsid w:val="4A782301"/>
    <w:rsid w:val="4AD08BE9"/>
    <w:rsid w:val="4B18A916"/>
    <w:rsid w:val="4B1D88FA"/>
    <w:rsid w:val="4B21213C"/>
    <w:rsid w:val="4B5403AC"/>
    <w:rsid w:val="4B9BD5AC"/>
    <w:rsid w:val="4BA8F093"/>
    <w:rsid w:val="4C85917B"/>
    <w:rsid w:val="4C9391C2"/>
    <w:rsid w:val="4C9D5146"/>
    <w:rsid w:val="4CB4ECBA"/>
    <w:rsid w:val="4CC2B9E5"/>
    <w:rsid w:val="4CF30C0E"/>
    <w:rsid w:val="4D0C817A"/>
    <w:rsid w:val="4D0CAE67"/>
    <w:rsid w:val="4D0DA8C8"/>
    <w:rsid w:val="4D283DC0"/>
    <w:rsid w:val="4DA04B26"/>
    <w:rsid w:val="4E2161DC"/>
    <w:rsid w:val="4E2D7DD3"/>
    <w:rsid w:val="4EE7DE05"/>
    <w:rsid w:val="4F351DCB"/>
    <w:rsid w:val="4F7912FC"/>
    <w:rsid w:val="4F9FF9BF"/>
    <w:rsid w:val="4FC3A159"/>
    <w:rsid w:val="4FD12D1C"/>
    <w:rsid w:val="4FDB0B7A"/>
    <w:rsid w:val="4FE108E3"/>
    <w:rsid w:val="501C0D82"/>
    <w:rsid w:val="503AC7B7"/>
    <w:rsid w:val="504F5A26"/>
    <w:rsid w:val="505297E7"/>
    <w:rsid w:val="50706A84"/>
    <w:rsid w:val="5087DAD5"/>
    <w:rsid w:val="50F5036E"/>
    <w:rsid w:val="514F18D2"/>
    <w:rsid w:val="51C8D4D6"/>
    <w:rsid w:val="51D6565B"/>
    <w:rsid w:val="51D8C559"/>
    <w:rsid w:val="51EA58FD"/>
    <w:rsid w:val="5288A00A"/>
    <w:rsid w:val="52D50B0D"/>
    <w:rsid w:val="52EF12A9"/>
    <w:rsid w:val="5321CE63"/>
    <w:rsid w:val="5334F0E4"/>
    <w:rsid w:val="53891F23"/>
    <w:rsid w:val="53B98210"/>
    <w:rsid w:val="53E7980C"/>
    <w:rsid w:val="53E8404B"/>
    <w:rsid w:val="5476AC6A"/>
    <w:rsid w:val="5479EC51"/>
    <w:rsid w:val="548F8901"/>
    <w:rsid w:val="549898C1"/>
    <w:rsid w:val="54AD11A9"/>
    <w:rsid w:val="54E3CD92"/>
    <w:rsid w:val="54F3197C"/>
    <w:rsid w:val="550591C8"/>
    <w:rsid w:val="551217D9"/>
    <w:rsid w:val="5563AF07"/>
    <w:rsid w:val="5576B12A"/>
    <w:rsid w:val="55E92386"/>
    <w:rsid w:val="561286F9"/>
    <w:rsid w:val="5615BCB2"/>
    <w:rsid w:val="569AC670"/>
    <w:rsid w:val="56C72C43"/>
    <w:rsid w:val="56C7D3FB"/>
    <w:rsid w:val="56FB4C2F"/>
    <w:rsid w:val="573841F4"/>
    <w:rsid w:val="5749D703"/>
    <w:rsid w:val="577CB27A"/>
    <w:rsid w:val="57B3C6CC"/>
    <w:rsid w:val="581B1DCD"/>
    <w:rsid w:val="5896069F"/>
    <w:rsid w:val="58E6ECF6"/>
    <w:rsid w:val="596B0423"/>
    <w:rsid w:val="597881D5"/>
    <w:rsid w:val="59DC6275"/>
    <w:rsid w:val="59EDF4AB"/>
    <w:rsid w:val="5AFF3D22"/>
    <w:rsid w:val="5B0BA525"/>
    <w:rsid w:val="5B147E8E"/>
    <w:rsid w:val="5B517CF7"/>
    <w:rsid w:val="5B58E838"/>
    <w:rsid w:val="5B67B707"/>
    <w:rsid w:val="5BA96163"/>
    <w:rsid w:val="5C60C10F"/>
    <w:rsid w:val="5CAF08DF"/>
    <w:rsid w:val="5CB8A4C2"/>
    <w:rsid w:val="5CDC9C55"/>
    <w:rsid w:val="5CF398E1"/>
    <w:rsid w:val="5D8A5089"/>
    <w:rsid w:val="5E981AC5"/>
    <w:rsid w:val="5EC8A339"/>
    <w:rsid w:val="5EDC2885"/>
    <w:rsid w:val="5F438A04"/>
    <w:rsid w:val="5FCEB261"/>
    <w:rsid w:val="5FE87044"/>
    <w:rsid w:val="604FE3EE"/>
    <w:rsid w:val="60618DB0"/>
    <w:rsid w:val="607097BA"/>
    <w:rsid w:val="6099D0C5"/>
    <w:rsid w:val="610844A6"/>
    <w:rsid w:val="610CA460"/>
    <w:rsid w:val="611C08C6"/>
    <w:rsid w:val="6186013A"/>
    <w:rsid w:val="6195BDC6"/>
    <w:rsid w:val="61A720C5"/>
    <w:rsid w:val="61AFEF05"/>
    <w:rsid w:val="61F6B666"/>
    <w:rsid w:val="620BA28E"/>
    <w:rsid w:val="622BA71D"/>
    <w:rsid w:val="622C5FB3"/>
    <w:rsid w:val="6234014F"/>
    <w:rsid w:val="6260086C"/>
    <w:rsid w:val="6286FEF3"/>
    <w:rsid w:val="6289FD20"/>
    <w:rsid w:val="62976CB0"/>
    <w:rsid w:val="6318B51C"/>
    <w:rsid w:val="63DD8CE7"/>
    <w:rsid w:val="64176D04"/>
    <w:rsid w:val="647AB60D"/>
    <w:rsid w:val="65400B0F"/>
    <w:rsid w:val="6551697A"/>
    <w:rsid w:val="65678B14"/>
    <w:rsid w:val="6597A92E"/>
    <w:rsid w:val="65B25E53"/>
    <w:rsid w:val="65EA389A"/>
    <w:rsid w:val="663672C7"/>
    <w:rsid w:val="67201AAC"/>
    <w:rsid w:val="677C0D66"/>
    <w:rsid w:val="67D4C171"/>
    <w:rsid w:val="68178DF3"/>
    <w:rsid w:val="682BB3D1"/>
    <w:rsid w:val="6856553C"/>
    <w:rsid w:val="685A22BE"/>
    <w:rsid w:val="685B0648"/>
    <w:rsid w:val="68A37D1D"/>
    <w:rsid w:val="68F554F2"/>
    <w:rsid w:val="6928D4BA"/>
    <w:rsid w:val="6977E3F2"/>
    <w:rsid w:val="69978C29"/>
    <w:rsid w:val="69EEE7D1"/>
    <w:rsid w:val="6AB304CB"/>
    <w:rsid w:val="6ACAAED7"/>
    <w:rsid w:val="6AF3D813"/>
    <w:rsid w:val="6B53C0E3"/>
    <w:rsid w:val="6BEC7878"/>
    <w:rsid w:val="6BF71260"/>
    <w:rsid w:val="6C3C82CC"/>
    <w:rsid w:val="6C45AFDA"/>
    <w:rsid w:val="6C522D42"/>
    <w:rsid w:val="6C5FCDF7"/>
    <w:rsid w:val="6C6E408F"/>
    <w:rsid w:val="6C9882CB"/>
    <w:rsid w:val="6CA98FDB"/>
    <w:rsid w:val="6CAF5E86"/>
    <w:rsid w:val="6CEFB270"/>
    <w:rsid w:val="6D08B5D7"/>
    <w:rsid w:val="6D844720"/>
    <w:rsid w:val="6DBB362F"/>
    <w:rsid w:val="6E59FD49"/>
    <w:rsid w:val="6E70D706"/>
    <w:rsid w:val="6E7E7691"/>
    <w:rsid w:val="6EA6B12B"/>
    <w:rsid w:val="6EBC1111"/>
    <w:rsid w:val="6F8C2815"/>
    <w:rsid w:val="6FEFD73E"/>
    <w:rsid w:val="6FF08065"/>
    <w:rsid w:val="6FF51132"/>
    <w:rsid w:val="70458401"/>
    <w:rsid w:val="70B5E14C"/>
    <w:rsid w:val="70EDE848"/>
    <w:rsid w:val="713B336E"/>
    <w:rsid w:val="716E93F3"/>
    <w:rsid w:val="71719313"/>
    <w:rsid w:val="71ACAC02"/>
    <w:rsid w:val="71D7375F"/>
    <w:rsid w:val="7232CA9D"/>
    <w:rsid w:val="72472313"/>
    <w:rsid w:val="728C82C9"/>
    <w:rsid w:val="72D66089"/>
    <w:rsid w:val="73249298"/>
    <w:rsid w:val="7360F9F1"/>
    <w:rsid w:val="73767643"/>
    <w:rsid w:val="739CA010"/>
    <w:rsid w:val="74707014"/>
    <w:rsid w:val="74B77B32"/>
    <w:rsid w:val="74D8AB81"/>
    <w:rsid w:val="752CB26F"/>
    <w:rsid w:val="7540B70C"/>
    <w:rsid w:val="75878D18"/>
    <w:rsid w:val="76190D2C"/>
    <w:rsid w:val="7628B29C"/>
    <w:rsid w:val="764F75DF"/>
    <w:rsid w:val="766B808B"/>
    <w:rsid w:val="7679D6B3"/>
    <w:rsid w:val="768A6413"/>
    <w:rsid w:val="76B62E5E"/>
    <w:rsid w:val="77185D37"/>
    <w:rsid w:val="77780018"/>
    <w:rsid w:val="77861C07"/>
    <w:rsid w:val="77950236"/>
    <w:rsid w:val="77E02254"/>
    <w:rsid w:val="782903C7"/>
    <w:rsid w:val="78389745"/>
    <w:rsid w:val="789E79DC"/>
    <w:rsid w:val="78A7FEAF"/>
    <w:rsid w:val="78C645E4"/>
    <w:rsid w:val="78C7388D"/>
    <w:rsid w:val="78D1BBB1"/>
    <w:rsid w:val="78D8381C"/>
    <w:rsid w:val="7926280A"/>
    <w:rsid w:val="797E501C"/>
    <w:rsid w:val="7994032C"/>
    <w:rsid w:val="79B07092"/>
    <w:rsid w:val="79C00850"/>
    <w:rsid w:val="79DD7410"/>
    <w:rsid w:val="79E20422"/>
    <w:rsid w:val="7A8D91D7"/>
    <w:rsid w:val="7ACC3B60"/>
    <w:rsid w:val="7AD3E266"/>
    <w:rsid w:val="7B39A98F"/>
    <w:rsid w:val="7B3D8CCB"/>
    <w:rsid w:val="7B706D87"/>
    <w:rsid w:val="7BA626D7"/>
    <w:rsid w:val="7BD6CD99"/>
    <w:rsid w:val="7BE772A0"/>
    <w:rsid w:val="7C33202C"/>
    <w:rsid w:val="7C7E86CC"/>
    <w:rsid w:val="7CC347C3"/>
    <w:rsid w:val="7CEA540C"/>
    <w:rsid w:val="7D6D8819"/>
    <w:rsid w:val="7DC9B4EA"/>
    <w:rsid w:val="7DCFBF26"/>
    <w:rsid w:val="7DEADFF0"/>
    <w:rsid w:val="7E154FA1"/>
    <w:rsid w:val="7E840BDE"/>
    <w:rsid w:val="7F066D20"/>
    <w:rsid w:val="7F16B0E8"/>
    <w:rsid w:val="7F699353"/>
    <w:rsid w:val="7F7E9534"/>
    <w:rsid w:val="7FC999B3"/>
    <w:rsid w:val="7FCE6B2C"/>
    <w:rsid w:val="7FD5B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EB9B32"/>
  <w15:chartTrackingRefBased/>
  <w15:docId w15:val="{BCD8A1A8-04C0-48D2-AF05-3AC27E9D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544"/>
  </w:style>
  <w:style w:type="paragraph" w:styleId="Footer">
    <w:name w:val="footer"/>
    <w:basedOn w:val="Normal"/>
    <w:link w:val="FooterChar"/>
    <w:uiPriority w:val="99"/>
    <w:unhideWhenUsed/>
    <w:rsid w:val="00715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544"/>
  </w:style>
  <w:style w:type="paragraph" w:styleId="BalloonText">
    <w:name w:val="Balloon Text"/>
    <w:basedOn w:val="Normal"/>
    <w:link w:val="BalloonTextChar"/>
    <w:uiPriority w:val="99"/>
    <w:semiHidden/>
    <w:unhideWhenUsed/>
    <w:rsid w:val="0066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5117</Characters>
  <Application>Microsoft Office Word</Application>
  <DocSecurity>4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Pascucci, Vincent</dc:creator>
  <cp:keywords/>
  <dc:description/>
  <cp:lastModifiedBy>Bhatt, Naishadh</cp:lastModifiedBy>
  <cp:revision>2</cp:revision>
  <cp:lastPrinted>2022-12-08T20:49:00Z</cp:lastPrinted>
  <dcterms:created xsi:type="dcterms:W3CDTF">2022-12-19T18:17:00Z</dcterms:created>
  <dcterms:modified xsi:type="dcterms:W3CDTF">2022-12-19T18:17:00Z</dcterms:modified>
</cp:coreProperties>
</file>