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D26" w:rsidRDefault="000F1D26"/>
    <w:p w:rsidR="00365E82" w:rsidRDefault="00365E82" w:rsidP="006E7101">
      <w:pPr>
        <w:jc w:val="center"/>
      </w:pPr>
    </w:p>
    <w:p w:rsidR="00365E82" w:rsidRDefault="00365E82"/>
    <w:p w:rsidR="00365E82" w:rsidRDefault="00365E82"/>
    <w:p w:rsidR="006E7101" w:rsidRDefault="006E7101"/>
    <w:p w:rsidR="006E7101" w:rsidRDefault="006E7101"/>
    <w:p w:rsidR="00365E82" w:rsidRPr="00365E82" w:rsidRDefault="00365E82" w:rsidP="00365E82">
      <w:pPr>
        <w:jc w:val="center"/>
        <w:rPr>
          <w:rFonts w:ascii="Arial" w:hAnsi="Arial" w:cs="Arial"/>
          <w:b/>
          <w:sz w:val="48"/>
          <w:szCs w:val="48"/>
        </w:rPr>
      </w:pPr>
      <w:r w:rsidRPr="00365E82">
        <w:rPr>
          <w:rFonts w:ascii="Arial" w:hAnsi="Arial" w:cs="Arial"/>
          <w:b/>
          <w:sz w:val="48"/>
          <w:szCs w:val="48"/>
        </w:rPr>
        <w:t xml:space="preserve">User’s Manual for the Quick </w:t>
      </w:r>
      <w:proofErr w:type="spellStart"/>
      <w:r w:rsidRPr="00365E82">
        <w:rPr>
          <w:rFonts w:ascii="Arial" w:hAnsi="Arial" w:cs="Arial"/>
          <w:b/>
          <w:sz w:val="48"/>
          <w:szCs w:val="48"/>
        </w:rPr>
        <w:t>Domenico</w:t>
      </w:r>
      <w:proofErr w:type="spellEnd"/>
      <w:r w:rsidRPr="00365E82">
        <w:rPr>
          <w:rFonts w:ascii="Arial" w:hAnsi="Arial" w:cs="Arial"/>
          <w:b/>
          <w:sz w:val="48"/>
          <w:szCs w:val="48"/>
        </w:rPr>
        <w:t xml:space="preserve"> Groundwater Fate-and-Transport Model</w:t>
      </w:r>
    </w:p>
    <w:p w:rsidR="00365E82" w:rsidRDefault="00365E82"/>
    <w:p w:rsidR="00365E82" w:rsidRDefault="00365E82"/>
    <w:p w:rsidR="00365E82" w:rsidRDefault="00365E82"/>
    <w:p w:rsidR="00224D46" w:rsidRDefault="00224D46"/>
    <w:p w:rsidR="00224D46" w:rsidRDefault="00224D46"/>
    <w:p w:rsidR="00224D46" w:rsidRDefault="00224D46"/>
    <w:p w:rsidR="00224D46" w:rsidRDefault="00224D46"/>
    <w:p w:rsidR="00224D46" w:rsidRDefault="00224D46"/>
    <w:p w:rsidR="00224D46" w:rsidRDefault="00224D46"/>
    <w:p w:rsidR="00365E82" w:rsidRPr="002569ED" w:rsidRDefault="00365E82">
      <w:pPr>
        <w:rPr>
          <w:sz w:val="28"/>
          <w:szCs w:val="28"/>
        </w:rPr>
      </w:pPr>
    </w:p>
    <w:p w:rsidR="00365E82" w:rsidRPr="002569ED" w:rsidRDefault="00365E82" w:rsidP="002569ED">
      <w:pPr>
        <w:jc w:val="center"/>
        <w:rPr>
          <w:b/>
          <w:sz w:val="28"/>
          <w:szCs w:val="28"/>
        </w:rPr>
      </w:pPr>
      <w:r w:rsidRPr="002569ED">
        <w:rPr>
          <w:b/>
          <w:sz w:val="28"/>
          <w:szCs w:val="28"/>
        </w:rPr>
        <w:t xml:space="preserve">Environmental Cleanup </w:t>
      </w:r>
      <w:r w:rsidR="0098713F" w:rsidRPr="002569ED">
        <w:rPr>
          <w:b/>
          <w:sz w:val="28"/>
          <w:szCs w:val="28"/>
        </w:rPr>
        <w:t>and Brownfields</w:t>
      </w:r>
    </w:p>
    <w:p w:rsidR="00365E82" w:rsidRDefault="00365E82"/>
    <w:p w:rsidR="002569ED" w:rsidRDefault="002569ED"/>
    <w:p w:rsidR="00365E82" w:rsidRDefault="00365E82"/>
    <w:p w:rsidR="008149CC" w:rsidRDefault="008149CC"/>
    <w:p w:rsidR="008149CC" w:rsidRDefault="008149CC"/>
    <w:p w:rsidR="008149CC" w:rsidRDefault="008149CC"/>
    <w:p w:rsidR="008149CC" w:rsidRDefault="008149CC"/>
    <w:p w:rsidR="008149CC" w:rsidRDefault="008149CC"/>
    <w:p w:rsidR="008149CC" w:rsidRDefault="008149CC"/>
    <w:p w:rsidR="008149CC" w:rsidRDefault="008149CC"/>
    <w:p w:rsidR="008149CC" w:rsidRDefault="008149CC"/>
    <w:p w:rsidR="008149CC" w:rsidRDefault="008149CC"/>
    <w:p w:rsidR="008149CC" w:rsidRDefault="008149CC"/>
    <w:p w:rsidR="008149CC" w:rsidRDefault="008149CC"/>
    <w:p w:rsidR="00365E82" w:rsidRDefault="00365E82"/>
    <w:tbl>
      <w:tblPr>
        <w:tblW w:w="5000" w:type="pct"/>
        <w:tblLook w:val="01E0" w:firstRow="1" w:lastRow="1" w:firstColumn="1" w:lastColumn="1" w:noHBand="0" w:noVBand="0"/>
      </w:tblPr>
      <w:tblGrid>
        <w:gridCol w:w="4680"/>
        <w:gridCol w:w="4896"/>
      </w:tblGrid>
      <w:tr w:rsidR="00365E82" w:rsidTr="006F405C">
        <w:tc>
          <w:tcPr>
            <w:tcW w:w="2500" w:type="pct"/>
            <w:tcBorders>
              <w:bottom w:val="single" w:sz="4" w:space="0" w:color="auto"/>
            </w:tcBorders>
            <w:shd w:val="clear" w:color="auto" w:fill="auto"/>
          </w:tcPr>
          <w:p w:rsidR="00011BDE" w:rsidRDefault="008D36A0" w:rsidP="006F405C">
            <w:pPr>
              <w:spacing w:before="120" w:after="120"/>
            </w:pPr>
            <w:r>
              <w:t xml:space="preserve">Version </w:t>
            </w:r>
            <w:r w:rsidR="002C47D0">
              <w:t>No. 3</w:t>
            </w:r>
            <w:r>
              <w:t>b</w:t>
            </w:r>
            <w:bookmarkStart w:id="0" w:name="_GoBack"/>
            <w:bookmarkEnd w:id="0"/>
          </w:p>
          <w:p w:rsidR="00365E82" w:rsidRDefault="00D841CD" w:rsidP="00EE5861">
            <w:pPr>
              <w:spacing w:before="120" w:after="120"/>
            </w:pPr>
            <w:r>
              <w:t>2</w:t>
            </w:r>
            <w:r w:rsidR="00EE5861">
              <w:t>8</w:t>
            </w:r>
            <w:r>
              <w:t xml:space="preserve"> February</w:t>
            </w:r>
            <w:r w:rsidR="002C47D0">
              <w:t xml:space="preserve"> 2014</w:t>
            </w:r>
          </w:p>
        </w:tc>
        <w:tc>
          <w:tcPr>
            <w:tcW w:w="2500" w:type="pct"/>
            <w:tcBorders>
              <w:bottom w:val="single" w:sz="4" w:space="0" w:color="auto"/>
            </w:tcBorders>
            <w:shd w:val="clear" w:color="auto" w:fill="auto"/>
          </w:tcPr>
          <w:p w:rsidR="00365E82" w:rsidRDefault="0098713F" w:rsidP="006F405C">
            <w:pPr>
              <w:jc w:val="right"/>
            </w:pPr>
            <w:r>
              <w:rPr>
                <w:rFonts w:ascii="Verdana" w:hAnsi="Verdana" w:cs="Verdana"/>
                <w:noProof/>
                <w:sz w:val="20"/>
                <w:szCs w:val="20"/>
              </w:rPr>
              <w:drawing>
                <wp:inline distT="0" distB="0" distL="0" distR="0" wp14:anchorId="45290E74" wp14:editId="531C51E7">
                  <wp:extent cx="2971800" cy="678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1800" cy="678180"/>
                          </a:xfrm>
                          <a:prstGeom prst="rect">
                            <a:avLst/>
                          </a:prstGeom>
                          <a:noFill/>
                          <a:ln>
                            <a:noFill/>
                          </a:ln>
                        </pic:spPr>
                      </pic:pic>
                    </a:graphicData>
                  </a:graphic>
                </wp:inline>
              </w:drawing>
            </w:r>
          </w:p>
        </w:tc>
      </w:tr>
    </w:tbl>
    <w:p w:rsidR="00365E82" w:rsidRDefault="00365E82"/>
    <w:p w:rsidR="00365E82" w:rsidRDefault="00365E82">
      <w:pPr>
        <w:sectPr w:rsidR="00365E82" w:rsidSect="00553360">
          <w:headerReference w:type="default" r:id="rId10"/>
          <w:footerReference w:type="even" r:id="rId11"/>
          <w:footerReference w:type="default" r:id="rId12"/>
          <w:footerReference w:type="first" r:id="rId13"/>
          <w:pgSz w:w="12240" w:h="15840"/>
          <w:pgMar w:top="1440" w:right="1440" w:bottom="1440" w:left="1440" w:header="720" w:footer="720" w:gutter="0"/>
          <w:pgNumType w:start="0"/>
          <w:cols w:space="720"/>
          <w:titlePg/>
          <w:docGrid w:linePitch="360"/>
        </w:sectPr>
      </w:pPr>
    </w:p>
    <w:p w:rsidR="00365E82" w:rsidRPr="00611212" w:rsidRDefault="00365E82">
      <w:pPr>
        <w:rPr>
          <w:rFonts w:ascii="Arial" w:hAnsi="Arial" w:cs="Arial"/>
          <w:b/>
          <w:sz w:val="36"/>
          <w:szCs w:val="36"/>
        </w:rPr>
      </w:pPr>
      <w:r w:rsidRPr="00B45D31">
        <w:rPr>
          <w:rFonts w:ascii="Arial" w:hAnsi="Arial" w:cs="Arial"/>
          <w:b/>
          <w:sz w:val="36"/>
          <w:szCs w:val="36"/>
        </w:rPr>
        <w:lastRenderedPageBreak/>
        <w:t>Table of Contents</w:t>
      </w:r>
    </w:p>
    <w:p w:rsidR="00B048CB" w:rsidRDefault="003B2A01">
      <w:pPr>
        <w:pStyle w:val="TOC1"/>
        <w:tabs>
          <w:tab w:val="left" w:pos="480"/>
          <w:tab w:val="right" w:leader="dot" w:pos="9350"/>
        </w:tabs>
        <w:rPr>
          <w:rFonts w:asciiTheme="minorHAnsi" w:eastAsiaTheme="minorEastAsia" w:hAnsiTheme="minorHAnsi" w:cstheme="minorBidi"/>
          <w:b w:val="0"/>
          <w:bCs w:val="0"/>
          <w:noProof/>
          <w:sz w:val="22"/>
          <w:szCs w:val="22"/>
        </w:rPr>
      </w:pPr>
      <w:r w:rsidRPr="00950492">
        <w:rPr>
          <w:caps/>
          <w:sz w:val="24"/>
          <w:szCs w:val="24"/>
        </w:rPr>
        <w:fldChar w:fldCharType="begin"/>
      </w:r>
      <w:r w:rsidRPr="00950492">
        <w:rPr>
          <w:caps/>
          <w:sz w:val="24"/>
          <w:szCs w:val="24"/>
        </w:rPr>
        <w:instrText xml:space="preserve"> TOC \o "1-2" \h \z \u </w:instrText>
      </w:r>
      <w:r w:rsidRPr="00950492">
        <w:rPr>
          <w:caps/>
          <w:sz w:val="24"/>
          <w:szCs w:val="24"/>
        </w:rPr>
        <w:fldChar w:fldCharType="separate"/>
      </w:r>
      <w:hyperlink w:anchor="_Toc381357771" w:history="1">
        <w:r w:rsidR="00B048CB" w:rsidRPr="00820FE4">
          <w:rPr>
            <w:rStyle w:val="Hyperlink"/>
            <w:noProof/>
          </w:rPr>
          <w:t>1.</w:t>
        </w:r>
        <w:r w:rsidR="00B048CB">
          <w:rPr>
            <w:rFonts w:asciiTheme="minorHAnsi" w:eastAsiaTheme="minorEastAsia" w:hAnsiTheme="minorHAnsi" w:cstheme="minorBidi"/>
            <w:b w:val="0"/>
            <w:bCs w:val="0"/>
            <w:noProof/>
            <w:sz w:val="22"/>
            <w:szCs w:val="22"/>
          </w:rPr>
          <w:tab/>
        </w:r>
        <w:r w:rsidR="00B048CB" w:rsidRPr="00820FE4">
          <w:rPr>
            <w:rStyle w:val="Hyperlink"/>
            <w:noProof/>
          </w:rPr>
          <w:t>Introduction</w:t>
        </w:r>
        <w:r w:rsidR="00B048CB">
          <w:rPr>
            <w:noProof/>
            <w:webHidden/>
          </w:rPr>
          <w:tab/>
        </w:r>
        <w:r w:rsidR="00B048CB">
          <w:rPr>
            <w:noProof/>
            <w:webHidden/>
          </w:rPr>
          <w:fldChar w:fldCharType="begin"/>
        </w:r>
        <w:r w:rsidR="00B048CB">
          <w:rPr>
            <w:noProof/>
            <w:webHidden/>
          </w:rPr>
          <w:instrText xml:space="preserve"> PAGEREF _Toc381357771 \h </w:instrText>
        </w:r>
        <w:r w:rsidR="00B048CB">
          <w:rPr>
            <w:noProof/>
            <w:webHidden/>
          </w:rPr>
        </w:r>
        <w:r w:rsidR="00B048CB">
          <w:rPr>
            <w:noProof/>
            <w:webHidden/>
          </w:rPr>
          <w:fldChar w:fldCharType="separate"/>
        </w:r>
        <w:r w:rsidR="00B048CB">
          <w:rPr>
            <w:noProof/>
            <w:webHidden/>
          </w:rPr>
          <w:t>1</w:t>
        </w:r>
        <w:r w:rsidR="00B048CB">
          <w:rPr>
            <w:noProof/>
            <w:webHidden/>
          </w:rPr>
          <w:fldChar w:fldCharType="end"/>
        </w:r>
      </w:hyperlink>
    </w:p>
    <w:p w:rsidR="00B048CB" w:rsidRDefault="003D2C85">
      <w:pPr>
        <w:pStyle w:val="TOC2"/>
        <w:tabs>
          <w:tab w:val="left" w:pos="960"/>
          <w:tab w:val="right" w:leader="dot" w:pos="9350"/>
        </w:tabs>
        <w:rPr>
          <w:rFonts w:asciiTheme="minorHAnsi" w:eastAsiaTheme="minorEastAsia" w:hAnsiTheme="minorHAnsi" w:cstheme="minorBidi"/>
          <w:i w:val="0"/>
          <w:iCs w:val="0"/>
          <w:noProof/>
          <w:sz w:val="22"/>
          <w:szCs w:val="22"/>
        </w:rPr>
      </w:pPr>
      <w:hyperlink w:anchor="_Toc381357772" w:history="1">
        <w:r w:rsidR="00B048CB" w:rsidRPr="00820FE4">
          <w:rPr>
            <w:rStyle w:val="Hyperlink"/>
            <w:noProof/>
          </w:rPr>
          <w:t>1.1.</w:t>
        </w:r>
        <w:r w:rsidR="00B048CB">
          <w:rPr>
            <w:rFonts w:asciiTheme="minorHAnsi" w:eastAsiaTheme="minorEastAsia" w:hAnsiTheme="minorHAnsi" w:cstheme="minorBidi"/>
            <w:i w:val="0"/>
            <w:iCs w:val="0"/>
            <w:noProof/>
            <w:sz w:val="22"/>
            <w:szCs w:val="22"/>
          </w:rPr>
          <w:tab/>
        </w:r>
        <w:r w:rsidR="00B048CB" w:rsidRPr="00820FE4">
          <w:rPr>
            <w:rStyle w:val="Hyperlink"/>
            <w:noProof/>
          </w:rPr>
          <w:t>Purpose of Quick Domenico</w:t>
        </w:r>
        <w:r w:rsidR="00B048CB">
          <w:rPr>
            <w:noProof/>
            <w:webHidden/>
          </w:rPr>
          <w:tab/>
        </w:r>
        <w:r w:rsidR="00B048CB">
          <w:rPr>
            <w:noProof/>
            <w:webHidden/>
          </w:rPr>
          <w:fldChar w:fldCharType="begin"/>
        </w:r>
        <w:r w:rsidR="00B048CB">
          <w:rPr>
            <w:noProof/>
            <w:webHidden/>
          </w:rPr>
          <w:instrText xml:space="preserve"> PAGEREF _Toc381357772 \h </w:instrText>
        </w:r>
        <w:r w:rsidR="00B048CB">
          <w:rPr>
            <w:noProof/>
            <w:webHidden/>
          </w:rPr>
        </w:r>
        <w:r w:rsidR="00B048CB">
          <w:rPr>
            <w:noProof/>
            <w:webHidden/>
          </w:rPr>
          <w:fldChar w:fldCharType="separate"/>
        </w:r>
        <w:r w:rsidR="00B048CB">
          <w:rPr>
            <w:noProof/>
            <w:webHidden/>
          </w:rPr>
          <w:t>1</w:t>
        </w:r>
        <w:r w:rsidR="00B048CB">
          <w:rPr>
            <w:noProof/>
            <w:webHidden/>
          </w:rPr>
          <w:fldChar w:fldCharType="end"/>
        </w:r>
      </w:hyperlink>
    </w:p>
    <w:p w:rsidR="00B048CB" w:rsidRDefault="003D2C85">
      <w:pPr>
        <w:pStyle w:val="TOC2"/>
        <w:tabs>
          <w:tab w:val="left" w:pos="960"/>
          <w:tab w:val="right" w:leader="dot" w:pos="9350"/>
        </w:tabs>
        <w:rPr>
          <w:rFonts w:asciiTheme="minorHAnsi" w:eastAsiaTheme="minorEastAsia" w:hAnsiTheme="minorHAnsi" w:cstheme="minorBidi"/>
          <w:i w:val="0"/>
          <w:iCs w:val="0"/>
          <w:noProof/>
          <w:sz w:val="22"/>
          <w:szCs w:val="22"/>
        </w:rPr>
      </w:pPr>
      <w:hyperlink w:anchor="_Toc381357773" w:history="1">
        <w:r w:rsidR="00B048CB" w:rsidRPr="00820FE4">
          <w:rPr>
            <w:rStyle w:val="Hyperlink"/>
            <w:noProof/>
          </w:rPr>
          <w:t>1.2.</w:t>
        </w:r>
        <w:r w:rsidR="00B048CB">
          <w:rPr>
            <w:rFonts w:asciiTheme="minorHAnsi" w:eastAsiaTheme="minorEastAsia" w:hAnsiTheme="minorHAnsi" w:cstheme="minorBidi"/>
            <w:i w:val="0"/>
            <w:iCs w:val="0"/>
            <w:noProof/>
            <w:sz w:val="22"/>
            <w:szCs w:val="22"/>
          </w:rPr>
          <w:tab/>
        </w:r>
        <w:r w:rsidR="00B048CB" w:rsidRPr="00820FE4">
          <w:rPr>
            <w:rStyle w:val="Hyperlink"/>
            <w:noProof/>
          </w:rPr>
          <w:t>Overview of Manual</w:t>
        </w:r>
        <w:r w:rsidR="00B048CB">
          <w:rPr>
            <w:noProof/>
            <w:webHidden/>
          </w:rPr>
          <w:tab/>
        </w:r>
        <w:r w:rsidR="00B048CB">
          <w:rPr>
            <w:noProof/>
            <w:webHidden/>
          </w:rPr>
          <w:fldChar w:fldCharType="begin"/>
        </w:r>
        <w:r w:rsidR="00B048CB">
          <w:rPr>
            <w:noProof/>
            <w:webHidden/>
          </w:rPr>
          <w:instrText xml:space="preserve"> PAGEREF _Toc381357773 \h </w:instrText>
        </w:r>
        <w:r w:rsidR="00B048CB">
          <w:rPr>
            <w:noProof/>
            <w:webHidden/>
          </w:rPr>
        </w:r>
        <w:r w:rsidR="00B048CB">
          <w:rPr>
            <w:noProof/>
            <w:webHidden/>
          </w:rPr>
          <w:fldChar w:fldCharType="separate"/>
        </w:r>
        <w:r w:rsidR="00B048CB">
          <w:rPr>
            <w:noProof/>
            <w:webHidden/>
          </w:rPr>
          <w:t>2</w:t>
        </w:r>
        <w:r w:rsidR="00B048CB">
          <w:rPr>
            <w:noProof/>
            <w:webHidden/>
          </w:rPr>
          <w:fldChar w:fldCharType="end"/>
        </w:r>
      </w:hyperlink>
    </w:p>
    <w:p w:rsidR="00B048CB" w:rsidRDefault="003D2C85">
      <w:pPr>
        <w:pStyle w:val="TOC2"/>
        <w:tabs>
          <w:tab w:val="left" w:pos="960"/>
          <w:tab w:val="right" w:leader="dot" w:pos="9350"/>
        </w:tabs>
        <w:rPr>
          <w:rFonts w:asciiTheme="minorHAnsi" w:eastAsiaTheme="minorEastAsia" w:hAnsiTheme="minorHAnsi" w:cstheme="minorBidi"/>
          <w:i w:val="0"/>
          <w:iCs w:val="0"/>
          <w:noProof/>
          <w:sz w:val="22"/>
          <w:szCs w:val="22"/>
        </w:rPr>
      </w:pPr>
      <w:hyperlink w:anchor="_Toc381357774" w:history="1">
        <w:r w:rsidR="00B048CB" w:rsidRPr="00820FE4">
          <w:rPr>
            <w:rStyle w:val="Hyperlink"/>
            <w:noProof/>
          </w:rPr>
          <w:t>1.3.</w:t>
        </w:r>
        <w:r w:rsidR="00B048CB">
          <w:rPr>
            <w:rFonts w:asciiTheme="minorHAnsi" w:eastAsiaTheme="minorEastAsia" w:hAnsiTheme="minorHAnsi" w:cstheme="minorBidi"/>
            <w:i w:val="0"/>
            <w:iCs w:val="0"/>
            <w:noProof/>
            <w:sz w:val="22"/>
            <w:szCs w:val="22"/>
          </w:rPr>
          <w:tab/>
        </w:r>
        <w:r w:rsidR="00B048CB" w:rsidRPr="00820FE4">
          <w:rPr>
            <w:rStyle w:val="Hyperlink"/>
            <w:noProof/>
          </w:rPr>
          <w:t>System Requirements</w:t>
        </w:r>
        <w:r w:rsidR="00B048CB">
          <w:rPr>
            <w:noProof/>
            <w:webHidden/>
          </w:rPr>
          <w:tab/>
        </w:r>
        <w:r w:rsidR="00B048CB">
          <w:rPr>
            <w:noProof/>
            <w:webHidden/>
          </w:rPr>
          <w:fldChar w:fldCharType="begin"/>
        </w:r>
        <w:r w:rsidR="00B048CB">
          <w:rPr>
            <w:noProof/>
            <w:webHidden/>
          </w:rPr>
          <w:instrText xml:space="preserve"> PAGEREF _Toc381357774 \h </w:instrText>
        </w:r>
        <w:r w:rsidR="00B048CB">
          <w:rPr>
            <w:noProof/>
            <w:webHidden/>
          </w:rPr>
        </w:r>
        <w:r w:rsidR="00B048CB">
          <w:rPr>
            <w:noProof/>
            <w:webHidden/>
          </w:rPr>
          <w:fldChar w:fldCharType="separate"/>
        </w:r>
        <w:r w:rsidR="00B048CB">
          <w:rPr>
            <w:noProof/>
            <w:webHidden/>
          </w:rPr>
          <w:t>2</w:t>
        </w:r>
        <w:r w:rsidR="00B048CB">
          <w:rPr>
            <w:noProof/>
            <w:webHidden/>
          </w:rPr>
          <w:fldChar w:fldCharType="end"/>
        </w:r>
      </w:hyperlink>
    </w:p>
    <w:p w:rsidR="00B048CB" w:rsidRDefault="003D2C85">
      <w:pPr>
        <w:pStyle w:val="TOC1"/>
        <w:tabs>
          <w:tab w:val="left" w:pos="480"/>
          <w:tab w:val="right" w:leader="dot" w:pos="9350"/>
        </w:tabs>
        <w:rPr>
          <w:rFonts w:asciiTheme="minorHAnsi" w:eastAsiaTheme="minorEastAsia" w:hAnsiTheme="minorHAnsi" w:cstheme="minorBidi"/>
          <w:b w:val="0"/>
          <w:bCs w:val="0"/>
          <w:noProof/>
          <w:sz w:val="22"/>
          <w:szCs w:val="22"/>
        </w:rPr>
      </w:pPr>
      <w:hyperlink w:anchor="_Toc381357775" w:history="1">
        <w:r w:rsidR="00B048CB" w:rsidRPr="00820FE4">
          <w:rPr>
            <w:rStyle w:val="Hyperlink"/>
            <w:noProof/>
          </w:rPr>
          <w:t>2.</w:t>
        </w:r>
        <w:r w:rsidR="00B048CB">
          <w:rPr>
            <w:rFonts w:asciiTheme="minorHAnsi" w:eastAsiaTheme="minorEastAsia" w:hAnsiTheme="minorHAnsi" w:cstheme="minorBidi"/>
            <w:b w:val="0"/>
            <w:bCs w:val="0"/>
            <w:noProof/>
            <w:sz w:val="22"/>
            <w:szCs w:val="22"/>
          </w:rPr>
          <w:tab/>
        </w:r>
        <w:r w:rsidR="00B048CB" w:rsidRPr="00820FE4">
          <w:rPr>
            <w:rStyle w:val="Hyperlink"/>
            <w:noProof/>
          </w:rPr>
          <w:t>QD Applicability</w:t>
        </w:r>
        <w:r w:rsidR="00B048CB">
          <w:rPr>
            <w:noProof/>
            <w:webHidden/>
          </w:rPr>
          <w:tab/>
        </w:r>
        <w:r w:rsidR="00B048CB">
          <w:rPr>
            <w:noProof/>
            <w:webHidden/>
          </w:rPr>
          <w:fldChar w:fldCharType="begin"/>
        </w:r>
        <w:r w:rsidR="00B048CB">
          <w:rPr>
            <w:noProof/>
            <w:webHidden/>
          </w:rPr>
          <w:instrText xml:space="preserve"> PAGEREF _Toc381357775 \h </w:instrText>
        </w:r>
        <w:r w:rsidR="00B048CB">
          <w:rPr>
            <w:noProof/>
            <w:webHidden/>
          </w:rPr>
        </w:r>
        <w:r w:rsidR="00B048CB">
          <w:rPr>
            <w:noProof/>
            <w:webHidden/>
          </w:rPr>
          <w:fldChar w:fldCharType="separate"/>
        </w:r>
        <w:r w:rsidR="00B048CB">
          <w:rPr>
            <w:noProof/>
            <w:webHidden/>
          </w:rPr>
          <w:t>3</w:t>
        </w:r>
        <w:r w:rsidR="00B048CB">
          <w:rPr>
            <w:noProof/>
            <w:webHidden/>
          </w:rPr>
          <w:fldChar w:fldCharType="end"/>
        </w:r>
      </w:hyperlink>
    </w:p>
    <w:p w:rsidR="00B048CB" w:rsidRDefault="003D2C85">
      <w:pPr>
        <w:pStyle w:val="TOC2"/>
        <w:tabs>
          <w:tab w:val="left" w:pos="960"/>
          <w:tab w:val="right" w:leader="dot" w:pos="9350"/>
        </w:tabs>
        <w:rPr>
          <w:rFonts w:asciiTheme="minorHAnsi" w:eastAsiaTheme="minorEastAsia" w:hAnsiTheme="minorHAnsi" w:cstheme="minorBidi"/>
          <w:i w:val="0"/>
          <w:iCs w:val="0"/>
          <w:noProof/>
          <w:sz w:val="22"/>
          <w:szCs w:val="22"/>
        </w:rPr>
      </w:pPr>
      <w:hyperlink w:anchor="_Toc381357776" w:history="1">
        <w:r w:rsidR="00B048CB" w:rsidRPr="00820FE4">
          <w:rPr>
            <w:rStyle w:val="Hyperlink"/>
            <w:noProof/>
          </w:rPr>
          <w:t>2.1.</w:t>
        </w:r>
        <w:r w:rsidR="00B048CB">
          <w:rPr>
            <w:rFonts w:asciiTheme="minorHAnsi" w:eastAsiaTheme="minorEastAsia" w:hAnsiTheme="minorHAnsi" w:cstheme="minorBidi"/>
            <w:i w:val="0"/>
            <w:iCs w:val="0"/>
            <w:noProof/>
            <w:sz w:val="22"/>
            <w:szCs w:val="22"/>
          </w:rPr>
          <w:tab/>
        </w:r>
        <w:r w:rsidR="00B048CB" w:rsidRPr="00820FE4">
          <w:rPr>
            <w:rStyle w:val="Hyperlink"/>
            <w:noProof/>
          </w:rPr>
          <w:t>Site Limitations</w:t>
        </w:r>
        <w:r w:rsidR="00B048CB">
          <w:rPr>
            <w:noProof/>
            <w:webHidden/>
          </w:rPr>
          <w:tab/>
        </w:r>
        <w:r w:rsidR="00B048CB">
          <w:rPr>
            <w:noProof/>
            <w:webHidden/>
          </w:rPr>
          <w:fldChar w:fldCharType="begin"/>
        </w:r>
        <w:r w:rsidR="00B048CB">
          <w:rPr>
            <w:noProof/>
            <w:webHidden/>
          </w:rPr>
          <w:instrText xml:space="preserve"> PAGEREF _Toc381357776 \h </w:instrText>
        </w:r>
        <w:r w:rsidR="00B048CB">
          <w:rPr>
            <w:noProof/>
            <w:webHidden/>
          </w:rPr>
        </w:r>
        <w:r w:rsidR="00B048CB">
          <w:rPr>
            <w:noProof/>
            <w:webHidden/>
          </w:rPr>
          <w:fldChar w:fldCharType="separate"/>
        </w:r>
        <w:r w:rsidR="00B048CB">
          <w:rPr>
            <w:noProof/>
            <w:webHidden/>
          </w:rPr>
          <w:t>3</w:t>
        </w:r>
        <w:r w:rsidR="00B048CB">
          <w:rPr>
            <w:noProof/>
            <w:webHidden/>
          </w:rPr>
          <w:fldChar w:fldCharType="end"/>
        </w:r>
      </w:hyperlink>
    </w:p>
    <w:p w:rsidR="00B048CB" w:rsidRDefault="003D2C85">
      <w:pPr>
        <w:pStyle w:val="TOC2"/>
        <w:tabs>
          <w:tab w:val="left" w:pos="960"/>
          <w:tab w:val="right" w:leader="dot" w:pos="9350"/>
        </w:tabs>
        <w:rPr>
          <w:rFonts w:asciiTheme="minorHAnsi" w:eastAsiaTheme="minorEastAsia" w:hAnsiTheme="minorHAnsi" w:cstheme="minorBidi"/>
          <w:i w:val="0"/>
          <w:iCs w:val="0"/>
          <w:noProof/>
          <w:sz w:val="22"/>
          <w:szCs w:val="22"/>
        </w:rPr>
      </w:pPr>
      <w:hyperlink w:anchor="_Toc381357777" w:history="1">
        <w:r w:rsidR="00B048CB" w:rsidRPr="00820FE4">
          <w:rPr>
            <w:rStyle w:val="Hyperlink"/>
            <w:noProof/>
          </w:rPr>
          <w:t>2.2.</w:t>
        </w:r>
        <w:r w:rsidR="00B048CB">
          <w:rPr>
            <w:rFonts w:asciiTheme="minorHAnsi" w:eastAsiaTheme="minorEastAsia" w:hAnsiTheme="minorHAnsi" w:cstheme="minorBidi"/>
            <w:i w:val="0"/>
            <w:iCs w:val="0"/>
            <w:noProof/>
            <w:sz w:val="22"/>
            <w:szCs w:val="22"/>
          </w:rPr>
          <w:tab/>
        </w:r>
        <w:r w:rsidR="00B048CB" w:rsidRPr="00820FE4">
          <w:rPr>
            <w:rStyle w:val="Hyperlink"/>
            <w:noProof/>
          </w:rPr>
          <w:t>Common Errors</w:t>
        </w:r>
        <w:r w:rsidR="00B048CB">
          <w:rPr>
            <w:noProof/>
            <w:webHidden/>
          </w:rPr>
          <w:tab/>
        </w:r>
        <w:r w:rsidR="00B048CB">
          <w:rPr>
            <w:noProof/>
            <w:webHidden/>
          </w:rPr>
          <w:fldChar w:fldCharType="begin"/>
        </w:r>
        <w:r w:rsidR="00B048CB">
          <w:rPr>
            <w:noProof/>
            <w:webHidden/>
          </w:rPr>
          <w:instrText xml:space="preserve"> PAGEREF _Toc381357777 \h </w:instrText>
        </w:r>
        <w:r w:rsidR="00B048CB">
          <w:rPr>
            <w:noProof/>
            <w:webHidden/>
          </w:rPr>
        </w:r>
        <w:r w:rsidR="00B048CB">
          <w:rPr>
            <w:noProof/>
            <w:webHidden/>
          </w:rPr>
          <w:fldChar w:fldCharType="separate"/>
        </w:r>
        <w:r w:rsidR="00B048CB">
          <w:rPr>
            <w:noProof/>
            <w:webHidden/>
          </w:rPr>
          <w:t>4</w:t>
        </w:r>
        <w:r w:rsidR="00B048CB">
          <w:rPr>
            <w:noProof/>
            <w:webHidden/>
          </w:rPr>
          <w:fldChar w:fldCharType="end"/>
        </w:r>
      </w:hyperlink>
    </w:p>
    <w:p w:rsidR="00B048CB" w:rsidRDefault="003D2C85">
      <w:pPr>
        <w:pStyle w:val="TOC1"/>
        <w:tabs>
          <w:tab w:val="left" w:pos="480"/>
          <w:tab w:val="right" w:leader="dot" w:pos="9350"/>
        </w:tabs>
        <w:rPr>
          <w:rFonts w:asciiTheme="minorHAnsi" w:eastAsiaTheme="minorEastAsia" w:hAnsiTheme="minorHAnsi" w:cstheme="minorBidi"/>
          <w:b w:val="0"/>
          <w:bCs w:val="0"/>
          <w:noProof/>
          <w:sz w:val="22"/>
          <w:szCs w:val="22"/>
        </w:rPr>
      </w:pPr>
      <w:hyperlink w:anchor="_Toc381357778" w:history="1">
        <w:r w:rsidR="00B048CB" w:rsidRPr="00820FE4">
          <w:rPr>
            <w:rStyle w:val="Hyperlink"/>
            <w:noProof/>
          </w:rPr>
          <w:t>3.</w:t>
        </w:r>
        <w:r w:rsidR="00B048CB">
          <w:rPr>
            <w:rFonts w:asciiTheme="minorHAnsi" w:eastAsiaTheme="minorEastAsia" w:hAnsiTheme="minorHAnsi" w:cstheme="minorBidi"/>
            <w:b w:val="0"/>
            <w:bCs w:val="0"/>
            <w:noProof/>
            <w:sz w:val="22"/>
            <w:szCs w:val="22"/>
          </w:rPr>
          <w:tab/>
        </w:r>
        <w:r w:rsidR="00B048CB" w:rsidRPr="00820FE4">
          <w:rPr>
            <w:rStyle w:val="Hyperlink"/>
            <w:noProof/>
          </w:rPr>
          <w:t>QD Model Input Parameters</w:t>
        </w:r>
        <w:r w:rsidR="00B048CB">
          <w:rPr>
            <w:noProof/>
            <w:webHidden/>
          </w:rPr>
          <w:tab/>
        </w:r>
        <w:r w:rsidR="00B048CB">
          <w:rPr>
            <w:noProof/>
            <w:webHidden/>
          </w:rPr>
          <w:fldChar w:fldCharType="begin"/>
        </w:r>
        <w:r w:rsidR="00B048CB">
          <w:rPr>
            <w:noProof/>
            <w:webHidden/>
          </w:rPr>
          <w:instrText xml:space="preserve"> PAGEREF _Toc381357778 \h </w:instrText>
        </w:r>
        <w:r w:rsidR="00B048CB">
          <w:rPr>
            <w:noProof/>
            <w:webHidden/>
          </w:rPr>
        </w:r>
        <w:r w:rsidR="00B048CB">
          <w:rPr>
            <w:noProof/>
            <w:webHidden/>
          </w:rPr>
          <w:fldChar w:fldCharType="separate"/>
        </w:r>
        <w:r w:rsidR="00B048CB">
          <w:rPr>
            <w:noProof/>
            <w:webHidden/>
          </w:rPr>
          <w:t>6</w:t>
        </w:r>
        <w:r w:rsidR="00B048CB">
          <w:rPr>
            <w:noProof/>
            <w:webHidden/>
          </w:rPr>
          <w:fldChar w:fldCharType="end"/>
        </w:r>
      </w:hyperlink>
    </w:p>
    <w:p w:rsidR="00B048CB" w:rsidRDefault="003D2C85">
      <w:pPr>
        <w:pStyle w:val="TOC2"/>
        <w:tabs>
          <w:tab w:val="left" w:pos="960"/>
          <w:tab w:val="right" w:leader="dot" w:pos="9350"/>
        </w:tabs>
        <w:rPr>
          <w:rFonts w:asciiTheme="minorHAnsi" w:eastAsiaTheme="minorEastAsia" w:hAnsiTheme="minorHAnsi" w:cstheme="minorBidi"/>
          <w:i w:val="0"/>
          <w:iCs w:val="0"/>
          <w:noProof/>
          <w:sz w:val="22"/>
          <w:szCs w:val="22"/>
        </w:rPr>
      </w:pPr>
      <w:hyperlink w:anchor="_Toc381357779" w:history="1">
        <w:r w:rsidR="00B048CB" w:rsidRPr="00820FE4">
          <w:rPr>
            <w:rStyle w:val="Hyperlink"/>
            <w:noProof/>
          </w:rPr>
          <w:t>3.1.</w:t>
        </w:r>
        <w:r w:rsidR="00B048CB">
          <w:rPr>
            <w:rFonts w:asciiTheme="minorHAnsi" w:eastAsiaTheme="minorEastAsia" w:hAnsiTheme="minorHAnsi" w:cstheme="minorBidi"/>
            <w:i w:val="0"/>
            <w:iCs w:val="0"/>
            <w:noProof/>
            <w:sz w:val="22"/>
            <w:szCs w:val="22"/>
          </w:rPr>
          <w:tab/>
        </w:r>
        <w:r w:rsidR="00B048CB" w:rsidRPr="00820FE4">
          <w:rPr>
            <w:rStyle w:val="Hyperlink"/>
            <w:noProof/>
          </w:rPr>
          <w:t>Source Concentration</w:t>
        </w:r>
        <w:r w:rsidR="00B048CB">
          <w:rPr>
            <w:noProof/>
            <w:webHidden/>
          </w:rPr>
          <w:tab/>
        </w:r>
        <w:r w:rsidR="00B048CB">
          <w:rPr>
            <w:noProof/>
            <w:webHidden/>
          </w:rPr>
          <w:fldChar w:fldCharType="begin"/>
        </w:r>
        <w:r w:rsidR="00B048CB">
          <w:rPr>
            <w:noProof/>
            <w:webHidden/>
          </w:rPr>
          <w:instrText xml:space="preserve"> PAGEREF _Toc381357779 \h </w:instrText>
        </w:r>
        <w:r w:rsidR="00B048CB">
          <w:rPr>
            <w:noProof/>
            <w:webHidden/>
          </w:rPr>
        </w:r>
        <w:r w:rsidR="00B048CB">
          <w:rPr>
            <w:noProof/>
            <w:webHidden/>
          </w:rPr>
          <w:fldChar w:fldCharType="separate"/>
        </w:r>
        <w:r w:rsidR="00B048CB">
          <w:rPr>
            <w:noProof/>
            <w:webHidden/>
          </w:rPr>
          <w:t>6</w:t>
        </w:r>
        <w:r w:rsidR="00B048CB">
          <w:rPr>
            <w:noProof/>
            <w:webHidden/>
          </w:rPr>
          <w:fldChar w:fldCharType="end"/>
        </w:r>
      </w:hyperlink>
    </w:p>
    <w:p w:rsidR="00B048CB" w:rsidRDefault="003D2C85">
      <w:pPr>
        <w:pStyle w:val="TOC2"/>
        <w:tabs>
          <w:tab w:val="left" w:pos="960"/>
          <w:tab w:val="right" w:leader="dot" w:pos="9350"/>
        </w:tabs>
        <w:rPr>
          <w:rFonts w:asciiTheme="minorHAnsi" w:eastAsiaTheme="minorEastAsia" w:hAnsiTheme="minorHAnsi" w:cstheme="minorBidi"/>
          <w:i w:val="0"/>
          <w:iCs w:val="0"/>
          <w:noProof/>
          <w:sz w:val="22"/>
          <w:szCs w:val="22"/>
        </w:rPr>
      </w:pPr>
      <w:hyperlink w:anchor="_Toc381357780" w:history="1">
        <w:r w:rsidR="00B048CB" w:rsidRPr="00820FE4">
          <w:rPr>
            <w:rStyle w:val="Hyperlink"/>
            <w:noProof/>
          </w:rPr>
          <w:t>3.2.</w:t>
        </w:r>
        <w:r w:rsidR="00B048CB">
          <w:rPr>
            <w:rFonts w:asciiTheme="minorHAnsi" w:eastAsiaTheme="minorEastAsia" w:hAnsiTheme="minorHAnsi" w:cstheme="minorBidi"/>
            <w:i w:val="0"/>
            <w:iCs w:val="0"/>
            <w:noProof/>
            <w:sz w:val="22"/>
            <w:szCs w:val="22"/>
          </w:rPr>
          <w:tab/>
        </w:r>
        <w:r w:rsidR="00B048CB" w:rsidRPr="00820FE4">
          <w:rPr>
            <w:rStyle w:val="Hyperlink"/>
            <w:noProof/>
          </w:rPr>
          <w:t>Dispersivities</w:t>
        </w:r>
        <w:r w:rsidR="00B048CB">
          <w:rPr>
            <w:noProof/>
            <w:webHidden/>
          </w:rPr>
          <w:tab/>
        </w:r>
        <w:r w:rsidR="00B048CB">
          <w:rPr>
            <w:noProof/>
            <w:webHidden/>
          </w:rPr>
          <w:fldChar w:fldCharType="begin"/>
        </w:r>
        <w:r w:rsidR="00B048CB">
          <w:rPr>
            <w:noProof/>
            <w:webHidden/>
          </w:rPr>
          <w:instrText xml:space="preserve"> PAGEREF _Toc381357780 \h </w:instrText>
        </w:r>
        <w:r w:rsidR="00B048CB">
          <w:rPr>
            <w:noProof/>
            <w:webHidden/>
          </w:rPr>
        </w:r>
        <w:r w:rsidR="00B048CB">
          <w:rPr>
            <w:noProof/>
            <w:webHidden/>
          </w:rPr>
          <w:fldChar w:fldCharType="separate"/>
        </w:r>
        <w:r w:rsidR="00B048CB">
          <w:rPr>
            <w:noProof/>
            <w:webHidden/>
          </w:rPr>
          <w:t>7</w:t>
        </w:r>
        <w:r w:rsidR="00B048CB">
          <w:rPr>
            <w:noProof/>
            <w:webHidden/>
          </w:rPr>
          <w:fldChar w:fldCharType="end"/>
        </w:r>
      </w:hyperlink>
    </w:p>
    <w:p w:rsidR="00B048CB" w:rsidRDefault="003D2C85">
      <w:pPr>
        <w:pStyle w:val="TOC2"/>
        <w:tabs>
          <w:tab w:val="left" w:pos="960"/>
          <w:tab w:val="right" w:leader="dot" w:pos="9350"/>
        </w:tabs>
        <w:rPr>
          <w:rFonts w:asciiTheme="minorHAnsi" w:eastAsiaTheme="minorEastAsia" w:hAnsiTheme="minorHAnsi" w:cstheme="minorBidi"/>
          <w:i w:val="0"/>
          <w:iCs w:val="0"/>
          <w:noProof/>
          <w:sz w:val="22"/>
          <w:szCs w:val="22"/>
        </w:rPr>
      </w:pPr>
      <w:hyperlink w:anchor="_Toc381357781" w:history="1">
        <w:r w:rsidR="00B048CB" w:rsidRPr="00820FE4">
          <w:rPr>
            <w:rStyle w:val="Hyperlink"/>
            <w:noProof/>
          </w:rPr>
          <w:t>3.3.</w:t>
        </w:r>
        <w:r w:rsidR="00B048CB">
          <w:rPr>
            <w:rFonts w:asciiTheme="minorHAnsi" w:eastAsiaTheme="minorEastAsia" w:hAnsiTheme="minorHAnsi" w:cstheme="minorBidi"/>
            <w:i w:val="0"/>
            <w:iCs w:val="0"/>
            <w:noProof/>
            <w:sz w:val="22"/>
            <w:szCs w:val="22"/>
          </w:rPr>
          <w:tab/>
        </w:r>
        <w:r w:rsidR="00B048CB" w:rsidRPr="00820FE4">
          <w:rPr>
            <w:rStyle w:val="Hyperlink"/>
            <w:noProof/>
          </w:rPr>
          <w:t>Decay Constant</w:t>
        </w:r>
        <w:r w:rsidR="00B048CB">
          <w:rPr>
            <w:noProof/>
            <w:webHidden/>
          </w:rPr>
          <w:tab/>
        </w:r>
        <w:r w:rsidR="00B048CB">
          <w:rPr>
            <w:noProof/>
            <w:webHidden/>
          </w:rPr>
          <w:fldChar w:fldCharType="begin"/>
        </w:r>
        <w:r w:rsidR="00B048CB">
          <w:rPr>
            <w:noProof/>
            <w:webHidden/>
          </w:rPr>
          <w:instrText xml:space="preserve"> PAGEREF _Toc381357781 \h </w:instrText>
        </w:r>
        <w:r w:rsidR="00B048CB">
          <w:rPr>
            <w:noProof/>
            <w:webHidden/>
          </w:rPr>
        </w:r>
        <w:r w:rsidR="00B048CB">
          <w:rPr>
            <w:noProof/>
            <w:webHidden/>
          </w:rPr>
          <w:fldChar w:fldCharType="separate"/>
        </w:r>
        <w:r w:rsidR="00B048CB">
          <w:rPr>
            <w:noProof/>
            <w:webHidden/>
          </w:rPr>
          <w:t>7</w:t>
        </w:r>
        <w:r w:rsidR="00B048CB">
          <w:rPr>
            <w:noProof/>
            <w:webHidden/>
          </w:rPr>
          <w:fldChar w:fldCharType="end"/>
        </w:r>
      </w:hyperlink>
    </w:p>
    <w:p w:rsidR="00B048CB" w:rsidRDefault="003D2C85">
      <w:pPr>
        <w:pStyle w:val="TOC2"/>
        <w:tabs>
          <w:tab w:val="left" w:pos="960"/>
          <w:tab w:val="right" w:leader="dot" w:pos="9350"/>
        </w:tabs>
        <w:rPr>
          <w:rFonts w:asciiTheme="minorHAnsi" w:eastAsiaTheme="minorEastAsia" w:hAnsiTheme="minorHAnsi" w:cstheme="minorBidi"/>
          <w:i w:val="0"/>
          <w:iCs w:val="0"/>
          <w:noProof/>
          <w:sz w:val="22"/>
          <w:szCs w:val="22"/>
        </w:rPr>
      </w:pPr>
      <w:hyperlink w:anchor="_Toc381357782" w:history="1">
        <w:r w:rsidR="00B048CB" w:rsidRPr="00820FE4">
          <w:rPr>
            <w:rStyle w:val="Hyperlink"/>
            <w:noProof/>
          </w:rPr>
          <w:t>3.4.</w:t>
        </w:r>
        <w:r w:rsidR="00B048CB">
          <w:rPr>
            <w:rFonts w:asciiTheme="minorHAnsi" w:eastAsiaTheme="minorEastAsia" w:hAnsiTheme="minorHAnsi" w:cstheme="minorBidi"/>
            <w:i w:val="0"/>
            <w:iCs w:val="0"/>
            <w:noProof/>
            <w:sz w:val="22"/>
            <w:szCs w:val="22"/>
          </w:rPr>
          <w:tab/>
        </w:r>
        <w:r w:rsidR="00B048CB" w:rsidRPr="00820FE4">
          <w:rPr>
            <w:rStyle w:val="Hyperlink"/>
            <w:noProof/>
          </w:rPr>
          <w:t>Source Width</w:t>
        </w:r>
        <w:r w:rsidR="00B048CB">
          <w:rPr>
            <w:noProof/>
            <w:webHidden/>
          </w:rPr>
          <w:tab/>
        </w:r>
        <w:r w:rsidR="00B048CB">
          <w:rPr>
            <w:noProof/>
            <w:webHidden/>
          </w:rPr>
          <w:fldChar w:fldCharType="begin"/>
        </w:r>
        <w:r w:rsidR="00B048CB">
          <w:rPr>
            <w:noProof/>
            <w:webHidden/>
          </w:rPr>
          <w:instrText xml:space="preserve"> PAGEREF _Toc381357782 \h </w:instrText>
        </w:r>
        <w:r w:rsidR="00B048CB">
          <w:rPr>
            <w:noProof/>
            <w:webHidden/>
          </w:rPr>
        </w:r>
        <w:r w:rsidR="00B048CB">
          <w:rPr>
            <w:noProof/>
            <w:webHidden/>
          </w:rPr>
          <w:fldChar w:fldCharType="separate"/>
        </w:r>
        <w:r w:rsidR="00B048CB">
          <w:rPr>
            <w:noProof/>
            <w:webHidden/>
          </w:rPr>
          <w:t>8</w:t>
        </w:r>
        <w:r w:rsidR="00B048CB">
          <w:rPr>
            <w:noProof/>
            <w:webHidden/>
          </w:rPr>
          <w:fldChar w:fldCharType="end"/>
        </w:r>
      </w:hyperlink>
    </w:p>
    <w:p w:rsidR="00B048CB" w:rsidRDefault="003D2C85">
      <w:pPr>
        <w:pStyle w:val="TOC2"/>
        <w:tabs>
          <w:tab w:val="left" w:pos="960"/>
          <w:tab w:val="right" w:leader="dot" w:pos="9350"/>
        </w:tabs>
        <w:rPr>
          <w:rFonts w:asciiTheme="minorHAnsi" w:eastAsiaTheme="minorEastAsia" w:hAnsiTheme="minorHAnsi" w:cstheme="minorBidi"/>
          <w:i w:val="0"/>
          <w:iCs w:val="0"/>
          <w:noProof/>
          <w:sz w:val="22"/>
          <w:szCs w:val="22"/>
        </w:rPr>
      </w:pPr>
      <w:hyperlink w:anchor="_Toc381357783" w:history="1">
        <w:r w:rsidR="00B048CB" w:rsidRPr="00820FE4">
          <w:rPr>
            <w:rStyle w:val="Hyperlink"/>
            <w:noProof/>
          </w:rPr>
          <w:t>3.5.</w:t>
        </w:r>
        <w:r w:rsidR="00B048CB">
          <w:rPr>
            <w:rFonts w:asciiTheme="minorHAnsi" w:eastAsiaTheme="minorEastAsia" w:hAnsiTheme="minorHAnsi" w:cstheme="minorBidi"/>
            <w:i w:val="0"/>
            <w:iCs w:val="0"/>
            <w:noProof/>
            <w:sz w:val="22"/>
            <w:szCs w:val="22"/>
          </w:rPr>
          <w:tab/>
        </w:r>
        <w:r w:rsidR="00B048CB" w:rsidRPr="00820FE4">
          <w:rPr>
            <w:rStyle w:val="Hyperlink"/>
            <w:noProof/>
          </w:rPr>
          <w:t>Source Thickness</w:t>
        </w:r>
        <w:r w:rsidR="00B048CB">
          <w:rPr>
            <w:noProof/>
            <w:webHidden/>
          </w:rPr>
          <w:tab/>
        </w:r>
        <w:r w:rsidR="00B048CB">
          <w:rPr>
            <w:noProof/>
            <w:webHidden/>
          </w:rPr>
          <w:fldChar w:fldCharType="begin"/>
        </w:r>
        <w:r w:rsidR="00B048CB">
          <w:rPr>
            <w:noProof/>
            <w:webHidden/>
          </w:rPr>
          <w:instrText xml:space="preserve"> PAGEREF _Toc381357783 \h </w:instrText>
        </w:r>
        <w:r w:rsidR="00B048CB">
          <w:rPr>
            <w:noProof/>
            <w:webHidden/>
          </w:rPr>
        </w:r>
        <w:r w:rsidR="00B048CB">
          <w:rPr>
            <w:noProof/>
            <w:webHidden/>
          </w:rPr>
          <w:fldChar w:fldCharType="separate"/>
        </w:r>
        <w:r w:rsidR="00B048CB">
          <w:rPr>
            <w:noProof/>
            <w:webHidden/>
          </w:rPr>
          <w:t>8</w:t>
        </w:r>
        <w:r w:rsidR="00B048CB">
          <w:rPr>
            <w:noProof/>
            <w:webHidden/>
          </w:rPr>
          <w:fldChar w:fldCharType="end"/>
        </w:r>
      </w:hyperlink>
    </w:p>
    <w:p w:rsidR="00B048CB" w:rsidRDefault="003D2C85">
      <w:pPr>
        <w:pStyle w:val="TOC2"/>
        <w:tabs>
          <w:tab w:val="left" w:pos="960"/>
          <w:tab w:val="right" w:leader="dot" w:pos="9350"/>
        </w:tabs>
        <w:rPr>
          <w:rFonts w:asciiTheme="minorHAnsi" w:eastAsiaTheme="minorEastAsia" w:hAnsiTheme="minorHAnsi" w:cstheme="minorBidi"/>
          <w:i w:val="0"/>
          <w:iCs w:val="0"/>
          <w:noProof/>
          <w:sz w:val="22"/>
          <w:szCs w:val="22"/>
        </w:rPr>
      </w:pPr>
      <w:hyperlink w:anchor="_Toc381357784" w:history="1">
        <w:r w:rsidR="00B048CB" w:rsidRPr="00820FE4">
          <w:rPr>
            <w:rStyle w:val="Hyperlink"/>
            <w:noProof/>
          </w:rPr>
          <w:t>3.6.</w:t>
        </w:r>
        <w:r w:rsidR="00B048CB">
          <w:rPr>
            <w:rFonts w:asciiTheme="minorHAnsi" w:eastAsiaTheme="minorEastAsia" w:hAnsiTheme="minorHAnsi" w:cstheme="minorBidi"/>
            <w:i w:val="0"/>
            <w:iCs w:val="0"/>
            <w:noProof/>
            <w:sz w:val="22"/>
            <w:szCs w:val="22"/>
          </w:rPr>
          <w:tab/>
        </w:r>
        <w:r w:rsidR="00B048CB" w:rsidRPr="00820FE4">
          <w:rPr>
            <w:rStyle w:val="Hyperlink"/>
            <w:noProof/>
          </w:rPr>
          <w:t>Time</w:t>
        </w:r>
        <w:r w:rsidR="00B048CB">
          <w:rPr>
            <w:noProof/>
            <w:webHidden/>
          </w:rPr>
          <w:tab/>
        </w:r>
        <w:r w:rsidR="00B048CB">
          <w:rPr>
            <w:noProof/>
            <w:webHidden/>
          </w:rPr>
          <w:fldChar w:fldCharType="begin"/>
        </w:r>
        <w:r w:rsidR="00B048CB">
          <w:rPr>
            <w:noProof/>
            <w:webHidden/>
          </w:rPr>
          <w:instrText xml:space="preserve"> PAGEREF _Toc381357784 \h </w:instrText>
        </w:r>
        <w:r w:rsidR="00B048CB">
          <w:rPr>
            <w:noProof/>
            <w:webHidden/>
          </w:rPr>
        </w:r>
        <w:r w:rsidR="00B048CB">
          <w:rPr>
            <w:noProof/>
            <w:webHidden/>
          </w:rPr>
          <w:fldChar w:fldCharType="separate"/>
        </w:r>
        <w:r w:rsidR="00B048CB">
          <w:rPr>
            <w:noProof/>
            <w:webHidden/>
          </w:rPr>
          <w:t>9</w:t>
        </w:r>
        <w:r w:rsidR="00B048CB">
          <w:rPr>
            <w:noProof/>
            <w:webHidden/>
          </w:rPr>
          <w:fldChar w:fldCharType="end"/>
        </w:r>
      </w:hyperlink>
    </w:p>
    <w:p w:rsidR="00B048CB" w:rsidRDefault="003D2C85">
      <w:pPr>
        <w:pStyle w:val="TOC2"/>
        <w:tabs>
          <w:tab w:val="left" w:pos="960"/>
          <w:tab w:val="right" w:leader="dot" w:pos="9350"/>
        </w:tabs>
        <w:rPr>
          <w:rFonts w:asciiTheme="minorHAnsi" w:eastAsiaTheme="minorEastAsia" w:hAnsiTheme="minorHAnsi" w:cstheme="minorBidi"/>
          <w:i w:val="0"/>
          <w:iCs w:val="0"/>
          <w:noProof/>
          <w:sz w:val="22"/>
          <w:szCs w:val="22"/>
        </w:rPr>
      </w:pPr>
      <w:hyperlink w:anchor="_Toc381357785" w:history="1">
        <w:r w:rsidR="00B048CB" w:rsidRPr="00820FE4">
          <w:rPr>
            <w:rStyle w:val="Hyperlink"/>
            <w:noProof/>
          </w:rPr>
          <w:t>3.7.</w:t>
        </w:r>
        <w:r w:rsidR="00B048CB">
          <w:rPr>
            <w:rFonts w:asciiTheme="minorHAnsi" w:eastAsiaTheme="minorEastAsia" w:hAnsiTheme="minorHAnsi" w:cstheme="minorBidi"/>
            <w:i w:val="0"/>
            <w:iCs w:val="0"/>
            <w:noProof/>
            <w:sz w:val="22"/>
            <w:szCs w:val="22"/>
          </w:rPr>
          <w:tab/>
        </w:r>
        <w:r w:rsidR="00B048CB" w:rsidRPr="00820FE4">
          <w:rPr>
            <w:rStyle w:val="Hyperlink"/>
            <w:noProof/>
          </w:rPr>
          <w:t>Hydraulic Conductivity</w:t>
        </w:r>
        <w:r w:rsidR="00B048CB">
          <w:rPr>
            <w:noProof/>
            <w:webHidden/>
          </w:rPr>
          <w:tab/>
        </w:r>
        <w:r w:rsidR="00B048CB">
          <w:rPr>
            <w:noProof/>
            <w:webHidden/>
          </w:rPr>
          <w:fldChar w:fldCharType="begin"/>
        </w:r>
        <w:r w:rsidR="00B048CB">
          <w:rPr>
            <w:noProof/>
            <w:webHidden/>
          </w:rPr>
          <w:instrText xml:space="preserve"> PAGEREF _Toc381357785 \h </w:instrText>
        </w:r>
        <w:r w:rsidR="00B048CB">
          <w:rPr>
            <w:noProof/>
            <w:webHidden/>
          </w:rPr>
        </w:r>
        <w:r w:rsidR="00B048CB">
          <w:rPr>
            <w:noProof/>
            <w:webHidden/>
          </w:rPr>
          <w:fldChar w:fldCharType="separate"/>
        </w:r>
        <w:r w:rsidR="00B048CB">
          <w:rPr>
            <w:noProof/>
            <w:webHidden/>
          </w:rPr>
          <w:t>9</w:t>
        </w:r>
        <w:r w:rsidR="00B048CB">
          <w:rPr>
            <w:noProof/>
            <w:webHidden/>
          </w:rPr>
          <w:fldChar w:fldCharType="end"/>
        </w:r>
      </w:hyperlink>
    </w:p>
    <w:p w:rsidR="00B048CB" w:rsidRDefault="003D2C85">
      <w:pPr>
        <w:pStyle w:val="TOC2"/>
        <w:tabs>
          <w:tab w:val="left" w:pos="960"/>
          <w:tab w:val="right" w:leader="dot" w:pos="9350"/>
        </w:tabs>
        <w:rPr>
          <w:rFonts w:asciiTheme="minorHAnsi" w:eastAsiaTheme="minorEastAsia" w:hAnsiTheme="minorHAnsi" w:cstheme="minorBidi"/>
          <w:i w:val="0"/>
          <w:iCs w:val="0"/>
          <w:noProof/>
          <w:sz w:val="22"/>
          <w:szCs w:val="22"/>
        </w:rPr>
      </w:pPr>
      <w:hyperlink w:anchor="_Toc381357786" w:history="1">
        <w:r w:rsidR="00B048CB" w:rsidRPr="00820FE4">
          <w:rPr>
            <w:rStyle w:val="Hyperlink"/>
            <w:noProof/>
          </w:rPr>
          <w:t>3.8.</w:t>
        </w:r>
        <w:r w:rsidR="00B048CB">
          <w:rPr>
            <w:rFonts w:asciiTheme="minorHAnsi" w:eastAsiaTheme="minorEastAsia" w:hAnsiTheme="minorHAnsi" w:cstheme="minorBidi"/>
            <w:i w:val="0"/>
            <w:iCs w:val="0"/>
            <w:noProof/>
            <w:sz w:val="22"/>
            <w:szCs w:val="22"/>
          </w:rPr>
          <w:tab/>
        </w:r>
        <w:r w:rsidR="00B048CB" w:rsidRPr="00820FE4">
          <w:rPr>
            <w:rStyle w:val="Hyperlink"/>
            <w:noProof/>
          </w:rPr>
          <w:t>Hydraulic Gradient</w:t>
        </w:r>
        <w:r w:rsidR="00B048CB">
          <w:rPr>
            <w:noProof/>
            <w:webHidden/>
          </w:rPr>
          <w:tab/>
        </w:r>
        <w:r w:rsidR="00B048CB">
          <w:rPr>
            <w:noProof/>
            <w:webHidden/>
          </w:rPr>
          <w:fldChar w:fldCharType="begin"/>
        </w:r>
        <w:r w:rsidR="00B048CB">
          <w:rPr>
            <w:noProof/>
            <w:webHidden/>
          </w:rPr>
          <w:instrText xml:space="preserve"> PAGEREF _Toc381357786 \h </w:instrText>
        </w:r>
        <w:r w:rsidR="00B048CB">
          <w:rPr>
            <w:noProof/>
            <w:webHidden/>
          </w:rPr>
        </w:r>
        <w:r w:rsidR="00B048CB">
          <w:rPr>
            <w:noProof/>
            <w:webHidden/>
          </w:rPr>
          <w:fldChar w:fldCharType="separate"/>
        </w:r>
        <w:r w:rsidR="00B048CB">
          <w:rPr>
            <w:noProof/>
            <w:webHidden/>
          </w:rPr>
          <w:t>9</w:t>
        </w:r>
        <w:r w:rsidR="00B048CB">
          <w:rPr>
            <w:noProof/>
            <w:webHidden/>
          </w:rPr>
          <w:fldChar w:fldCharType="end"/>
        </w:r>
      </w:hyperlink>
    </w:p>
    <w:p w:rsidR="00B048CB" w:rsidRDefault="003D2C85">
      <w:pPr>
        <w:pStyle w:val="TOC2"/>
        <w:tabs>
          <w:tab w:val="left" w:pos="960"/>
          <w:tab w:val="right" w:leader="dot" w:pos="9350"/>
        </w:tabs>
        <w:rPr>
          <w:rFonts w:asciiTheme="minorHAnsi" w:eastAsiaTheme="minorEastAsia" w:hAnsiTheme="minorHAnsi" w:cstheme="minorBidi"/>
          <w:i w:val="0"/>
          <w:iCs w:val="0"/>
          <w:noProof/>
          <w:sz w:val="22"/>
          <w:szCs w:val="22"/>
        </w:rPr>
      </w:pPr>
      <w:hyperlink w:anchor="_Toc381357787" w:history="1">
        <w:r w:rsidR="00B048CB" w:rsidRPr="00820FE4">
          <w:rPr>
            <w:rStyle w:val="Hyperlink"/>
            <w:noProof/>
          </w:rPr>
          <w:t>3.9.</w:t>
        </w:r>
        <w:r w:rsidR="00B048CB">
          <w:rPr>
            <w:rFonts w:asciiTheme="minorHAnsi" w:eastAsiaTheme="minorEastAsia" w:hAnsiTheme="minorHAnsi" w:cstheme="minorBidi"/>
            <w:i w:val="0"/>
            <w:iCs w:val="0"/>
            <w:noProof/>
            <w:sz w:val="22"/>
            <w:szCs w:val="22"/>
          </w:rPr>
          <w:tab/>
        </w:r>
        <w:r w:rsidR="00B048CB" w:rsidRPr="00820FE4">
          <w:rPr>
            <w:rStyle w:val="Hyperlink"/>
            <w:noProof/>
          </w:rPr>
          <w:t>Effective Porosity</w:t>
        </w:r>
        <w:r w:rsidR="00B048CB">
          <w:rPr>
            <w:noProof/>
            <w:webHidden/>
          </w:rPr>
          <w:tab/>
        </w:r>
        <w:r w:rsidR="00B048CB">
          <w:rPr>
            <w:noProof/>
            <w:webHidden/>
          </w:rPr>
          <w:fldChar w:fldCharType="begin"/>
        </w:r>
        <w:r w:rsidR="00B048CB">
          <w:rPr>
            <w:noProof/>
            <w:webHidden/>
          </w:rPr>
          <w:instrText xml:space="preserve"> PAGEREF _Toc381357787 \h </w:instrText>
        </w:r>
        <w:r w:rsidR="00B048CB">
          <w:rPr>
            <w:noProof/>
            <w:webHidden/>
          </w:rPr>
        </w:r>
        <w:r w:rsidR="00B048CB">
          <w:rPr>
            <w:noProof/>
            <w:webHidden/>
          </w:rPr>
          <w:fldChar w:fldCharType="separate"/>
        </w:r>
        <w:r w:rsidR="00B048CB">
          <w:rPr>
            <w:noProof/>
            <w:webHidden/>
          </w:rPr>
          <w:t>10</w:t>
        </w:r>
        <w:r w:rsidR="00B048CB">
          <w:rPr>
            <w:noProof/>
            <w:webHidden/>
          </w:rPr>
          <w:fldChar w:fldCharType="end"/>
        </w:r>
      </w:hyperlink>
    </w:p>
    <w:p w:rsidR="00B048CB" w:rsidRDefault="003D2C85">
      <w:pPr>
        <w:pStyle w:val="TOC2"/>
        <w:tabs>
          <w:tab w:val="left" w:pos="960"/>
          <w:tab w:val="right" w:leader="dot" w:pos="9350"/>
        </w:tabs>
        <w:rPr>
          <w:rFonts w:asciiTheme="minorHAnsi" w:eastAsiaTheme="minorEastAsia" w:hAnsiTheme="minorHAnsi" w:cstheme="minorBidi"/>
          <w:i w:val="0"/>
          <w:iCs w:val="0"/>
          <w:noProof/>
          <w:sz w:val="22"/>
          <w:szCs w:val="22"/>
        </w:rPr>
      </w:pPr>
      <w:hyperlink w:anchor="_Toc381357788" w:history="1">
        <w:r w:rsidR="00B048CB" w:rsidRPr="00820FE4">
          <w:rPr>
            <w:rStyle w:val="Hyperlink"/>
            <w:noProof/>
          </w:rPr>
          <w:t>3.10.</w:t>
        </w:r>
        <w:r w:rsidR="00B048CB">
          <w:rPr>
            <w:rFonts w:asciiTheme="minorHAnsi" w:eastAsiaTheme="minorEastAsia" w:hAnsiTheme="minorHAnsi" w:cstheme="minorBidi"/>
            <w:i w:val="0"/>
            <w:iCs w:val="0"/>
            <w:noProof/>
            <w:sz w:val="22"/>
            <w:szCs w:val="22"/>
          </w:rPr>
          <w:tab/>
        </w:r>
        <w:r w:rsidR="00B048CB" w:rsidRPr="00820FE4">
          <w:rPr>
            <w:rStyle w:val="Hyperlink"/>
            <w:noProof/>
          </w:rPr>
          <w:t>Bulk Density</w:t>
        </w:r>
        <w:r w:rsidR="00B048CB">
          <w:rPr>
            <w:noProof/>
            <w:webHidden/>
          </w:rPr>
          <w:tab/>
        </w:r>
        <w:r w:rsidR="00B048CB">
          <w:rPr>
            <w:noProof/>
            <w:webHidden/>
          </w:rPr>
          <w:fldChar w:fldCharType="begin"/>
        </w:r>
        <w:r w:rsidR="00B048CB">
          <w:rPr>
            <w:noProof/>
            <w:webHidden/>
          </w:rPr>
          <w:instrText xml:space="preserve"> PAGEREF _Toc381357788 \h </w:instrText>
        </w:r>
        <w:r w:rsidR="00B048CB">
          <w:rPr>
            <w:noProof/>
            <w:webHidden/>
          </w:rPr>
        </w:r>
        <w:r w:rsidR="00B048CB">
          <w:rPr>
            <w:noProof/>
            <w:webHidden/>
          </w:rPr>
          <w:fldChar w:fldCharType="separate"/>
        </w:r>
        <w:r w:rsidR="00B048CB">
          <w:rPr>
            <w:noProof/>
            <w:webHidden/>
          </w:rPr>
          <w:t>10</w:t>
        </w:r>
        <w:r w:rsidR="00B048CB">
          <w:rPr>
            <w:noProof/>
            <w:webHidden/>
          </w:rPr>
          <w:fldChar w:fldCharType="end"/>
        </w:r>
      </w:hyperlink>
    </w:p>
    <w:p w:rsidR="00B048CB" w:rsidRDefault="003D2C85">
      <w:pPr>
        <w:pStyle w:val="TOC2"/>
        <w:tabs>
          <w:tab w:val="left" w:pos="960"/>
          <w:tab w:val="right" w:leader="dot" w:pos="9350"/>
        </w:tabs>
        <w:rPr>
          <w:rFonts w:asciiTheme="minorHAnsi" w:eastAsiaTheme="minorEastAsia" w:hAnsiTheme="minorHAnsi" w:cstheme="minorBidi"/>
          <w:i w:val="0"/>
          <w:iCs w:val="0"/>
          <w:noProof/>
          <w:sz w:val="22"/>
          <w:szCs w:val="22"/>
        </w:rPr>
      </w:pPr>
      <w:hyperlink w:anchor="_Toc381357789" w:history="1">
        <w:r w:rsidR="00B048CB" w:rsidRPr="00820FE4">
          <w:rPr>
            <w:rStyle w:val="Hyperlink"/>
            <w:noProof/>
          </w:rPr>
          <w:t>3.11.</w:t>
        </w:r>
        <w:r w:rsidR="00B048CB">
          <w:rPr>
            <w:rFonts w:asciiTheme="minorHAnsi" w:eastAsiaTheme="minorEastAsia" w:hAnsiTheme="minorHAnsi" w:cstheme="minorBidi"/>
            <w:i w:val="0"/>
            <w:iCs w:val="0"/>
            <w:noProof/>
            <w:sz w:val="22"/>
            <w:szCs w:val="22"/>
          </w:rPr>
          <w:tab/>
        </w:r>
        <w:r w:rsidR="00B048CB" w:rsidRPr="00820FE4">
          <w:rPr>
            <w:rStyle w:val="Hyperlink"/>
            <w:noProof/>
          </w:rPr>
          <w:t>Organic Carbon Partition Coefficient</w:t>
        </w:r>
        <w:r w:rsidR="00B048CB">
          <w:rPr>
            <w:noProof/>
            <w:webHidden/>
          </w:rPr>
          <w:tab/>
        </w:r>
        <w:r w:rsidR="00B048CB">
          <w:rPr>
            <w:noProof/>
            <w:webHidden/>
          </w:rPr>
          <w:fldChar w:fldCharType="begin"/>
        </w:r>
        <w:r w:rsidR="00B048CB">
          <w:rPr>
            <w:noProof/>
            <w:webHidden/>
          </w:rPr>
          <w:instrText xml:space="preserve"> PAGEREF _Toc381357789 \h </w:instrText>
        </w:r>
        <w:r w:rsidR="00B048CB">
          <w:rPr>
            <w:noProof/>
            <w:webHidden/>
          </w:rPr>
        </w:r>
        <w:r w:rsidR="00B048CB">
          <w:rPr>
            <w:noProof/>
            <w:webHidden/>
          </w:rPr>
          <w:fldChar w:fldCharType="separate"/>
        </w:r>
        <w:r w:rsidR="00B048CB">
          <w:rPr>
            <w:noProof/>
            <w:webHidden/>
          </w:rPr>
          <w:t>10</w:t>
        </w:r>
        <w:r w:rsidR="00B048CB">
          <w:rPr>
            <w:noProof/>
            <w:webHidden/>
          </w:rPr>
          <w:fldChar w:fldCharType="end"/>
        </w:r>
      </w:hyperlink>
    </w:p>
    <w:p w:rsidR="00B048CB" w:rsidRDefault="003D2C85">
      <w:pPr>
        <w:pStyle w:val="TOC2"/>
        <w:tabs>
          <w:tab w:val="left" w:pos="960"/>
          <w:tab w:val="right" w:leader="dot" w:pos="9350"/>
        </w:tabs>
        <w:rPr>
          <w:rFonts w:asciiTheme="minorHAnsi" w:eastAsiaTheme="minorEastAsia" w:hAnsiTheme="minorHAnsi" w:cstheme="minorBidi"/>
          <w:i w:val="0"/>
          <w:iCs w:val="0"/>
          <w:noProof/>
          <w:sz w:val="22"/>
          <w:szCs w:val="22"/>
        </w:rPr>
      </w:pPr>
      <w:hyperlink w:anchor="_Toc381357790" w:history="1">
        <w:r w:rsidR="00B048CB" w:rsidRPr="00820FE4">
          <w:rPr>
            <w:rStyle w:val="Hyperlink"/>
            <w:noProof/>
          </w:rPr>
          <w:t>3.12.</w:t>
        </w:r>
        <w:r w:rsidR="00B048CB">
          <w:rPr>
            <w:rFonts w:asciiTheme="minorHAnsi" w:eastAsiaTheme="minorEastAsia" w:hAnsiTheme="minorHAnsi" w:cstheme="minorBidi"/>
            <w:i w:val="0"/>
            <w:iCs w:val="0"/>
            <w:noProof/>
            <w:sz w:val="22"/>
            <w:szCs w:val="22"/>
          </w:rPr>
          <w:tab/>
        </w:r>
        <w:r w:rsidR="00B048CB" w:rsidRPr="00820FE4">
          <w:rPr>
            <w:rStyle w:val="Hyperlink"/>
            <w:noProof/>
          </w:rPr>
          <w:t>Fraction of Organic Carbon</w:t>
        </w:r>
        <w:r w:rsidR="00B048CB">
          <w:rPr>
            <w:noProof/>
            <w:webHidden/>
          </w:rPr>
          <w:tab/>
        </w:r>
        <w:r w:rsidR="00B048CB">
          <w:rPr>
            <w:noProof/>
            <w:webHidden/>
          </w:rPr>
          <w:fldChar w:fldCharType="begin"/>
        </w:r>
        <w:r w:rsidR="00B048CB">
          <w:rPr>
            <w:noProof/>
            <w:webHidden/>
          </w:rPr>
          <w:instrText xml:space="preserve"> PAGEREF _Toc381357790 \h </w:instrText>
        </w:r>
        <w:r w:rsidR="00B048CB">
          <w:rPr>
            <w:noProof/>
            <w:webHidden/>
          </w:rPr>
        </w:r>
        <w:r w:rsidR="00B048CB">
          <w:rPr>
            <w:noProof/>
            <w:webHidden/>
          </w:rPr>
          <w:fldChar w:fldCharType="separate"/>
        </w:r>
        <w:r w:rsidR="00B048CB">
          <w:rPr>
            <w:noProof/>
            <w:webHidden/>
          </w:rPr>
          <w:t>10</w:t>
        </w:r>
        <w:r w:rsidR="00B048CB">
          <w:rPr>
            <w:noProof/>
            <w:webHidden/>
          </w:rPr>
          <w:fldChar w:fldCharType="end"/>
        </w:r>
      </w:hyperlink>
    </w:p>
    <w:p w:rsidR="00B048CB" w:rsidRDefault="003D2C85">
      <w:pPr>
        <w:pStyle w:val="TOC2"/>
        <w:tabs>
          <w:tab w:val="left" w:pos="960"/>
          <w:tab w:val="right" w:leader="dot" w:pos="9350"/>
        </w:tabs>
        <w:rPr>
          <w:rFonts w:asciiTheme="minorHAnsi" w:eastAsiaTheme="minorEastAsia" w:hAnsiTheme="minorHAnsi" w:cstheme="minorBidi"/>
          <w:i w:val="0"/>
          <w:iCs w:val="0"/>
          <w:noProof/>
          <w:sz w:val="22"/>
          <w:szCs w:val="22"/>
        </w:rPr>
      </w:pPr>
      <w:hyperlink w:anchor="_Toc381357791" w:history="1">
        <w:r w:rsidR="00B048CB" w:rsidRPr="00820FE4">
          <w:rPr>
            <w:rStyle w:val="Hyperlink"/>
            <w:noProof/>
          </w:rPr>
          <w:t>3.13.</w:t>
        </w:r>
        <w:r w:rsidR="00B048CB">
          <w:rPr>
            <w:rFonts w:asciiTheme="minorHAnsi" w:eastAsiaTheme="minorEastAsia" w:hAnsiTheme="minorHAnsi" w:cstheme="minorBidi"/>
            <w:i w:val="0"/>
            <w:iCs w:val="0"/>
            <w:noProof/>
            <w:sz w:val="22"/>
            <w:szCs w:val="22"/>
          </w:rPr>
          <w:tab/>
        </w:r>
        <w:r w:rsidR="00B048CB" w:rsidRPr="00820FE4">
          <w:rPr>
            <w:rStyle w:val="Hyperlink"/>
            <w:noProof/>
          </w:rPr>
          <w:t>Point Concentration Location</w:t>
        </w:r>
        <w:r w:rsidR="00B048CB">
          <w:rPr>
            <w:noProof/>
            <w:webHidden/>
          </w:rPr>
          <w:tab/>
        </w:r>
        <w:r w:rsidR="00B048CB">
          <w:rPr>
            <w:noProof/>
            <w:webHidden/>
          </w:rPr>
          <w:fldChar w:fldCharType="begin"/>
        </w:r>
        <w:r w:rsidR="00B048CB">
          <w:rPr>
            <w:noProof/>
            <w:webHidden/>
          </w:rPr>
          <w:instrText xml:space="preserve"> PAGEREF _Toc381357791 \h </w:instrText>
        </w:r>
        <w:r w:rsidR="00B048CB">
          <w:rPr>
            <w:noProof/>
            <w:webHidden/>
          </w:rPr>
        </w:r>
        <w:r w:rsidR="00B048CB">
          <w:rPr>
            <w:noProof/>
            <w:webHidden/>
          </w:rPr>
          <w:fldChar w:fldCharType="separate"/>
        </w:r>
        <w:r w:rsidR="00B048CB">
          <w:rPr>
            <w:noProof/>
            <w:webHidden/>
          </w:rPr>
          <w:t>11</w:t>
        </w:r>
        <w:r w:rsidR="00B048CB">
          <w:rPr>
            <w:noProof/>
            <w:webHidden/>
          </w:rPr>
          <w:fldChar w:fldCharType="end"/>
        </w:r>
      </w:hyperlink>
    </w:p>
    <w:p w:rsidR="00B048CB" w:rsidRDefault="003D2C85">
      <w:pPr>
        <w:pStyle w:val="TOC2"/>
        <w:tabs>
          <w:tab w:val="left" w:pos="960"/>
          <w:tab w:val="right" w:leader="dot" w:pos="9350"/>
        </w:tabs>
        <w:rPr>
          <w:rFonts w:asciiTheme="minorHAnsi" w:eastAsiaTheme="minorEastAsia" w:hAnsiTheme="minorHAnsi" w:cstheme="minorBidi"/>
          <w:i w:val="0"/>
          <w:iCs w:val="0"/>
          <w:noProof/>
          <w:sz w:val="22"/>
          <w:szCs w:val="22"/>
        </w:rPr>
      </w:pPr>
      <w:hyperlink w:anchor="_Toc381357792" w:history="1">
        <w:r w:rsidR="00B048CB" w:rsidRPr="00820FE4">
          <w:rPr>
            <w:rStyle w:val="Hyperlink"/>
            <w:noProof/>
          </w:rPr>
          <w:t>3.14.</w:t>
        </w:r>
        <w:r w:rsidR="00B048CB">
          <w:rPr>
            <w:rFonts w:asciiTheme="minorHAnsi" w:eastAsiaTheme="minorEastAsia" w:hAnsiTheme="minorHAnsi" w:cstheme="minorBidi"/>
            <w:i w:val="0"/>
            <w:iCs w:val="0"/>
            <w:noProof/>
            <w:sz w:val="22"/>
            <w:szCs w:val="22"/>
          </w:rPr>
          <w:tab/>
        </w:r>
        <w:r w:rsidR="00B048CB" w:rsidRPr="00820FE4">
          <w:rPr>
            <w:rStyle w:val="Hyperlink"/>
            <w:noProof/>
          </w:rPr>
          <w:t>Model Calculation Domain</w:t>
        </w:r>
        <w:r w:rsidR="00B048CB">
          <w:rPr>
            <w:noProof/>
            <w:webHidden/>
          </w:rPr>
          <w:tab/>
        </w:r>
        <w:r w:rsidR="00B048CB">
          <w:rPr>
            <w:noProof/>
            <w:webHidden/>
          </w:rPr>
          <w:fldChar w:fldCharType="begin"/>
        </w:r>
        <w:r w:rsidR="00B048CB">
          <w:rPr>
            <w:noProof/>
            <w:webHidden/>
          </w:rPr>
          <w:instrText xml:space="preserve"> PAGEREF _Toc381357792 \h </w:instrText>
        </w:r>
        <w:r w:rsidR="00B048CB">
          <w:rPr>
            <w:noProof/>
            <w:webHidden/>
          </w:rPr>
        </w:r>
        <w:r w:rsidR="00B048CB">
          <w:rPr>
            <w:noProof/>
            <w:webHidden/>
          </w:rPr>
          <w:fldChar w:fldCharType="separate"/>
        </w:r>
        <w:r w:rsidR="00B048CB">
          <w:rPr>
            <w:noProof/>
            <w:webHidden/>
          </w:rPr>
          <w:t>11</w:t>
        </w:r>
        <w:r w:rsidR="00B048CB">
          <w:rPr>
            <w:noProof/>
            <w:webHidden/>
          </w:rPr>
          <w:fldChar w:fldCharType="end"/>
        </w:r>
      </w:hyperlink>
    </w:p>
    <w:p w:rsidR="00B048CB" w:rsidRDefault="003D2C85">
      <w:pPr>
        <w:pStyle w:val="TOC2"/>
        <w:tabs>
          <w:tab w:val="left" w:pos="960"/>
          <w:tab w:val="right" w:leader="dot" w:pos="9350"/>
        </w:tabs>
        <w:rPr>
          <w:rFonts w:asciiTheme="minorHAnsi" w:eastAsiaTheme="minorEastAsia" w:hAnsiTheme="minorHAnsi" w:cstheme="minorBidi"/>
          <w:i w:val="0"/>
          <w:iCs w:val="0"/>
          <w:noProof/>
          <w:sz w:val="22"/>
          <w:szCs w:val="22"/>
        </w:rPr>
      </w:pPr>
      <w:hyperlink w:anchor="_Toc381357793" w:history="1">
        <w:r w:rsidR="00B048CB" w:rsidRPr="00820FE4">
          <w:rPr>
            <w:rStyle w:val="Hyperlink"/>
            <w:noProof/>
          </w:rPr>
          <w:t>3.15.</w:t>
        </w:r>
        <w:r w:rsidR="00B048CB">
          <w:rPr>
            <w:rFonts w:asciiTheme="minorHAnsi" w:eastAsiaTheme="minorEastAsia" w:hAnsiTheme="minorHAnsi" w:cstheme="minorBidi"/>
            <w:i w:val="0"/>
            <w:iCs w:val="0"/>
            <w:noProof/>
            <w:sz w:val="22"/>
            <w:szCs w:val="22"/>
          </w:rPr>
          <w:tab/>
        </w:r>
        <w:r w:rsidR="00B048CB" w:rsidRPr="00820FE4">
          <w:rPr>
            <w:rStyle w:val="Hyperlink"/>
            <w:noProof/>
          </w:rPr>
          <w:t>Field Data</w:t>
        </w:r>
        <w:r w:rsidR="00B048CB">
          <w:rPr>
            <w:noProof/>
            <w:webHidden/>
          </w:rPr>
          <w:tab/>
        </w:r>
        <w:r w:rsidR="00B048CB">
          <w:rPr>
            <w:noProof/>
            <w:webHidden/>
          </w:rPr>
          <w:fldChar w:fldCharType="begin"/>
        </w:r>
        <w:r w:rsidR="00B048CB">
          <w:rPr>
            <w:noProof/>
            <w:webHidden/>
          </w:rPr>
          <w:instrText xml:space="preserve"> PAGEREF _Toc381357793 \h </w:instrText>
        </w:r>
        <w:r w:rsidR="00B048CB">
          <w:rPr>
            <w:noProof/>
            <w:webHidden/>
          </w:rPr>
        </w:r>
        <w:r w:rsidR="00B048CB">
          <w:rPr>
            <w:noProof/>
            <w:webHidden/>
          </w:rPr>
          <w:fldChar w:fldCharType="separate"/>
        </w:r>
        <w:r w:rsidR="00B048CB">
          <w:rPr>
            <w:noProof/>
            <w:webHidden/>
          </w:rPr>
          <w:t>11</w:t>
        </w:r>
        <w:r w:rsidR="00B048CB">
          <w:rPr>
            <w:noProof/>
            <w:webHidden/>
          </w:rPr>
          <w:fldChar w:fldCharType="end"/>
        </w:r>
      </w:hyperlink>
    </w:p>
    <w:p w:rsidR="00B048CB" w:rsidRDefault="003D2C85">
      <w:pPr>
        <w:pStyle w:val="TOC2"/>
        <w:tabs>
          <w:tab w:val="left" w:pos="960"/>
          <w:tab w:val="right" w:leader="dot" w:pos="9350"/>
        </w:tabs>
        <w:rPr>
          <w:rFonts w:asciiTheme="minorHAnsi" w:eastAsiaTheme="minorEastAsia" w:hAnsiTheme="minorHAnsi" w:cstheme="minorBidi"/>
          <w:i w:val="0"/>
          <w:iCs w:val="0"/>
          <w:noProof/>
          <w:sz w:val="22"/>
          <w:szCs w:val="22"/>
        </w:rPr>
      </w:pPr>
      <w:hyperlink w:anchor="_Toc381357794" w:history="1">
        <w:r w:rsidR="00B048CB" w:rsidRPr="00820FE4">
          <w:rPr>
            <w:rStyle w:val="Hyperlink"/>
            <w:noProof/>
          </w:rPr>
          <w:t>3.16.</w:t>
        </w:r>
        <w:r w:rsidR="00B048CB">
          <w:rPr>
            <w:rFonts w:asciiTheme="minorHAnsi" w:eastAsiaTheme="minorEastAsia" w:hAnsiTheme="minorHAnsi" w:cstheme="minorBidi"/>
            <w:i w:val="0"/>
            <w:iCs w:val="0"/>
            <w:noProof/>
            <w:sz w:val="22"/>
            <w:szCs w:val="22"/>
          </w:rPr>
          <w:tab/>
        </w:r>
        <w:r w:rsidR="00B048CB" w:rsidRPr="00820FE4">
          <w:rPr>
            <w:rStyle w:val="Hyperlink"/>
            <w:noProof/>
          </w:rPr>
          <w:t>Calculated Quantities</w:t>
        </w:r>
        <w:r w:rsidR="00B048CB">
          <w:rPr>
            <w:noProof/>
            <w:webHidden/>
          </w:rPr>
          <w:tab/>
        </w:r>
        <w:r w:rsidR="00B048CB">
          <w:rPr>
            <w:noProof/>
            <w:webHidden/>
          </w:rPr>
          <w:fldChar w:fldCharType="begin"/>
        </w:r>
        <w:r w:rsidR="00B048CB">
          <w:rPr>
            <w:noProof/>
            <w:webHidden/>
          </w:rPr>
          <w:instrText xml:space="preserve"> PAGEREF _Toc381357794 \h </w:instrText>
        </w:r>
        <w:r w:rsidR="00B048CB">
          <w:rPr>
            <w:noProof/>
            <w:webHidden/>
          </w:rPr>
        </w:r>
        <w:r w:rsidR="00B048CB">
          <w:rPr>
            <w:noProof/>
            <w:webHidden/>
          </w:rPr>
          <w:fldChar w:fldCharType="separate"/>
        </w:r>
        <w:r w:rsidR="00B048CB">
          <w:rPr>
            <w:noProof/>
            <w:webHidden/>
          </w:rPr>
          <w:t>11</w:t>
        </w:r>
        <w:r w:rsidR="00B048CB">
          <w:rPr>
            <w:noProof/>
            <w:webHidden/>
          </w:rPr>
          <w:fldChar w:fldCharType="end"/>
        </w:r>
      </w:hyperlink>
    </w:p>
    <w:p w:rsidR="00B048CB" w:rsidRDefault="003D2C85">
      <w:pPr>
        <w:pStyle w:val="TOC1"/>
        <w:tabs>
          <w:tab w:val="left" w:pos="480"/>
          <w:tab w:val="right" w:leader="dot" w:pos="9350"/>
        </w:tabs>
        <w:rPr>
          <w:rFonts w:asciiTheme="minorHAnsi" w:eastAsiaTheme="minorEastAsia" w:hAnsiTheme="minorHAnsi" w:cstheme="minorBidi"/>
          <w:b w:val="0"/>
          <w:bCs w:val="0"/>
          <w:noProof/>
          <w:sz w:val="22"/>
          <w:szCs w:val="22"/>
        </w:rPr>
      </w:pPr>
      <w:hyperlink w:anchor="_Toc381357795" w:history="1">
        <w:r w:rsidR="00B048CB" w:rsidRPr="00820FE4">
          <w:rPr>
            <w:rStyle w:val="Hyperlink"/>
            <w:noProof/>
          </w:rPr>
          <w:t>4.</w:t>
        </w:r>
        <w:r w:rsidR="00B048CB">
          <w:rPr>
            <w:rFonts w:asciiTheme="minorHAnsi" w:eastAsiaTheme="minorEastAsia" w:hAnsiTheme="minorHAnsi" w:cstheme="minorBidi"/>
            <w:b w:val="0"/>
            <w:bCs w:val="0"/>
            <w:noProof/>
            <w:sz w:val="22"/>
            <w:szCs w:val="22"/>
          </w:rPr>
          <w:tab/>
        </w:r>
        <w:r w:rsidR="00B048CB" w:rsidRPr="00820FE4">
          <w:rPr>
            <w:rStyle w:val="Hyperlink"/>
            <w:noProof/>
          </w:rPr>
          <w:t>QD Model Output</w:t>
        </w:r>
        <w:r w:rsidR="00B048CB">
          <w:rPr>
            <w:noProof/>
            <w:webHidden/>
          </w:rPr>
          <w:tab/>
        </w:r>
        <w:r w:rsidR="00B048CB">
          <w:rPr>
            <w:noProof/>
            <w:webHidden/>
          </w:rPr>
          <w:fldChar w:fldCharType="begin"/>
        </w:r>
        <w:r w:rsidR="00B048CB">
          <w:rPr>
            <w:noProof/>
            <w:webHidden/>
          </w:rPr>
          <w:instrText xml:space="preserve"> PAGEREF _Toc381357795 \h </w:instrText>
        </w:r>
        <w:r w:rsidR="00B048CB">
          <w:rPr>
            <w:noProof/>
            <w:webHidden/>
          </w:rPr>
        </w:r>
        <w:r w:rsidR="00B048CB">
          <w:rPr>
            <w:noProof/>
            <w:webHidden/>
          </w:rPr>
          <w:fldChar w:fldCharType="separate"/>
        </w:r>
        <w:r w:rsidR="00B048CB">
          <w:rPr>
            <w:noProof/>
            <w:webHidden/>
          </w:rPr>
          <w:t>13</w:t>
        </w:r>
        <w:r w:rsidR="00B048CB">
          <w:rPr>
            <w:noProof/>
            <w:webHidden/>
          </w:rPr>
          <w:fldChar w:fldCharType="end"/>
        </w:r>
      </w:hyperlink>
    </w:p>
    <w:p w:rsidR="00B048CB" w:rsidRDefault="003D2C85">
      <w:pPr>
        <w:pStyle w:val="TOC1"/>
        <w:tabs>
          <w:tab w:val="left" w:pos="480"/>
          <w:tab w:val="right" w:leader="dot" w:pos="9350"/>
        </w:tabs>
        <w:rPr>
          <w:rFonts w:asciiTheme="minorHAnsi" w:eastAsiaTheme="minorEastAsia" w:hAnsiTheme="minorHAnsi" w:cstheme="minorBidi"/>
          <w:b w:val="0"/>
          <w:bCs w:val="0"/>
          <w:noProof/>
          <w:sz w:val="22"/>
          <w:szCs w:val="22"/>
        </w:rPr>
      </w:pPr>
      <w:hyperlink w:anchor="_Toc381357796" w:history="1">
        <w:r w:rsidR="00B048CB" w:rsidRPr="00820FE4">
          <w:rPr>
            <w:rStyle w:val="Hyperlink"/>
            <w:noProof/>
          </w:rPr>
          <w:t>5.</w:t>
        </w:r>
        <w:r w:rsidR="00B048CB">
          <w:rPr>
            <w:rFonts w:asciiTheme="minorHAnsi" w:eastAsiaTheme="minorEastAsia" w:hAnsiTheme="minorHAnsi" w:cstheme="minorBidi"/>
            <w:b w:val="0"/>
            <w:bCs w:val="0"/>
            <w:noProof/>
            <w:sz w:val="22"/>
            <w:szCs w:val="22"/>
          </w:rPr>
          <w:tab/>
        </w:r>
        <w:r w:rsidR="00B048CB" w:rsidRPr="00820FE4">
          <w:rPr>
            <w:rStyle w:val="Hyperlink"/>
            <w:noProof/>
          </w:rPr>
          <w:t>Calibrating the QD Model</w:t>
        </w:r>
        <w:r w:rsidR="00B048CB">
          <w:rPr>
            <w:noProof/>
            <w:webHidden/>
          </w:rPr>
          <w:tab/>
        </w:r>
        <w:r w:rsidR="00B048CB">
          <w:rPr>
            <w:noProof/>
            <w:webHidden/>
          </w:rPr>
          <w:fldChar w:fldCharType="begin"/>
        </w:r>
        <w:r w:rsidR="00B048CB">
          <w:rPr>
            <w:noProof/>
            <w:webHidden/>
          </w:rPr>
          <w:instrText xml:space="preserve"> PAGEREF _Toc381357796 \h </w:instrText>
        </w:r>
        <w:r w:rsidR="00B048CB">
          <w:rPr>
            <w:noProof/>
            <w:webHidden/>
          </w:rPr>
        </w:r>
        <w:r w:rsidR="00B048CB">
          <w:rPr>
            <w:noProof/>
            <w:webHidden/>
          </w:rPr>
          <w:fldChar w:fldCharType="separate"/>
        </w:r>
        <w:r w:rsidR="00B048CB">
          <w:rPr>
            <w:noProof/>
            <w:webHidden/>
          </w:rPr>
          <w:t>14</w:t>
        </w:r>
        <w:r w:rsidR="00B048CB">
          <w:rPr>
            <w:noProof/>
            <w:webHidden/>
          </w:rPr>
          <w:fldChar w:fldCharType="end"/>
        </w:r>
      </w:hyperlink>
    </w:p>
    <w:p w:rsidR="00B048CB" w:rsidRDefault="003D2C85">
      <w:pPr>
        <w:pStyle w:val="TOC2"/>
        <w:tabs>
          <w:tab w:val="left" w:pos="960"/>
          <w:tab w:val="right" w:leader="dot" w:pos="9350"/>
        </w:tabs>
        <w:rPr>
          <w:rFonts w:asciiTheme="minorHAnsi" w:eastAsiaTheme="minorEastAsia" w:hAnsiTheme="minorHAnsi" w:cstheme="minorBidi"/>
          <w:i w:val="0"/>
          <w:iCs w:val="0"/>
          <w:noProof/>
          <w:sz w:val="22"/>
          <w:szCs w:val="22"/>
        </w:rPr>
      </w:pPr>
      <w:hyperlink w:anchor="_Toc381357797" w:history="1">
        <w:r w:rsidR="00B048CB" w:rsidRPr="00820FE4">
          <w:rPr>
            <w:rStyle w:val="Hyperlink"/>
            <w:noProof/>
          </w:rPr>
          <w:t>5.1.</w:t>
        </w:r>
        <w:r w:rsidR="00B048CB">
          <w:rPr>
            <w:rFonts w:asciiTheme="minorHAnsi" w:eastAsiaTheme="minorEastAsia" w:hAnsiTheme="minorHAnsi" w:cstheme="minorBidi"/>
            <w:i w:val="0"/>
            <w:iCs w:val="0"/>
            <w:noProof/>
            <w:sz w:val="22"/>
            <w:szCs w:val="22"/>
          </w:rPr>
          <w:tab/>
        </w:r>
        <w:r w:rsidR="00B048CB" w:rsidRPr="00820FE4">
          <w:rPr>
            <w:rStyle w:val="Hyperlink"/>
            <w:noProof/>
          </w:rPr>
          <w:t>Objective</w:t>
        </w:r>
        <w:r w:rsidR="00B048CB">
          <w:rPr>
            <w:noProof/>
            <w:webHidden/>
          </w:rPr>
          <w:tab/>
        </w:r>
        <w:r w:rsidR="00B048CB">
          <w:rPr>
            <w:noProof/>
            <w:webHidden/>
          </w:rPr>
          <w:fldChar w:fldCharType="begin"/>
        </w:r>
        <w:r w:rsidR="00B048CB">
          <w:rPr>
            <w:noProof/>
            <w:webHidden/>
          </w:rPr>
          <w:instrText xml:space="preserve"> PAGEREF _Toc381357797 \h </w:instrText>
        </w:r>
        <w:r w:rsidR="00B048CB">
          <w:rPr>
            <w:noProof/>
            <w:webHidden/>
          </w:rPr>
        </w:r>
        <w:r w:rsidR="00B048CB">
          <w:rPr>
            <w:noProof/>
            <w:webHidden/>
          </w:rPr>
          <w:fldChar w:fldCharType="separate"/>
        </w:r>
        <w:r w:rsidR="00B048CB">
          <w:rPr>
            <w:noProof/>
            <w:webHidden/>
          </w:rPr>
          <w:t>14</w:t>
        </w:r>
        <w:r w:rsidR="00B048CB">
          <w:rPr>
            <w:noProof/>
            <w:webHidden/>
          </w:rPr>
          <w:fldChar w:fldCharType="end"/>
        </w:r>
      </w:hyperlink>
    </w:p>
    <w:p w:rsidR="00B048CB" w:rsidRDefault="003D2C85">
      <w:pPr>
        <w:pStyle w:val="TOC2"/>
        <w:tabs>
          <w:tab w:val="left" w:pos="960"/>
          <w:tab w:val="right" w:leader="dot" w:pos="9350"/>
        </w:tabs>
        <w:rPr>
          <w:rFonts w:asciiTheme="minorHAnsi" w:eastAsiaTheme="minorEastAsia" w:hAnsiTheme="minorHAnsi" w:cstheme="minorBidi"/>
          <w:i w:val="0"/>
          <w:iCs w:val="0"/>
          <w:noProof/>
          <w:sz w:val="22"/>
          <w:szCs w:val="22"/>
        </w:rPr>
      </w:pPr>
      <w:hyperlink w:anchor="_Toc381357798" w:history="1">
        <w:r w:rsidR="00B048CB" w:rsidRPr="00820FE4">
          <w:rPr>
            <w:rStyle w:val="Hyperlink"/>
            <w:noProof/>
          </w:rPr>
          <w:t>5.2.</w:t>
        </w:r>
        <w:r w:rsidR="00B048CB">
          <w:rPr>
            <w:rFonts w:asciiTheme="minorHAnsi" w:eastAsiaTheme="minorEastAsia" w:hAnsiTheme="minorHAnsi" w:cstheme="minorBidi"/>
            <w:i w:val="0"/>
            <w:iCs w:val="0"/>
            <w:noProof/>
            <w:sz w:val="22"/>
            <w:szCs w:val="22"/>
          </w:rPr>
          <w:tab/>
        </w:r>
        <w:r w:rsidR="00B048CB" w:rsidRPr="00820FE4">
          <w:rPr>
            <w:rStyle w:val="Hyperlink"/>
            <w:noProof/>
          </w:rPr>
          <w:t>Methodology</w:t>
        </w:r>
        <w:r w:rsidR="00B048CB">
          <w:rPr>
            <w:noProof/>
            <w:webHidden/>
          </w:rPr>
          <w:tab/>
        </w:r>
        <w:r w:rsidR="00B048CB">
          <w:rPr>
            <w:noProof/>
            <w:webHidden/>
          </w:rPr>
          <w:fldChar w:fldCharType="begin"/>
        </w:r>
        <w:r w:rsidR="00B048CB">
          <w:rPr>
            <w:noProof/>
            <w:webHidden/>
          </w:rPr>
          <w:instrText xml:space="preserve"> PAGEREF _Toc381357798 \h </w:instrText>
        </w:r>
        <w:r w:rsidR="00B048CB">
          <w:rPr>
            <w:noProof/>
            <w:webHidden/>
          </w:rPr>
        </w:r>
        <w:r w:rsidR="00B048CB">
          <w:rPr>
            <w:noProof/>
            <w:webHidden/>
          </w:rPr>
          <w:fldChar w:fldCharType="separate"/>
        </w:r>
        <w:r w:rsidR="00B048CB">
          <w:rPr>
            <w:noProof/>
            <w:webHidden/>
          </w:rPr>
          <w:t>14</w:t>
        </w:r>
        <w:r w:rsidR="00B048CB">
          <w:rPr>
            <w:noProof/>
            <w:webHidden/>
          </w:rPr>
          <w:fldChar w:fldCharType="end"/>
        </w:r>
      </w:hyperlink>
    </w:p>
    <w:p w:rsidR="00B048CB" w:rsidRDefault="003D2C85">
      <w:pPr>
        <w:pStyle w:val="TOC2"/>
        <w:tabs>
          <w:tab w:val="left" w:pos="960"/>
          <w:tab w:val="right" w:leader="dot" w:pos="9350"/>
        </w:tabs>
        <w:rPr>
          <w:rFonts w:asciiTheme="minorHAnsi" w:eastAsiaTheme="minorEastAsia" w:hAnsiTheme="minorHAnsi" w:cstheme="minorBidi"/>
          <w:i w:val="0"/>
          <w:iCs w:val="0"/>
          <w:noProof/>
          <w:sz w:val="22"/>
          <w:szCs w:val="22"/>
        </w:rPr>
      </w:pPr>
      <w:hyperlink w:anchor="_Toc381357799" w:history="1">
        <w:r w:rsidR="00B048CB" w:rsidRPr="00820FE4">
          <w:rPr>
            <w:rStyle w:val="Hyperlink"/>
            <w:noProof/>
          </w:rPr>
          <w:t>5.3.</w:t>
        </w:r>
        <w:r w:rsidR="00B048CB">
          <w:rPr>
            <w:rFonts w:asciiTheme="minorHAnsi" w:eastAsiaTheme="minorEastAsia" w:hAnsiTheme="minorHAnsi" w:cstheme="minorBidi"/>
            <w:i w:val="0"/>
            <w:iCs w:val="0"/>
            <w:noProof/>
            <w:sz w:val="22"/>
            <w:szCs w:val="22"/>
          </w:rPr>
          <w:tab/>
        </w:r>
        <w:r w:rsidR="00B048CB" w:rsidRPr="00820FE4">
          <w:rPr>
            <w:rStyle w:val="Hyperlink"/>
            <w:noProof/>
          </w:rPr>
          <w:t>Model Validation</w:t>
        </w:r>
        <w:r w:rsidR="00B048CB">
          <w:rPr>
            <w:noProof/>
            <w:webHidden/>
          </w:rPr>
          <w:tab/>
        </w:r>
        <w:r w:rsidR="00B048CB">
          <w:rPr>
            <w:noProof/>
            <w:webHidden/>
          </w:rPr>
          <w:fldChar w:fldCharType="begin"/>
        </w:r>
        <w:r w:rsidR="00B048CB">
          <w:rPr>
            <w:noProof/>
            <w:webHidden/>
          </w:rPr>
          <w:instrText xml:space="preserve"> PAGEREF _Toc381357799 \h </w:instrText>
        </w:r>
        <w:r w:rsidR="00B048CB">
          <w:rPr>
            <w:noProof/>
            <w:webHidden/>
          </w:rPr>
        </w:r>
        <w:r w:rsidR="00B048CB">
          <w:rPr>
            <w:noProof/>
            <w:webHidden/>
          </w:rPr>
          <w:fldChar w:fldCharType="separate"/>
        </w:r>
        <w:r w:rsidR="00B048CB">
          <w:rPr>
            <w:noProof/>
            <w:webHidden/>
          </w:rPr>
          <w:t>16</w:t>
        </w:r>
        <w:r w:rsidR="00B048CB">
          <w:rPr>
            <w:noProof/>
            <w:webHidden/>
          </w:rPr>
          <w:fldChar w:fldCharType="end"/>
        </w:r>
      </w:hyperlink>
    </w:p>
    <w:p w:rsidR="00B048CB" w:rsidRDefault="003D2C85">
      <w:pPr>
        <w:pStyle w:val="TOC1"/>
        <w:tabs>
          <w:tab w:val="left" w:pos="480"/>
          <w:tab w:val="right" w:leader="dot" w:pos="9350"/>
        </w:tabs>
        <w:rPr>
          <w:rFonts w:asciiTheme="minorHAnsi" w:eastAsiaTheme="minorEastAsia" w:hAnsiTheme="minorHAnsi" w:cstheme="minorBidi"/>
          <w:b w:val="0"/>
          <w:bCs w:val="0"/>
          <w:noProof/>
          <w:sz w:val="22"/>
          <w:szCs w:val="22"/>
        </w:rPr>
      </w:pPr>
      <w:hyperlink w:anchor="_Toc381357800" w:history="1">
        <w:r w:rsidR="00B048CB" w:rsidRPr="00820FE4">
          <w:rPr>
            <w:rStyle w:val="Hyperlink"/>
            <w:noProof/>
          </w:rPr>
          <w:t>6.</w:t>
        </w:r>
        <w:r w:rsidR="00B048CB">
          <w:rPr>
            <w:rFonts w:asciiTheme="minorHAnsi" w:eastAsiaTheme="minorEastAsia" w:hAnsiTheme="minorHAnsi" w:cstheme="minorBidi"/>
            <w:b w:val="0"/>
            <w:bCs w:val="0"/>
            <w:noProof/>
            <w:sz w:val="22"/>
            <w:szCs w:val="22"/>
          </w:rPr>
          <w:tab/>
        </w:r>
        <w:r w:rsidR="00B048CB" w:rsidRPr="00820FE4">
          <w:rPr>
            <w:rStyle w:val="Hyperlink"/>
            <w:noProof/>
          </w:rPr>
          <w:t>Running a Predictive Model</w:t>
        </w:r>
        <w:r w:rsidR="00B048CB">
          <w:rPr>
            <w:noProof/>
            <w:webHidden/>
          </w:rPr>
          <w:tab/>
        </w:r>
        <w:r w:rsidR="00B048CB">
          <w:rPr>
            <w:noProof/>
            <w:webHidden/>
          </w:rPr>
          <w:fldChar w:fldCharType="begin"/>
        </w:r>
        <w:r w:rsidR="00B048CB">
          <w:rPr>
            <w:noProof/>
            <w:webHidden/>
          </w:rPr>
          <w:instrText xml:space="preserve"> PAGEREF _Toc381357800 \h </w:instrText>
        </w:r>
        <w:r w:rsidR="00B048CB">
          <w:rPr>
            <w:noProof/>
            <w:webHidden/>
          </w:rPr>
        </w:r>
        <w:r w:rsidR="00B048CB">
          <w:rPr>
            <w:noProof/>
            <w:webHidden/>
          </w:rPr>
          <w:fldChar w:fldCharType="separate"/>
        </w:r>
        <w:r w:rsidR="00B048CB">
          <w:rPr>
            <w:noProof/>
            <w:webHidden/>
          </w:rPr>
          <w:t>17</w:t>
        </w:r>
        <w:r w:rsidR="00B048CB">
          <w:rPr>
            <w:noProof/>
            <w:webHidden/>
          </w:rPr>
          <w:fldChar w:fldCharType="end"/>
        </w:r>
      </w:hyperlink>
    </w:p>
    <w:p w:rsidR="00B048CB" w:rsidRDefault="003D2C85">
      <w:pPr>
        <w:pStyle w:val="TOC2"/>
        <w:tabs>
          <w:tab w:val="left" w:pos="960"/>
          <w:tab w:val="right" w:leader="dot" w:pos="9350"/>
        </w:tabs>
        <w:rPr>
          <w:rFonts w:asciiTheme="minorHAnsi" w:eastAsiaTheme="minorEastAsia" w:hAnsiTheme="minorHAnsi" w:cstheme="minorBidi"/>
          <w:i w:val="0"/>
          <w:iCs w:val="0"/>
          <w:noProof/>
          <w:sz w:val="22"/>
          <w:szCs w:val="22"/>
        </w:rPr>
      </w:pPr>
      <w:hyperlink w:anchor="_Toc381357801" w:history="1">
        <w:r w:rsidR="00B048CB" w:rsidRPr="00820FE4">
          <w:rPr>
            <w:rStyle w:val="Hyperlink"/>
            <w:noProof/>
          </w:rPr>
          <w:t>6.1.</w:t>
        </w:r>
        <w:r w:rsidR="00B048CB">
          <w:rPr>
            <w:rFonts w:asciiTheme="minorHAnsi" w:eastAsiaTheme="minorEastAsia" w:hAnsiTheme="minorHAnsi" w:cstheme="minorBidi"/>
            <w:i w:val="0"/>
            <w:iCs w:val="0"/>
            <w:noProof/>
            <w:sz w:val="22"/>
            <w:szCs w:val="22"/>
          </w:rPr>
          <w:tab/>
        </w:r>
        <w:r w:rsidR="00B048CB" w:rsidRPr="00820FE4">
          <w:rPr>
            <w:rStyle w:val="Hyperlink"/>
            <w:noProof/>
          </w:rPr>
          <w:t>Methodology</w:t>
        </w:r>
        <w:r w:rsidR="00B048CB">
          <w:rPr>
            <w:noProof/>
            <w:webHidden/>
          </w:rPr>
          <w:tab/>
        </w:r>
        <w:r w:rsidR="00B048CB">
          <w:rPr>
            <w:noProof/>
            <w:webHidden/>
          </w:rPr>
          <w:fldChar w:fldCharType="begin"/>
        </w:r>
        <w:r w:rsidR="00B048CB">
          <w:rPr>
            <w:noProof/>
            <w:webHidden/>
          </w:rPr>
          <w:instrText xml:space="preserve"> PAGEREF _Toc381357801 \h </w:instrText>
        </w:r>
        <w:r w:rsidR="00B048CB">
          <w:rPr>
            <w:noProof/>
            <w:webHidden/>
          </w:rPr>
        </w:r>
        <w:r w:rsidR="00B048CB">
          <w:rPr>
            <w:noProof/>
            <w:webHidden/>
          </w:rPr>
          <w:fldChar w:fldCharType="separate"/>
        </w:r>
        <w:r w:rsidR="00B048CB">
          <w:rPr>
            <w:noProof/>
            <w:webHidden/>
          </w:rPr>
          <w:t>17</w:t>
        </w:r>
        <w:r w:rsidR="00B048CB">
          <w:rPr>
            <w:noProof/>
            <w:webHidden/>
          </w:rPr>
          <w:fldChar w:fldCharType="end"/>
        </w:r>
      </w:hyperlink>
    </w:p>
    <w:p w:rsidR="00B048CB" w:rsidRDefault="003D2C85">
      <w:pPr>
        <w:pStyle w:val="TOC2"/>
        <w:tabs>
          <w:tab w:val="left" w:pos="960"/>
          <w:tab w:val="right" w:leader="dot" w:pos="9350"/>
        </w:tabs>
        <w:rPr>
          <w:rFonts w:asciiTheme="minorHAnsi" w:eastAsiaTheme="minorEastAsia" w:hAnsiTheme="minorHAnsi" w:cstheme="minorBidi"/>
          <w:i w:val="0"/>
          <w:iCs w:val="0"/>
          <w:noProof/>
          <w:sz w:val="22"/>
          <w:szCs w:val="22"/>
        </w:rPr>
      </w:pPr>
      <w:hyperlink w:anchor="_Toc381357802" w:history="1">
        <w:r w:rsidR="00B048CB" w:rsidRPr="00820FE4">
          <w:rPr>
            <w:rStyle w:val="Hyperlink"/>
            <w:noProof/>
          </w:rPr>
          <w:t>6.2.</w:t>
        </w:r>
        <w:r w:rsidR="00B048CB">
          <w:rPr>
            <w:rFonts w:asciiTheme="minorHAnsi" w:eastAsiaTheme="minorEastAsia" w:hAnsiTheme="minorHAnsi" w:cstheme="minorBidi"/>
            <w:i w:val="0"/>
            <w:iCs w:val="0"/>
            <w:noProof/>
            <w:sz w:val="22"/>
            <w:szCs w:val="22"/>
          </w:rPr>
          <w:tab/>
        </w:r>
        <w:r w:rsidR="00B048CB" w:rsidRPr="00820FE4">
          <w:rPr>
            <w:rStyle w:val="Hyperlink"/>
            <w:noProof/>
          </w:rPr>
          <w:t>Results</w:t>
        </w:r>
        <w:r w:rsidR="00B048CB">
          <w:rPr>
            <w:noProof/>
            <w:webHidden/>
          </w:rPr>
          <w:tab/>
        </w:r>
        <w:r w:rsidR="00B048CB">
          <w:rPr>
            <w:noProof/>
            <w:webHidden/>
          </w:rPr>
          <w:fldChar w:fldCharType="begin"/>
        </w:r>
        <w:r w:rsidR="00B048CB">
          <w:rPr>
            <w:noProof/>
            <w:webHidden/>
          </w:rPr>
          <w:instrText xml:space="preserve"> PAGEREF _Toc381357802 \h </w:instrText>
        </w:r>
        <w:r w:rsidR="00B048CB">
          <w:rPr>
            <w:noProof/>
            <w:webHidden/>
          </w:rPr>
        </w:r>
        <w:r w:rsidR="00B048CB">
          <w:rPr>
            <w:noProof/>
            <w:webHidden/>
          </w:rPr>
          <w:fldChar w:fldCharType="separate"/>
        </w:r>
        <w:r w:rsidR="00B048CB">
          <w:rPr>
            <w:noProof/>
            <w:webHidden/>
          </w:rPr>
          <w:t>17</w:t>
        </w:r>
        <w:r w:rsidR="00B048CB">
          <w:rPr>
            <w:noProof/>
            <w:webHidden/>
          </w:rPr>
          <w:fldChar w:fldCharType="end"/>
        </w:r>
      </w:hyperlink>
    </w:p>
    <w:p w:rsidR="00B048CB" w:rsidRDefault="003D2C85">
      <w:pPr>
        <w:pStyle w:val="TOC2"/>
        <w:tabs>
          <w:tab w:val="left" w:pos="960"/>
          <w:tab w:val="right" w:leader="dot" w:pos="9350"/>
        </w:tabs>
        <w:rPr>
          <w:rFonts w:asciiTheme="minorHAnsi" w:eastAsiaTheme="minorEastAsia" w:hAnsiTheme="minorHAnsi" w:cstheme="minorBidi"/>
          <w:i w:val="0"/>
          <w:iCs w:val="0"/>
          <w:noProof/>
          <w:sz w:val="22"/>
          <w:szCs w:val="22"/>
        </w:rPr>
      </w:pPr>
      <w:hyperlink w:anchor="_Toc381357803" w:history="1">
        <w:r w:rsidR="00B048CB" w:rsidRPr="00820FE4">
          <w:rPr>
            <w:rStyle w:val="Hyperlink"/>
            <w:noProof/>
          </w:rPr>
          <w:t>6.3.</w:t>
        </w:r>
        <w:r w:rsidR="00B048CB">
          <w:rPr>
            <w:rFonts w:asciiTheme="minorHAnsi" w:eastAsiaTheme="minorEastAsia" w:hAnsiTheme="minorHAnsi" w:cstheme="minorBidi"/>
            <w:i w:val="0"/>
            <w:iCs w:val="0"/>
            <w:noProof/>
            <w:sz w:val="22"/>
            <w:szCs w:val="22"/>
          </w:rPr>
          <w:tab/>
        </w:r>
        <w:r w:rsidR="00B048CB" w:rsidRPr="00820FE4">
          <w:rPr>
            <w:rStyle w:val="Hyperlink"/>
            <w:noProof/>
          </w:rPr>
          <w:t>Report Contents</w:t>
        </w:r>
        <w:r w:rsidR="00B048CB">
          <w:rPr>
            <w:noProof/>
            <w:webHidden/>
          </w:rPr>
          <w:tab/>
        </w:r>
        <w:r w:rsidR="00B048CB">
          <w:rPr>
            <w:noProof/>
            <w:webHidden/>
          </w:rPr>
          <w:fldChar w:fldCharType="begin"/>
        </w:r>
        <w:r w:rsidR="00B048CB">
          <w:rPr>
            <w:noProof/>
            <w:webHidden/>
          </w:rPr>
          <w:instrText xml:space="preserve"> PAGEREF _Toc381357803 \h </w:instrText>
        </w:r>
        <w:r w:rsidR="00B048CB">
          <w:rPr>
            <w:noProof/>
            <w:webHidden/>
          </w:rPr>
        </w:r>
        <w:r w:rsidR="00B048CB">
          <w:rPr>
            <w:noProof/>
            <w:webHidden/>
          </w:rPr>
          <w:fldChar w:fldCharType="separate"/>
        </w:r>
        <w:r w:rsidR="00B048CB">
          <w:rPr>
            <w:noProof/>
            <w:webHidden/>
          </w:rPr>
          <w:t>18</w:t>
        </w:r>
        <w:r w:rsidR="00B048CB">
          <w:rPr>
            <w:noProof/>
            <w:webHidden/>
          </w:rPr>
          <w:fldChar w:fldCharType="end"/>
        </w:r>
      </w:hyperlink>
    </w:p>
    <w:p w:rsidR="00B048CB" w:rsidRDefault="003D2C85">
      <w:pPr>
        <w:pStyle w:val="TOC1"/>
        <w:tabs>
          <w:tab w:val="right" w:leader="dot" w:pos="9350"/>
        </w:tabs>
        <w:rPr>
          <w:rFonts w:asciiTheme="minorHAnsi" w:eastAsiaTheme="minorEastAsia" w:hAnsiTheme="minorHAnsi" w:cstheme="minorBidi"/>
          <w:b w:val="0"/>
          <w:bCs w:val="0"/>
          <w:noProof/>
          <w:sz w:val="22"/>
          <w:szCs w:val="22"/>
        </w:rPr>
      </w:pPr>
      <w:hyperlink w:anchor="_Toc381357804" w:history="1">
        <w:r w:rsidR="00B048CB" w:rsidRPr="00820FE4">
          <w:rPr>
            <w:rStyle w:val="Hyperlink"/>
            <w:noProof/>
          </w:rPr>
          <w:t>References</w:t>
        </w:r>
        <w:r w:rsidR="00B048CB">
          <w:rPr>
            <w:noProof/>
            <w:webHidden/>
          </w:rPr>
          <w:tab/>
        </w:r>
        <w:r w:rsidR="00B048CB">
          <w:rPr>
            <w:noProof/>
            <w:webHidden/>
          </w:rPr>
          <w:fldChar w:fldCharType="begin"/>
        </w:r>
        <w:r w:rsidR="00B048CB">
          <w:rPr>
            <w:noProof/>
            <w:webHidden/>
          </w:rPr>
          <w:instrText xml:space="preserve"> PAGEREF _Toc381357804 \h </w:instrText>
        </w:r>
        <w:r w:rsidR="00B048CB">
          <w:rPr>
            <w:noProof/>
            <w:webHidden/>
          </w:rPr>
        </w:r>
        <w:r w:rsidR="00B048CB">
          <w:rPr>
            <w:noProof/>
            <w:webHidden/>
          </w:rPr>
          <w:fldChar w:fldCharType="separate"/>
        </w:r>
        <w:r w:rsidR="00B048CB">
          <w:rPr>
            <w:noProof/>
            <w:webHidden/>
          </w:rPr>
          <w:t>19</w:t>
        </w:r>
        <w:r w:rsidR="00B048CB">
          <w:rPr>
            <w:noProof/>
            <w:webHidden/>
          </w:rPr>
          <w:fldChar w:fldCharType="end"/>
        </w:r>
      </w:hyperlink>
    </w:p>
    <w:p w:rsidR="00B048CB" w:rsidRDefault="003D2C85">
      <w:pPr>
        <w:pStyle w:val="TOC1"/>
        <w:tabs>
          <w:tab w:val="right" w:leader="dot" w:pos="9350"/>
        </w:tabs>
        <w:rPr>
          <w:rFonts w:asciiTheme="minorHAnsi" w:eastAsiaTheme="minorEastAsia" w:hAnsiTheme="minorHAnsi" w:cstheme="minorBidi"/>
          <w:b w:val="0"/>
          <w:bCs w:val="0"/>
          <w:noProof/>
          <w:sz w:val="22"/>
          <w:szCs w:val="22"/>
        </w:rPr>
      </w:pPr>
      <w:hyperlink w:anchor="_Toc381357805" w:history="1">
        <w:r w:rsidR="00B048CB" w:rsidRPr="00820FE4">
          <w:rPr>
            <w:rStyle w:val="Hyperlink"/>
            <w:noProof/>
          </w:rPr>
          <w:t>Web Links</w:t>
        </w:r>
        <w:r w:rsidR="00B048CB">
          <w:rPr>
            <w:noProof/>
            <w:webHidden/>
          </w:rPr>
          <w:tab/>
        </w:r>
        <w:r w:rsidR="00B048CB">
          <w:rPr>
            <w:noProof/>
            <w:webHidden/>
          </w:rPr>
          <w:fldChar w:fldCharType="begin"/>
        </w:r>
        <w:r w:rsidR="00B048CB">
          <w:rPr>
            <w:noProof/>
            <w:webHidden/>
          </w:rPr>
          <w:instrText xml:space="preserve"> PAGEREF _Toc381357805 \h </w:instrText>
        </w:r>
        <w:r w:rsidR="00B048CB">
          <w:rPr>
            <w:noProof/>
            <w:webHidden/>
          </w:rPr>
        </w:r>
        <w:r w:rsidR="00B048CB">
          <w:rPr>
            <w:noProof/>
            <w:webHidden/>
          </w:rPr>
          <w:fldChar w:fldCharType="separate"/>
        </w:r>
        <w:r w:rsidR="00B048CB">
          <w:rPr>
            <w:noProof/>
            <w:webHidden/>
          </w:rPr>
          <w:t>20</w:t>
        </w:r>
        <w:r w:rsidR="00B048CB">
          <w:rPr>
            <w:noProof/>
            <w:webHidden/>
          </w:rPr>
          <w:fldChar w:fldCharType="end"/>
        </w:r>
      </w:hyperlink>
    </w:p>
    <w:p w:rsidR="00B048CB" w:rsidRDefault="003D2C85">
      <w:pPr>
        <w:pStyle w:val="TOC1"/>
        <w:tabs>
          <w:tab w:val="left" w:pos="1440"/>
          <w:tab w:val="right" w:leader="dot" w:pos="9350"/>
        </w:tabs>
        <w:rPr>
          <w:rFonts w:asciiTheme="minorHAnsi" w:eastAsiaTheme="minorEastAsia" w:hAnsiTheme="minorHAnsi" w:cstheme="minorBidi"/>
          <w:b w:val="0"/>
          <w:bCs w:val="0"/>
          <w:noProof/>
          <w:sz w:val="22"/>
          <w:szCs w:val="22"/>
        </w:rPr>
      </w:pPr>
      <w:hyperlink w:anchor="_Toc381357806" w:history="1">
        <w:r w:rsidR="00B048CB" w:rsidRPr="00820FE4">
          <w:rPr>
            <w:rStyle w:val="Hyperlink"/>
            <w:noProof/>
          </w:rPr>
          <w:t>Appendix 1.</w:t>
        </w:r>
        <w:r w:rsidR="00B048CB">
          <w:rPr>
            <w:rFonts w:asciiTheme="minorHAnsi" w:eastAsiaTheme="minorEastAsia" w:hAnsiTheme="minorHAnsi" w:cstheme="minorBidi"/>
            <w:b w:val="0"/>
            <w:bCs w:val="0"/>
            <w:noProof/>
            <w:sz w:val="22"/>
            <w:szCs w:val="22"/>
          </w:rPr>
          <w:tab/>
        </w:r>
        <w:r w:rsidR="00B048CB" w:rsidRPr="00820FE4">
          <w:rPr>
            <w:rStyle w:val="Hyperlink"/>
            <w:noProof/>
          </w:rPr>
          <w:t>QD Model Background</w:t>
        </w:r>
        <w:r w:rsidR="00B048CB">
          <w:rPr>
            <w:noProof/>
            <w:webHidden/>
          </w:rPr>
          <w:tab/>
        </w:r>
        <w:r w:rsidR="00B048CB">
          <w:rPr>
            <w:noProof/>
            <w:webHidden/>
          </w:rPr>
          <w:fldChar w:fldCharType="begin"/>
        </w:r>
        <w:r w:rsidR="00B048CB">
          <w:rPr>
            <w:noProof/>
            <w:webHidden/>
          </w:rPr>
          <w:instrText xml:space="preserve"> PAGEREF _Toc381357806 \h </w:instrText>
        </w:r>
        <w:r w:rsidR="00B048CB">
          <w:rPr>
            <w:noProof/>
            <w:webHidden/>
          </w:rPr>
        </w:r>
        <w:r w:rsidR="00B048CB">
          <w:rPr>
            <w:noProof/>
            <w:webHidden/>
          </w:rPr>
          <w:fldChar w:fldCharType="separate"/>
        </w:r>
        <w:r w:rsidR="00B048CB">
          <w:rPr>
            <w:noProof/>
            <w:webHidden/>
          </w:rPr>
          <w:t>21</w:t>
        </w:r>
        <w:r w:rsidR="00B048CB">
          <w:rPr>
            <w:noProof/>
            <w:webHidden/>
          </w:rPr>
          <w:fldChar w:fldCharType="end"/>
        </w:r>
      </w:hyperlink>
    </w:p>
    <w:p w:rsidR="00B048CB" w:rsidRDefault="003D2C85">
      <w:pPr>
        <w:pStyle w:val="TOC1"/>
        <w:tabs>
          <w:tab w:val="left" w:pos="1440"/>
          <w:tab w:val="right" w:leader="dot" w:pos="9350"/>
        </w:tabs>
        <w:rPr>
          <w:rFonts w:asciiTheme="minorHAnsi" w:eastAsiaTheme="minorEastAsia" w:hAnsiTheme="minorHAnsi" w:cstheme="minorBidi"/>
          <w:b w:val="0"/>
          <w:bCs w:val="0"/>
          <w:noProof/>
          <w:sz w:val="22"/>
          <w:szCs w:val="22"/>
        </w:rPr>
      </w:pPr>
      <w:hyperlink w:anchor="_Toc381357807" w:history="1">
        <w:r w:rsidR="00B048CB" w:rsidRPr="00820FE4">
          <w:rPr>
            <w:rStyle w:val="Hyperlink"/>
            <w:noProof/>
          </w:rPr>
          <w:t>Appendix 2.</w:t>
        </w:r>
        <w:r w:rsidR="00B048CB">
          <w:rPr>
            <w:rFonts w:asciiTheme="minorHAnsi" w:eastAsiaTheme="minorEastAsia" w:hAnsiTheme="minorHAnsi" w:cstheme="minorBidi"/>
            <w:b w:val="0"/>
            <w:bCs w:val="0"/>
            <w:noProof/>
            <w:sz w:val="22"/>
            <w:szCs w:val="22"/>
          </w:rPr>
          <w:tab/>
        </w:r>
        <w:r w:rsidR="00B048CB" w:rsidRPr="00820FE4">
          <w:rPr>
            <w:rStyle w:val="Hyperlink"/>
            <w:noProof/>
          </w:rPr>
          <w:t>Hydraulic Conductivity</w:t>
        </w:r>
        <w:r w:rsidR="00B048CB">
          <w:rPr>
            <w:noProof/>
            <w:webHidden/>
          </w:rPr>
          <w:tab/>
        </w:r>
        <w:r w:rsidR="00B048CB">
          <w:rPr>
            <w:noProof/>
            <w:webHidden/>
          </w:rPr>
          <w:fldChar w:fldCharType="begin"/>
        </w:r>
        <w:r w:rsidR="00B048CB">
          <w:rPr>
            <w:noProof/>
            <w:webHidden/>
          </w:rPr>
          <w:instrText xml:space="preserve"> PAGEREF _Toc381357807 \h </w:instrText>
        </w:r>
        <w:r w:rsidR="00B048CB">
          <w:rPr>
            <w:noProof/>
            <w:webHidden/>
          </w:rPr>
        </w:r>
        <w:r w:rsidR="00B048CB">
          <w:rPr>
            <w:noProof/>
            <w:webHidden/>
          </w:rPr>
          <w:fldChar w:fldCharType="separate"/>
        </w:r>
        <w:r w:rsidR="00B048CB">
          <w:rPr>
            <w:noProof/>
            <w:webHidden/>
          </w:rPr>
          <w:t>25</w:t>
        </w:r>
        <w:r w:rsidR="00B048CB">
          <w:rPr>
            <w:noProof/>
            <w:webHidden/>
          </w:rPr>
          <w:fldChar w:fldCharType="end"/>
        </w:r>
      </w:hyperlink>
    </w:p>
    <w:p w:rsidR="00B048CB" w:rsidRDefault="003D2C85">
      <w:pPr>
        <w:pStyle w:val="TOC1"/>
        <w:tabs>
          <w:tab w:val="left" w:pos="1440"/>
          <w:tab w:val="right" w:leader="dot" w:pos="9350"/>
        </w:tabs>
        <w:rPr>
          <w:rFonts w:asciiTheme="minorHAnsi" w:eastAsiaTheme="minorEastAsia" w:hAnsiTheme="minorHAnsi" w:cstheme="minorBidi"/>
          <w:b w:val="0"/>
          <w:bCs w:val="0"/>
          <w:noProof/>
          <w:sz w:val="22"/>
          <w:szCs w:val="22"/>
        </w:rPr>
      </w:pPr>
      <w:hyperlink w:anchor="_Toc381357808" w:history="1">
        <w:r w:rsidR="00B048CB" w:rsidRPr="00820FE4">
          <w:rPr>
            <w:rStyle w:val="Hyperlink"/>
            <w:noProof/>
          </w:rPr>
          <w:t>Appendix 3.</w:t>
        </w:r>
        <w:r w:rsidR="00B048CB">
          <w:rPr>
            <w:rFonts w:asciiTheme="minorHAnsi" w:eastAsiaTheme="minorEastAsia" w:hAnsiTheme="minorHAnsi" w:cstheme="minorBidi"/>
            <w:b w:val="0"/>
            <w:bCs w:val="0"/>
            <w:noProof/>
            <w:sz w:val="22"/>
            <w:szCs w:val="22"/>
          </w:rPr>
          <w:tab/>
        </w:r>
        <w:r w:rsidR="00B048CB" w:rsidRPr="00820FE4">
          <w:rPr>
            <w:rStyle w:val="Hyperlink"/>
            <w:noProof/>
          </w:rPr>
          <w:t>Mechanical Dispersion</w:t>
        </w:r>
        <w:r w:rsidR="00B048CB">
          <w:rPr>
            <w:noProof/>
            <w:webHidden/>
          </w:rPr>
          <w:tab/>
        </w:r>
        <w:r w:rsidR="00B048CB">
          <w:rPr>
            <w:noProof/>
            <w:webHidden/>
          </w:rPr>
          <w:fldChar w:fldCharType="begin"/>
        </w:r>
        <w:r w:rsidR="00B048CB">
          <w:rPr>
            <w:noProof/>
            <w:webHidden/>
          </w:rPr>
          <w:instrText xml:space="preserve"> PAGEREF _Toc381357808 \h </w:instrText>
        </w:r>
        <w:r w:rsidR="00B048CB">
          <w:rPr>
            <w:noProof/>
            <w:webHidden/>
          </w:rPr>
        </w:r>
        <w:r w:rsidR="00B048CB">
          <w:rPr>
            <w:noProof/>
            <w:webHidden/>
          </w:rPr>
          <w:fldChar w:fldCharType="separate"/>
        </w:r>
        <w:r w:rsidR="00B048CB">
          <w:rPr>
            <w:noProof/>
            <w:webHidden/>
          </w:rPr>
          <w:t>28</w:t>
        </w:r>
        <w:r w:rsidR="00B048CB">
          <w:rPr>
            <w:noProof/>
            <w:webHidden/>
          </w:rPr>
          <w:fldChar w:fldCharType="end"/>
        </w:r>
      </w:hyperlink>
    </w:p>
    <w:p w:rsidR="00B048CB" w:rsidRDefault="003D2C85">
      <w:pPr>
        <w:pStyle w:val="TOC1"/>
        <w:tabs>
          <w:tab w:val="left" w:pos="1440"/>
          <w:tab w:val="right" w:leader="dot" w:pos="9350"/>
        </w:tabs>
        <w:rPr>
          <w:rFonts w:asciiTheme="minorHAnsi" w:eastAsiaTheme="minorEastAsia" w:hAnsiTheme="minorHAnsi" w:cstheme="minorBidi"/>
          <w:b w:val="0"/>
          <w:bCs w:val="0"/>
          <w:noProof/>
          <w:sz w:val="22"/>
          <w:szCs w:val="22"/>
        </w:rPr>
      </w:pPr>
      <w:hyperlink w:anchor="_Toc381357809" w:history="1">
        <w:r w:rsidR="00B048CB" w:rsidRPr="00820FE4">
          <w:rPr>
            <w:rStyle w:val="Hyperlink"/>
            <w:noProof/>
          </w:rPr>
          <w:t>Appendix 4.</w:t>
        </w:r>
        <w:r w:rsidR="00B048CB">
          <w:rPr>
            <w:rFonts w:asciiTheme="minorHAnsi" w:eastAsiaTheme="minorEastAsia" w:hAnsiTheme="minorHAnsi" w:cstheme="minorBidi"/>
            <w:b w:val="0"/>
            <w:bCs w:val="0"/>
            <w:noProof/>
            <w:sz w:val="22"/>
            <w:szCs w:val="22"/>
          </w:rPr>
          <w:tab/>
        </w:r>
        <w:r w:rsidR="00B048CB" w:rsidRPr="00820FE4">
          <w:rPr>
            <w:rStyle w:val="Hyperlink"/>
            <w:noProof/>
          </w:rPr>
          <w:t>Example Problems</w:t>
        </w:r>
        <w:r w:rsidR="00B048CB">
          <w:rPr>
            <w:noProof/>
            <w:webHidden/>
          </w:rPr>
          <w:tab/>
        </w:r>
        <w:r w:rsidR="00B048CB">
          <w:rPr>
            <w:noProof/>
            <w:webHidden/>
          </w:rPr>
          <w:fldChar w:fldCharType="begin"/>
        </w:r>
        <w:r w:rsidR="00B048CB">
          <w:rPr>
            <w:noProof/>
            <w:webHidden/>
          </w:rPr>
          <w:instrText xml:space="preserve"> PAGEREF _Toc381357809 \h </w:instrText>
        </w:r>
        <w:r w:rsidR="00B048CB">
          <w:rPr>
            <w:noProof/>
            <w:webHidden/>
          </w:rPr>
        </w:r>
        <w:r w:rsidR="00B048CB">
          <w:rPr>
            <w:noProof/>
            <w:webHidden/>
          </w:rPr>
          <w:fldChar w:fldCharType="separate"/>
        </w:r>
        <w:r w:rsidR="00B048CB">
          <w:rPr>
            <w:noProof/>
            <w:webHidden/>
          </w:rPr>
          <w:t>30</w:t>
        </w:r>
        <w:r w:rsidR="00B048CB">
          <w:rPr>
            <w:noProof/>
            <w:webHidden/>
          </w:rPr>
          <w:fldChar w:fldCharType="end"/>
        </w:r>
      </w:hyperlink>
    </w:p>
    <w:p w:rsidR="00365E82" w:rsidRPr="00950492" w:rsidRDefault="003B2A01">
      <w:r w:rsidRPr="00950492">
        <w:rPr>
          <w:caps/>
        </w:rPr>
        <w:fldChar w:fldCharType="end"/>
      </w:r>
    </w:p>
    <w:p w:rsidR="00365E82" w:rsidRPr="00950492" w:rsidRDefault="00365E82"/>
    <w:p w:rsidR="00365E82" w:rsidRPr="00950492" w:rsidRDefault="00365E82"/>
    <w:p w:rsidR="00365E82" w:rsidRDefault="00365E82">
      <w:pPr>
        <w:sectPr w:rsidR="00365E82" w:rsidSect="00553360">
          <w:footerReference w:type="default" r:id="rId14"/>
          <w:pgSz w:w="12240" w:h="15840"/>
          <w:pgMar w:top="1440" w:right="1440" w:bottom="1440" w:left="1440" w:header="720" w:footer="720" w:gutter="0"/>
          <w:pgNumType w:fmt="lowerRoman" w:start="1"/>
          <w:cols w:space="720"/>
          <w:docGrid w:linePitch="360"/>
        </w:sectPr>
      </w:pPr>
    </w:p>
    <w:p w:rsidR="00365E82" w:rsidRDefault="00365E82"/>
    <w:p w:rsidR="00365E82" w:rsidRPr="00FC3FC8" w:rsidRDefault="00FC3FC8">
      <w:pPr>
        <w:rPr>
          <w:rFonts w:ascii="Arial" w:hAnsi="Arial" w:cs="Arial"/>
          <w:b/>
          <w:sz w:val="28"/>
        </w:rPr>
      </w:pPr>
      <w:r w:rsidRPr="00FC3FC8">
        <w:rPr>
          <w:rFonts w:ascii="Arial" w:hAnsi="Arial" w:cs="Arial"/>
          <w:b/>
          <w:sz w:val="28"/>
        </w:rPr>
        <w:t>Preface</w:t>
      </w:r>
    </w:p>
    <w:p w:rsidR="00985A7D" w:rsidRDefault="00985A7D"/>
    <w:p w:rsidR="00985A7D" w:rsidRDefault="007C3A36">
      <w:r>
        <w:t xml:space="preserve">This Quick </w:t>
      </w:r>
      <w:proofErr w:type="spellStart"/>
      <w:r>
        <w:t>Domenico</w:t>
      </w:r>
      <w:proofErr w:type="spellEnd"/>
      <w:r>
        <w:t xml:space="preserve"> user’s manual documents the application of QD </w:t>
      </w:r>
      <w:r w:rsidR="0096169E">
        <w:t xml:space="preserve">to groundwater fate-and-transport problems </w:t>
      </w:r>
      <w:r>
        <w:t xml:space="preserve">and is intended to encourage more consistent use of the model. It should help users appreciate the many factors that come into play with </w:t>
      </w:r>
      <w:r w:rsidR="008905D4">
        <w:t>modeling. It</w:t>
      </w:r>
      <w:r w:rsidR="00282505">
        <w:t xml:space="preserve"> has been written with an emphasis on the use of sound science and a conservative approach in fate-and-transport </w:t>
      </w:r>
      <w:r>
        <w:t>analyses</w:t>
      </w:r>
      <w:r w:rsidR="00282505">
        <w:t xml:space="preserve">. At the same time, it is recognized that </w:t>
      </w:r>
      <w:r w:rsidR="00DD0EA8">
        <w:t xml:space="preserve">the solution of these problems is </w:t>
      </w:r>
      <w:r w:rsidR="00F00CAD">
        <w:t xml:space="preserve">limited by the </w:t>
      </w:r>
      <w:r w:rsidR="00DD0EA8">
        <w:t xml:space="preserve">data </w:t>
      </w:r>
      <w:r w:rsidR="00F00CAD">
        <w:t>available</w:t>
      </w:r>
      <w:r w:rsidR="00DD0EA8">
        <w:t>. Some professional judgment is always involved in deciding how to apply QD to each site.</w:t>
      </w:r>
    </w:p>
    <w:p w:rsidR="00DD0EA8" w:rsidRDefault="00DD0EA8"/>
    <w:p w:rsidR="00706725" w:rsidRDefault="00706725">
      <w:r>
        <w:t xml:space="preserve">The contents of this manual reflect the experience of the Department </w:t>
      </w:r>
      <w:r w:rsidR="00DD30E0">
        <w:t xml:space="preserve">of Environmental Protection </w:t>
      </w:r>
      <w:r>
        <w:t xml:space="preserve">with performing and reviewing fate-and-transport models. This document does not constitute formal </w:t>
      </w:r>
      <w:r w:rsidR="00DD30E0">
        <w:t>DEP</w:t>
      </w:r>
      <w:r>
        <w:t xml:space="preserve"> guidance. </w:t>
      </w:r>
      <w:r w:rsidR="007C48A9">
        <w:t>The responsibility for submitting an acceptable fate-and-transport analysis rests with the licensed professional geologist who seals the report</w:t>
      </w:r>
      <w:r w:rsidR="00EE5861">
        <w:t xml:space="preserve"> submitted to DEP</w:t>
      </w:r>
      <w:r w:rsidR="007C48A9">
        <w:t>.</w:t>
      </w:r>
    </w:p>
    <w:p w:rsidR="00706725" w:rsidRDefault="00706725"/>
    <w:p w:rsidR="001A164A" w:rsidRDefault="001A164A"/>
    <w:p w:rsidR="001A164A" w:rsidRPr="001A164A" w:rsidRDefault="001A164A">
      <w:pPr>
        <w:rPr>
          <w:b/>
        </w:rPr>
      </w:pPr>
      <w:r>
        <w:rPr>
          <w:b/>
        </w:rPr>
        <w:t>Acknowledgements</w:t>
      </w:r>
    </w:p>
    <w:p w:rsidR="00365E82" w:rsidRDefault="001A164A">
      <w:r>
        <w:t xml:space="preserve">This manual was </w:t>
      </w:r>
      <w:r w:rsidR="00532BE3">
        <w:t>written</w:t>
      </w:r>
      <w:r>
        <w:t xml:space="preserve"> by C. David Brown, </w:t>
      </w:r>
      <w:r w:rsidR="00F00CAD">
        <w:t>Licensed Professional Geologist</w:t>
      </w:r>
      <w:r w:rsidR="004D7305">
        <w:t xml:space="preserve"> (Registration No. </w:t>
      </w:r>
      <w:r w:rsidR="004D7305" w:rsidRPr="004D7305">
        <w:t>PG005002)</w:t>
      </w:r>
      <w:r w:rsidR="002E10A8">
        <w:t xml:space="preserve">. </w:t>
      </w:r>
      <w:r w:rsidR="00A2248D">
        <w:t>Pam Trowbridge, P.G.</w:t>
      </w:r>
      <w:r w:rsidR="00011BDE">
        <w:t xml:space="preserve"> (DEP)</w:t>
      </w:r>
      <w:r w:rsidR="0022750E">
        <w:t>,</w:t>
      </w:r>
      <w:r w:rsidR="00F32655">
        <w:t xml:space="preserve"> </w:t>
      </w:r>
      <w:r w:rsidR="00011BDE">
        <w:t xml:space="preserve">Steve </w:t>
      </w:r>
      <w:proofErr w:type="spellStart"/>
      <w:r w:rsidR="00011BDE">
        <w:t>Sayko</w:t>
      </w:r>
      <w:proofErr w:type="spellEnd"/>
      <w:r w:rsidR="00011BDE">
        <w:t>, P.G. (Services Environmental, Inc.)</w:t>
      </w:r>
      <w:r w:rsidR="0022750E">
        <w:t xml:space="preserve">, and Marco </w:t>
      </w:r>
      <w:proofErr w:type="spellStart"/>
      <w:r w:rsidR="0022750E">
        <w:t>Dro</w:t>
      </w:r>
      <w:r w:rsidR="00A47646">
        <w:t>ese</w:t>
      </w:r>
      <w:proofErr w:type="spellEnd"/>
      <w:r w:rsidR="00A47646">
        <w:t>, P.G. (</w:t>
      </w:r>
      <w:proofErr w:type="spellStart"/>
      <w:r w:rsidR="00A47646">
        <w:t>Mulry</w:t>
      </w:r>
      <w:proofErr w:type="spellEnd"/>
      <w:r w:rsidR="00A47646">
        <w:t xml:space="preserve"> and </w:t>
      </w:r>
      <w:proofErr w:type="spellStart"/>
      <w:r w:rsidR="00A47646">
        <w:t>Cresswell</w:t>
      </w:r>
      <w:proofErr w:type="spellEnd"/>
      <w:r w:rsidR="00A47646">
        <w:t xml:space="preserve"> Environmental, Inc.)</w:t>
      </w:r>
      <w:r w:rsidR="00A2248D">
        <w:t xml:space="preserve"> provided many useful comments on the draft manual</w:t>
      </w:r>
      <w:r w:rsidR="00011BDE">
        <w:t xml:space="preserve"> that greatly improved </w:t>
      </w:r>
      <w:r w:rsidR="0096169E">
        <w:t>the final version</w:t>
      </w:r>
      <w:r w:rsidR="00A2248D">
        <w:t>.</w:t>
      </w:r>
    </w:p>
    <w:p w:rsidR="005F5769" w:rsidRDefault="005F5769"/>
    <w:p w:rsidR="004D7305" w:rsidRDefault="004D7305">
      <w:pPr>
        <w:sectPr w:rsidR="004D7305" w:rsidSect="00933556">
          <w:pgSz w:w="12240" w:h="15840"/>
          <w:pgMar w:top="1440" w:right="1440" w:bottom="1440" w:left="1440" w:header="720" w:footer="720" w:gutter="0"/>
          <w:pgNumType w:fmt="lowerRoman"/>
          <w:cols w:space="720"/>
          <w:docGrid w:linePitch="360"/>
        </w:sectPr>
      </w:pPr>
    </w:p>
    <w:p w:rsidR="00365E82" w:rsidRDefault="00365E82"/>
    <w:p w:rsidR="005F5769" w:rsidRDefault="005F5769" w:rsidP="00975893">
      <w:pPr>
        <w:pStyle w:val="Heading1"/>
        <w:tabs>
          <w:tab w:val="clear" w:pos="360"/>
          <w:tab w:val="num" w:pos="2100"/>
        </w:tabs>
      </w:pPr>
      <w:bookmarkStart w:id="1" w:name="_Toc381357771"/>
      <w:r>
        <w:t>Introduction</w:t>
      </w:r>
      <w:bookmarkEnd w:id="1"/>
    </w:p>
    <w:p w:rsidR="005F5769" w:rsidRDefault="000971FB" w:rsidP="00E73DA3">
      <w:pPr>
        <w:pStyle w:val="Heading2"/>
      </w:pPr>
      <w:bookmarkStart w:id="2" w:name="_Toc381357772"/>
      <w:r>
        <w:t xml:space="preserve">Purpose of Quick </w:t>
      </w:r>
      <w:proofErr w:type="spellStart"/>
      <w:r>
        <w:t>Domenico</w:t>
      </w:r>
      <w:bookmarkEnd w:id="2"/>
      <w:proofErr w:type="spellEnd"/>
    </w:p>
    <w:p w:rsidR="000971FB" w:rsidRDefault="00DA51C0">
      <w:r>
        <w:t xml:space="preserve">The Quick </w:t>
      </w:r>
      <w:proofErr w:type="spellStart"/>
      <w:r>
        <w:t>Domenico</w:t>
      </w:r>
      <w:proofErr w:type="spellEnd"/>
      <w:r>
        <w:t xml:space="preserve"> </w:t>
      </w:r>
      <w:r w:rsidR="00D36DC2">
        <w:t xml:space="preserve">(QD) </w:t>
      </w:r>
      <w:r>
        <w:t xml:space="preserve">spreadsheet was developed by the Pennsylvania </w:t>
      </w:r>
      <w:r w:rsidR="0096169E">
        <w:t xml:space="preserve">Department of Environmental Protection (DEP) </w:t>
      </w:r>
      <w:r>
        <w:t xml:space="preserve">to solve the groundwater transport equation for dissolved contaminant plumes. It incorporates a constant planar source, one-dimensional advection, three-dimensional dispersion, </w:t>
      </w:r>
      <w:r w:rsidR="00582528">
        <w:t>adsorption</w:t>
      </w:r>
      <w:r w:rsidR="007C03E5">
        <w:t xml:space="preserve">, and first-order decay. Solutions are presented at a point, on the centerline, and in a two-dimensional plan-view grid at </w:t>
      </w:r>
      <w:r w:rsidR="0096169E">
        <w:t>any</w:t>
      </w:r>
      <w:r w:rsidR="007C03E5">
        <w:t xml:space="preserve"> simulation time.</w:t>
      </w:r>
      <w:r w:rsidR="00931F79">
        <w:t xml:space="preserve"> QD is intended as a simple tool made available to the regulated community for fate-and-transport analyses.</w:t>
      </w:r>
    </w:p>
    <w:p w:rsidR="000971FB" w:rsidRDefault="000971FB"/>
    <w:p w:rsidR="00324B48" w:rsidRDefault="00324B48">
      <w:r>
        <w:t>Fate-and-transport modeling, including QD, has many important applications in site cleanups.</w:t>
      </w:r>
    </w:p>
    <w:p w:rsidR="00324B48" w:rsidRDefault="00582528" w:rsidP="00064437">
      <w:pPr>
        <w:spacing w:before="120"/>
        <w:ind w:left="187" w:hanging="187"/>
      </w:pPr>
      <w:r>
        <w:t>•</w:t>
      </w:r>
      <w:r>
        <w:tab/>
        <w:t xml:space="preserve">Modeling is used to estimate the length of contaminant plumes to assess </w:t>
      </w:r>
      <w:r w:rsidR="00931F79">
        <w:t xml:space="preserve">potential </w:t>
      </w:r>
      <w:r>
        <w:t>offsite impacts.</w:t>
      </w:r>
    </w:p>
    <w:p w:rsidR="00931F79" w:rsidRDefault="00931F79" w:rsidP="00064437">
      <w:pPr>
        <w:spacing w:before="120"/>
        <w:ind w:left="187" w:hanging="187"/>
      </w:pPr>
      <w:r>
        <w:t>•</w:t>
      </w:r>
      <w:r>
        <w:tab/>
        <w:t>QD predicts the plume area to determine what downgradient properties should be included in an environmental covenant.</w:t>
      </w:r>
    </w:p>
    <w:p w:rsidR="00004B4D" w:rsidRDefault="00004B4D" w:rsidP="00064437">
      <w:pPr>
        <w:spacing w:before="120"/>
        <w:ind w:left="187" w:hanging="187"/>
      </w:pPr>
      <w:r>
        <w:t>•</w:t>
      </w:r>
      <w:r>
        <w:tab/>
        <w:t>Fate-and-transport analyses are used to assess plume stability; that is, whether contamination will migrate in the future.</w:t>
      </w:r>
    </w:p>
    <w:p w:rsidR="00582528" w:rsidRDefault="00582528" w:rsidP="00064437">
      <w:pPr>
        <w:spacing w:before="120"/>
        <w:ind w:left="187" w:hanging="187"/>
      </w:pPr>
      <w:r>
        <w:t>•</w:t>
      </w:r>
      <w:r>
        <w:tab/>
      </w:r>
      <w:proofErr w:type="spellStart"/>
      <w:r w:rsidR="0096169E">
        <w:t>Domenico</w:t>
      </w:r>
      <w:proofErr w:type="spellEnd"/>
      <w:r w:rsidR="0096169E">
        <w:t xml:space="preserve">-type models </w:t>
      </w:r>
      <w:r>
        <w:t>may be applied to sites for evaluating natural attenuation as a remediation strategy.</w:t>
      </w:r>
    </w:p>
    <w:p w:rsidR="00582528" w:rsidRDefault="00582528" w:rsidP="00064437">
      <w:pPr>
        <w:spacing w:before="120"/>
        <w:ind w:left="187" w:hanging="187"/>
      </w:pPr>
      <w:r>
        <w:t>•</w:t>
      </w:r>
      <w:r>
        <w:tab/>
      </w:r>
      <w:r w:rsidR="0096169E">
        <w:t xml:space="preserve">The DEP spreadsheet </w:t>
      </w:r>
      <w:r>
        <w:t xml:space="preserve">SWLOAD5 implements the QD solution to </w:t>
      </w:r>
      <w:r w:rsidR="006E7B1E">
        <w:t>indicate</w:t>
      </w:r>
      <w:r>
        <w:t xml:space="preserve"> if a groundwater plume diffusing into surface water may cause an </w:t>
      </w:r>
      <w:proofErr w:type="spellStart"/>
      <w:r>
        <w:t>exceedence</w:t>
      </w:r>
      <w:proofErr w:type="spellEnd"/>
      <w:r>
        <w:t xml:space="preserve"> of water quality standards.</w:t>
      </w:r>
    </w:p>
    <w:p w:rsidR="00582528" w:rsidRDefault="00582528"/>
    <w:p w:rsidR="00582528" w:rsidRDefault="00DA200F">
      <w:r>
        <w:t>Fate-and-transport modeling is commonly performed for Act 2 (voluntary cleanup) and corrective action (storage tank) sites</w:t>
      </w:r>
      <w:r w:rsidR="00F00CAD">
        <w:t>,</w:t>
      </w:r>
      <w:r>
        <w:t xml:space="preserve"> and </w:t>
      </w:r>
      <w:r w:rsidR="00F00CAD">
        <w:t xml:space="preserve">models are </w:t>
      </w:r>
      <w:r>
        <w:t xml:space="preserve">submitted for </w:t>
      </w:r>
      <w:r w:rsidR="00DD30E0">
        <w:t xml:space="preserve">DEP </w:t>
      </w:r>
      <w:r>
        <w:t>review</w:t>
      </w:r>
      <w:r w:rsidR="00F32655">
        <w:t xml:space="preserve"> and approval</w:t>
      </w:r>
      <w:r>
        <w:t>. Fate and transport</w:t>
      </w:r>
      <w:r w:rsidR="00EE5861">
        <w:t xml:space="preserve"> analyses are</w:t>
      </w:r>
      <w:r>
        <w:t xml:space="preserve"> referred to and/or required throughout the Act 2 and Act 32 regulations (e.g., </w:t>
      </w:r>
      <w:hyperlink w:anchor="_Web_Links" w:history="1">
        <w:r w:rsidRPr="006F582B">
          <w:rPr>
            <w:rStyle w:val="Hyperlink"/>
          </w:rPr>
          <w:t>Title 25 Pa. Code</w:t>
        </w:r>
      </w:hyperlink>
      <w:r>
        <w:t xml:space="preserve"> Sections 250.204(f)(5)</w:t>
      </w:r>
      <w:r w:rsidR="00F93228">
        <w:t xml:space="preserve"> &amp; (g)</w:t>
      </w:r>
      <w:r>
        <w:t xml:space="preserve">, </w:t>
      </w:r>
      <w:r w:rsidR="00F93228">
        <w:t>250.303(b)</w:t>
      </w:r>
      <w:r w:rsidR="00E023CA">
        <w:t>(1)</w:t>
      </w:r>
      <w:r w:rsidR="00F93228">
        <w:t xml:space="preserve">(ii), </w:t>
      </w:r>
      <w:r>
        <w:t xml:space="preserve">250.309(c), </w:t>
      </w:r>
      <w:r w:rsidR="00F93228">
        <w:t>250.406(c)</w:t>
      </w:r>
      <w:r w:rsidR="00690438">
        <w:t xml:space="preserve">, </w:t>
      </w:r>
      <w:r>
        <w:t xml:space="preserve">250.408(a), </w:t>
      </w:r>
      <w:r w:rsidR="00690438">
        <w:t xml:space="preserve">250.604(b), </w:t>
      </w:r>
      <w:r>
        <w:t>250.702(b)(3)(</w:t>
      </w:r>
      <w:proofErr w:type="spellStart"/>
      <w:r>
        <w:t>i</w:t>
      </w:r>
      <w:proofErr w:type="spellEnd"/>
      <w:r>
        <w:t>)</w:t>
      </w:r>
      <w:r w:rsidR="00690438">
        <w:t>,</w:t>
      </w:r>
      <w:r w:rsidR="00690438" w:rsidRPr="00690438">
        <w:t xml:space="preserve"> </w:t>
      </w:r>
      <w:r w:rsidR="00690438">
        <w:t xml:space="preserve">250.704(d)(2), </w:t>
      </w:r>
      <w:r w:rsidR="009C1E02">
        <w:t>and 250.707(a)(2)(x)(B)</w:t>
      </w:r>
      <w:r w:rsidR="00690438">
        <w:t xml:space="preserve"> </w:t>
      </w:r>
      <w:r>
        <w:t>; Section 245.313(b)(4)).</w:t>
      </w:r>
      <w:r w:rsidR="007278C4">
        <w:t xml:space="preserve"> A </w:t>
      </w:r>
      <w:r w:rsidR="00EE5861">
        <w:t xml:space="preserve">general </w:t>
      </w:r>
      <w:r w:rsidR="007278C4">
        <w:t xml:space="preserve">discussion of groundwater fate-and-transport analyses is </w:t>
      </w:r>
      <w:r w:rsidR="006E7B1E">
        <w:t>presented</w:t>
      </w:r>
      <w:r w:rsidR="007278C4">
        <w:t xml:space="preserve"> in the </w:t>
      </w:r>
      <w:hyperlink w:anchor="_Web_Links" w:history="1">
        <w:r w:rsidR="007278C4" w:rsidRPr="006F582B">
          <w:rPr>
            <w:rStyle w:val="Hyperlink"/>
            <w:i/>
          </w:rPr>
          <w:t>Land Recycling Program Technical Guidance Manual</w:t>
        </w:r>
      </w:hyperlink>
      <w:r w:rsidR="007278C4">
        <w:t xml:space="preserve">, Section IV.A.2. The TGM </w:t>
      </w:r>
      <w:r w:rsidR="0096169E">
        <w:t xml:space="preserve">outlines </w:t>
      </w:r>
      <w:r w:rsidR="007278C4">
        <w:t xml:space="preserve">the approach to modeling and </w:t>
      </w:r>
      <w:r w:rsidR="0096169E">
        <w:t xml:space="preserve">DEP’s </w:t>
      </w:r>
      <w:r w:rsidR="007278C4">
        <w:t>reporting expectations.</w:t>
      </w:r>
    </w:p>
    <w:p w:rsidR="007278C4" w:rsidRDefault="007278C4"/>
    <w:p w:rsidR="001B57AD" w:rsidRDefault="00FA5BFF">
      <w:r>
        <w:t>D</w:t>
      </w:r>
      <w:r w:rsidR="007278C4">
        <w:t xml:space="preserve">ocumentation is available for other </w:t>
      </w:r>
      <w:proofErr w:type="spellStart"/>
      <w:r w:rsidR="007278C4">
        <w:t>Domenico</w:t>
      </w:r>
      <w:proofErr w:type="spellEnd"/>
      <w:r w:rsidR="007278C4">
        <w:t xml:space="preserve">-type models including </w:t>
      </w:r>
      <w:hyperlink w:anchor="_Web_Links" w:history="1">
        <w:r w:rsidR="007278C4" w:rsidRPr="006F582B">
          <w:rPr>
            <w:rStyle w:val="Hyperlink"/>
          </w:rPr>
          <w:t>EPA’s BIOSCREEN</w:t>
        </w:r>
        <w:r w:rsidR="00FC7354">
          <w:rPr>
            <w:rStyle w:val="Hyperlink"/>
          </w:rPr>
          <w:t xml:space="preserve">, </w:t>
        </w:r>
        <w:proofErr w:type="spellStart"/>
        <w:r w:rsidR="00FC7354">
          <w:rPr>
            <w:rStyle w:val="Hyperlink"/>
          </w:rPr>
          <w:t>FootPrint</w:t>
        </w:r>
        <w:proofErr w:type="spellEnd"/>
        <w:r w:rsidR="00FC7354">
          <w:rPr>
            <w:rStyle w:val="Hyperlink"/>
          </w:rPr>
          <w:t>,</w:t>
        </w:r>
        <w:r w:rsidR="007278C4" w:rsidRPr="006F582B">
          <w:rPr>
            <w:rStyle w:val="Hyperlink"/>
          </w:rPr>
          <w:t xml:space="preserve"> and BIOCHLOR</w:t>
        </w:r>
      </w:hyperlink>
      <w:r w:rsidR="007278C4">
        <w:t xml:space="preserve">. </w:t>
      </w:r>
      <w:r w:rsidR="001B57AD">
        <w:t xml:space="preserve">Some states have also developed documentation for their </w:t>
      </w:r>
      <w:proofErr w:type="spellStart"/>
      <w:r w:rsidR="001B57AD">
        <w:t>Domenico</w:t>
      </w:r>
      <w:proofErr w:type="spellEnd"/>
      <w:r w:rsidR="001B57AD">
        <w:t xml:space="preserve"> models (e.g., </w:t>
      </w:r>
      <w:hyperlink w:anchor="_Web_Links" w:history="1">
        <w:r w:rsidR="001B57AD" w:rsidRPr="006F582B">
          <w:rPr>
            <w:rStyle w:val="Hyperlink"/>
          </w:rPr>
          <w:t>California</w:t>
        </w:r>
      </w:hyperlink>
      <w:r w:rsidR="001B57AD">
        <w:t xml:space="preserve">). </w:t>
      </w:r>
      <w:r>
        <w:t>DEP</w:t>
      </w:r>
      <w:r w:rsidR="00692BD9">
        <w:t xml:space="preserve"> </w:t>
      </w:r>
      <w:r w:rsidR="00054551">
        <w:t xml:space="preserve">has </w:t>
      </w:r>
      <w:r w:rsidR="00692BD9">
        <w:t>present</w:t>
      </w:r>
      <w:r w:rsidR="0005345B">
        <w:t>ed</w:t>
      </w:r>
      <w:r w:rsidR="00692BD9">
        <w:t xml:space="preserve"> </w:t>
      </w:r>
      <w:r w:rsidR="0050151B">
        <w:t>training on fate-and-transport modeling [</w:t>
      </w:r>
      <w:r w:rsidR="0050151B">
        <w:rPr>
          <w:i/>
        </w:rPr>
        <w:t>URS</w:t>
      </w:r>
      <w:r w:rsidR="0050151B">
        <w:t>, 2008].</w:t>
      </w:r>
      <w:r w:rsidR="00F32655">
        <w:t xml:space="preserve"> This manual replaces DEP’s QD “Introduction” document (last revised in March 2008).</w:t>
      </w:r>
    </w:p>
    <w:p w:rsidR="00931F79" w:rsidRDefault="00931F79"/>
    <w:p w:rsidR="00931F79" w:rsidRDefault="00931F79">
      <w:r>
        <w:t xml:space="preserve">Fate-and-transport analyses involve interpretations of hydrogeological conditions and they require the oversight of a licensed professional geologist. The environmental professional who submits a model to </w:t>
      </w:r>
      <w:r w:rsidR="00DD30E0">
        <w:t xml:space="preserve">DEP </w:t>
      </w:r>
      <w:r>
        <w:t xml:space="preserve">is entirely responsible for using it correctly, </w:t>
      </w:r>
      <w:r w:rsidR="009B2E00">
        <w:t xml:space="preserve">selecting appropriate input parameter values, </w:t>
      </w:r>
      <w:r>
        <w:t xml:space="preserve">properly justifying his or her methods, and adequately documenting the work. Following the </w:t>
      </w:r>
      <w:r w:rsidR="007C48A9">
        <w:t xml:space="preserve">recommendations </w:t>
      </w:r>
      <w:r>
        <w:t xml:space="preserve">in this manual does not guarantee that the model will be successful or that it will be approved by </w:t>
      </w:r>
      <w:r w:rsidR="00FA5BFF">
        <w:t>DEP</w:t>
      </w:r>
      <w:r>
        <w:t xml:space="preserve">. </w:t>
      </w:r>
    </w:p>
    <w:p w:rsidR="000971FB" w:rsidRDefault="000971FB" w:rsidP="00E73DA3">
      <w:pPr>
        <w:pStyle w:val="Heading2"/>
      </w:pPr>
      <w:bookmarkStart w:id="3" w:name="_Toc381357773"/>
      <w:r>
        <w:lastRenderedPageBreak/>
        <w:t>Overview of Manual</w:t>
      </w:r>
      <w:bookmarkEnd w:id="3"/>
    </w:p>
    <w:p w:rsidR="00950492" w:rsidRPr="001B57AD" w:rsidRDefault="00950492" w:rsidP="00950492">
      <w:r>
        <w:t xml:space="preserve">The objective of this </w:t>
      </w:r>
      <w:r w:rsidR="00283508">
        <w:rPr>
          <w:i/>
        </w:rPr>
        <w:t xml:space="preserve">User’s Manual for Quick </w:t>
      </w:r>
      <w:proofErr w:type="spellStart"/>
      <w:r w:rsidR="00283508">
        <w:rPr>
          <w:i/>
        </w:rPr>
        <w:t>Domenico</w:t>
      </w:r>
      <w:proofErr w:type="spellEnd"/>
      <w:r w:rsidR="00283508" w:rsidDel="00283508">
        <w:t xml:space="preserve"> </w:t>
      </w:r>
      <w:r>
        <w:t xml:space="preserve">is to </w:t>
      </w:r>
      <w:r w:rsidR="00283508">
        <w:t>encourage better</w:t>
      </w:r>
      <w:r>
        <w:t xml:space="preserve"> modeling by QD users a</w:t>
      </w:r>
      <w:r w:rsidR="00322453">
        <w:t>nd</w:t>
      </w:r>
      <w:r w:rsidR="00283508">
        <w:t xml:space="preserve"> to</w:t>
      </w:r>
      <w:r w:rsidR="00322453">
        <w:t xml:space="preserve"> improve</w:t>
      </w:r>
      <w:r>
        <w:t xml:space="preserve"> the consistency of QD model</w:t>
      </w:r>
      <w:r w:rsidR="00283508">
        <w:t xml:space="preserve"> reviews</w:t>
      </w:r>
      <w:r>
        <w:t xml:space="preserve"> by </w:t>
      </w:r>
      <w:r w:rsidR="00FA5BFF">
        <w:t>DEP</w:t>
      </w:r>
      <w:r>
        <w:t>.</w:t>
      </w:r>
    </w:p>
    <w:p w:rsidR="00950492" w:rsidRDefault="00950492" w:rsidP="00950492"/>
    <w:p w:rsidR="00227D24" w:rsidRDefault="00D36DC2">
      <w:r>
        <w:t xml:space="preserve">Quick </w:t>
      </w:r>
      <w:proofErr w:type="spellStart"/>
      <w:r>
        <w:t>Domenico</w:t>
      </w:r>
      <w:proofErr w:type="spellEnd"/>
      <w:r>
        <w:t xml:space="preserve"> is a solution to the solute transport equation published by </w:t>
      </w:r>
      <w:proofErr w:type="spellStart"/>
      <w:r>
        <w:rPr>
          <w:i/>
        </w:rPr>
        <w:t>Domenico</w:t>
      </w:r>
      <w:proofErr w:type="spellEnd"/>
      <w:r>
        <w:t xml:space="preserve"> [1987]. Its mathematical derivation is described in Appendix 1 and references therein. </w:t>
      </w:r>
      <w:r w:rsidR="00950492">
        <w:t xml:space="preserve">Section </w:t>
      </w:r>
      <w:r w:rsidR="00532BE3">
        <w:t>3</w:t>
      </w:r>
      <w:r w:rsidR="00950492">
        <w:t xml:space="preserve"> defines and explains </w:t>
      </w:r>
      <w:r>
        <w:t>the variables in this problem (i.e., the model</w:t>
      </w:r>
      <w:r w:rsidR="00950492">
        <w:t xml:space="preserve"> input parameter</w:t>
      </w:r>
      <w:r>
        <w:t>s)</w:t>
      </w:r>
      <w:r w:rsidR="00950492">
        <w:t xml:space="preserve">. More detailed discussions of two important variables, hydraulic conductivity and mechanical </w:t>
      </w:r>
      <w:proofErr w:type="spellStart"/>
      <w:r w:rsidR="00950492">
        <w:t>dispersivity</w:t>
      </w:r>
      <w:proofErr w:type="spellEnd"/>
      <w:r w:rsidR="00950492">
        <w:t xml:space="preserve">, </w:t>
      </w:r>
      <w:r w:rsidR="0005345B">
        <w:t>are</w:t>
      </w:r>
      <w:r w:rsidR="00950492">
        <w:t xml:space="preserve"> found in Appendix 2 and Appendix 3. The QD output format is outlined in Section </w:t>
      </w:r>
      <w:r w:rsidR="00532BE3">
        <w:t>4</w:t>
      </w:r>
      <w:r w:rsidR="00950492">
        <w:t xml:space="preserve">. </w:t>
      </w:r>
    </w:p>
    <w:p w:rsidR="00227D24" w:rsidRDefault="00227D24"/>
    <w:p w:rsidR="005128D4" w:rsidRDefault="008039B4">
      <w:r>
        <w:t xml:space="preserve">Procedures for calibrating </w:t>
      </w:r>
      <w:proofErr w:type="spellStart"/>
      <w:r>
        <w:t>Domenico</w:t>
      </w:r>
      <w:proofErr w:type="spellEnd"/>
      <w:r>
        <w:t xml:space="preserve"> models are lacking in most available documentation, and this is provided in Section </w:t>
      </w:r>
      <w:r w:rsidR="00F551C2">
        <w:t>5</w:t>
      </w:r>
      <w:r>
        <w:t xml:space="preserve">. Section </w:t>
      </w:r>
      <w:r w:rsidR="00F551C2">
        <w:t>6</w:t>
      </w:r>
      <w:r>
        <w:t xml:space="preserve"> describes how to run a predictive model. Two example problems are given in Appendix 4. </w:t>
      </w:r>
      <w:r w:rsidR="00227D24">
        <w:t xml:space="preserve">Although </w:t>
      </w:r>
      <w:proofErr w:type="spellStart"/>
      <w:r w:rsidR="00227D24" w:rsidRPr="00322453">
        <w:rPr>
          <w:i/>
        </w:rPr>
        <w:t>Domenico</w:t>
      </w:r>
      <w:proofErr w:type="spellEnd"/>
      <w:r w:rsidR="00227D24">
        <w:t xml:space="preserve"> </w:t>
      </w:r>
      <w:r w:rsidR="00322453">
        <w:t xml:space="preserve">[1987] </w:t>
      </w:r>
      <w:r w:rsidR="00227D24">
        <w:t xml:space="preserve">presented an analytical solution, it is important to recognize that it is not an exact solution. </w:t>
      </w:r>
      <w:r w:rsidR="00950492">
        <w:t xml:space="preserve">Section </w:t>
      </w:r>
      <w:r w:rsidR="00532BE3">
        <w:t>2</w:t>
      </w:r>
      <w:r w:rsidR="00950492">
        <w:t xml:space="preserve"> </w:t>
      </w:r>
      <w:r w:rsidR="0024002D">
        <w:t>and Appendix 1 offer</w:t>
      </w:r>
      <w:r w:rsidR="00950492">
        <w:t xml:space="preserve"> a critical review of the</w:t>
      </w:r>
      <w:r w:rsidR="00227D24">
        <w:t xml:space="preserve"> assumptions and</w:t>
      </w:r>
      <w:r w:rsidR="00950492">
        <w:t xml:space="preserve"> limitations of QD modeling as well as c</w:t>
      </w:r>
      <w:r w:rsidR="0005345B">
        <w:t xml:space="preserve">ommon user errors. </w:t>
      </w:r>
    </w:p>
    <w:p w:rsidR="005128D4" w:rsidRDefault="005128D4" w:rsidP="00E73DA3">
      <w:pPr>
        <w:pStyle w:val="Heading2"/>
      </w:pPr>
      <w:bookmarkStart w:id="4" w:name="_Toc381357774"/>
      <w:r>
        <w:t>System Requirements</w:t>
      </w:r>
      <w:bookmarkEnd w:id="4"/>
    </w:p>
    <w:p w:rsidR="005128D4" w:rsidRDefault="00257A15">
      <w:r>
        <w:t xml:space="preserve">QD may be downloaded from </w:t>
      </w:r>
      <w:r w:rsidR="00FA5BFF">
        <w:t>DEP’s</w:t>
      </w:r>
      <w:r>
        <w:t xml:space="preserve"> Land Recycling Program </w:t>
      </w:r>
      <w:hyperlink w:anchor="_Web_Links" w:history="1">
        <w:r w:rsidRPr="00322453">
          <w:rPr>
            <w:rStyle w:val="Hyperlink"/>
          </w:rPr>
          <w:t>website</w:t>
        </w:r>
      </w:hyperlink>
      <w:r>
        <w:t xml:space="preserve">. </w:t>
      </w:r>
      <w:r w:rsidR="00C56F68">
        <w:t xml:space="preserve">QD is written as a Microsoft Excel spreadsheet. It requires Excel version 5.0 or later. The Analysis </w:t>
      </w:r>
      <w:proofErr w:type="spellStart"/>
      <w:r w:rsidR="00C56F68">
        <w:t>ToolPak</w:t>
      </w:r>
      <w:proofErr w:type="spellEnd"/>
      <w:r w:rsidR="00C56F68">
        <w:t xml:space="preserve"> must be running. </w:t>
      </w:r>
      <w:r w:rsidR="00975893">
        <w:t xml:space="preserve">For Microsoft Excel 2010, do the following: </w:t>
      </w:r>
    </w:p>
    <w:p w:rsidR="00975893" w:rsidRPr="00064437" w:rsidRDefault="00975893" w:rsidP="005C61DE">
      <w:pPr>
        <w:numPr>
          <w:ilvl w:val="0"/>
          <w:numId w:val="24"/>
        </w:numPr>
        <w:tabs>
          <w:tab w:val="clear" w:pos="720"/>
          <w:tab w:val="num" w:pos="3720"/>
        </w:tabs>
        <w:spacing w:line="300" w:lineRule="atLeast"/>
      </w:pPr>
      <w:r w:rsidRPr="00064437">
        <w:t xml:space="preserve">Click the </w:t>
      </w:r>
      <w:r w:rsidRPr="00064437">
        <w:rPr>
          <w:b/>
          <w:bCs/>
        </w:rPr>
        <w:t>File</w:t>
      </w:r>
      <w:r w:rsidRPr="00064437">
        <w:t xml:space="preserve"> tab, click </w:t>
      </w:r>
      <w:r w:rsidRPr="00064437">
        <w:rPr>
          <w:b/>
          <w:bCs/>
        </w:rPr>
        <w:t>Options</w:t>
      </w:r>
      <w:r w:rsidRPr="00064437">
        <w:t xml:space="preserve">, and then click the </w:t>
      </w:r>
      <w:r w:rsidRPr="00064437">
        <w:rPr>
          <w:b/>
          <w:bCs/>
        </w:rPr>
        <w:t>Add-Ins</w:t>
      </w:r>
      <w:r w:rsidRPr="00064437">
        <w:t xml:space="preserve"> category. </w:t>
      </w:r>
    </w:p>
    <w:p w:rsidR="00975893" w:rsidRPr="00064437" w:rsidRDefault="00975893" w:rsidP="005C61DE">
      <w:pPr>
        <w:numPr>
          <w:ilvl w:val="0"/>
          <w:numId w:val="24"/>
        </w:numPr>
        <w:tabs>
          <w:tab w:val="clear" w:pos="720"/>
          <w:tab w:val="num" w:pos="3060"/>
        </w:tabs>
        <w:spacing w:line="300" w:lineRule="atLeast"/>
      </w:pPr>
      <w:r w:rsidRPr="00064437">
        <w:t xml:space="preserve">In the </w:t>
      </w:r>
      <w:r w:rsidRPr="00064437">
        <w:rPr>
          <w:b/>
          <w:bCs/>
        </w:rPr>
        <w:t>Manage</w:t>
      </w:r>
      <w:r w:rsidRPr="00064437">
        <w:t xml:space="preserve"> box</w:t>
      </w:r>
      <w:r w:rsidR="00187BE9">
        <w:t xml:space="preserve"> at the bottom</w:t>
      </w:r>
      <w:r w:rsidRPr="00064437">
        <w:t xml:space="preserve">, select </w:t>
      </w:r>
      <w:r w:rsidRPr="00064437">
        <w:rPr>
          <w:b/>
          <w:bCs/>
        </w:rPr>
        <w:t>Excel Add-ins</w:t>
      </w:r>
      <w:r w:rsidRPr="00064437">
        <w:t xml:space="preserve"> and then click </w:t>
      </w:r>
      <w:proofErr w:type="gramStart"/>
      <w:r w:rsidRPr="00064437">
        <w:rPr>
          <w:b/>
          <w:bCs/>
        </w:rPr>
        <w:t>Go</w:t>
      </w:r>
      <w:proofErr w:type="gramEnd"/>
      <w:r w:rsidRPr="00064437">
        <w:t xml:space="preserve">. </w:t>
      </w:r>
    </w:p>
    <w:p w:rsidR="00975893" w:rsidRPr="00064437" w:rsidRDefault="00975893" w:rsidP="005C61DE">
      <w:pPr>
        <w:numPr>
          <w:ilvl w:val="0"/>
          <w:numId w:val="24"/>
        </w:numPr>
        <w:tabs>
          <w:tab w:val="clear" w:pos="720"/>
          <w:tab w:val="num" w:pos="2400"/>
        </w:tabs>
        <w:spacing w:line="300" w:lineRule="atLeast"/>
      </w:pPr>
      <w:r w:rsidRPr="00064437">
        <w:t xml:space="preserve">In the </w:t>
      </w:r>
      <w:r w:rsidRPr="00064437">
        <w:rPr>
          <w:b/>
          <w:bCs/>
        </w:rPr>
        <w:t>Add-</w:t>
      </w:r>
      <w:r w:rsidR="00187BE9">
        <w:rPr>
          <w:b/>
          <w:bCs/>
        </w:rPr>
        <w:t>i</w:t>
      </w:r>
      <w:r w:rsidRPr="00064437">
        <w:rPr>
          <w:b/>
          <w:bCs/>
        </w:rPr>
        <w:t>ns</w:t>
      </w:r>
      <w:r w:rsidR="00FD6339">
        <w:t xml:space="preserve"> </w:t>
      </w:r>
      <w:r w:rsidRPr="00064437">
        <w:t xml:space="preserve">box, select </w:t>
      </w:r>
      <w:r w:rsidRPr="00064437">
        <w:rPr>
          <w:b/>
          <w:bCs/>
        </w:rPr>
        <w:t xml:space="preserve">Analysis </w:t>
      </w:r>
      <w:proofErr w:type="spellStart"/>
      <w:r w:rsidRPr="00064437">
        <w:rPr>
          <w:b/>
          <w:bCs/>
        </w:rPr>
        <w:t>ToolPak</w:t>
      </w:r>
      <w:proofErr w:type="spellEnd"/>
      <w:r w:rsidRPr="00064437">
        <w:t xml:space="preserve">, and then click </w:t>
      </w:r>
      <w:r w:rsidRPr="00064437">
        <w:rPr>
          <w:b/>
          <w:bCs/>
        </w:rPr>
        <w:t>OK</w:t>
      </w:r>
      <w:r w:rsidRPr="00064437">
        <w:t xml:space="preserve">. </w:t>
      </w:r>
    </w:p>
    <w:p w:rsidR="00A2203D" w:rsidRDefault="00A2203D">
      <w:r>
        <w:br w:type="page"/>
      </w:r>
    </w:p>
    <w:p w:rsidR="00A2203D" w:rsidRDefault="00A2203D" w:rsidP="00A2203D">
      <w:pPr>
        <w:pStyle w:val="Heading1"/>
        <w:numPr>
          <w:ilvl w:val="0"/>
          <w:numId w:val="10"/>
        </w:numPr>
      </w:pPr>
      <w:bookmarkStart w:id="5" w:name="_QD_LimitationsApplicability"/>
      <w:bookmarkStart w:id="6" w:name="_Toc381357775"/>
      <w:bookmarkEnd w:id="5"/>
      <w:r>
        <w:lastRenderedPageBreak/>
        <w:t xml:space="preserve">QD </w:t>
      </w:r>
      <w:r w:rsidR="00785E1E">
        <w:t>Applicability</w:t>
      </w:r>
      <w:bookmarkEnd w:id="6"/>
    </w:p>
    <w:p w:rsidR="00A2203D" w:rsidRDefault="00A2203D" w:rsidP="00A2203D">
      <w:r>
        <w:t xml:space="preserve">The solution of the differential equation for solute transport requires several key assumptions, and it is important to be aware of these when using QD. In addition, QD is </w:t>
      </w:r>
      <w:r w:rsidR="00594845">
        <w:t xml:space="preserve">not </w:t>
      </w:r>
      <w:r>
        <w:t xml:space="preserve">applicable to </w:t>
      </w:r>
      <w:r w:rsidR="00594845">
        <w:t>all</w:t>
      </w:r>
      <w:r w:rsidR="009D0169">
        <w:t xml:space="preserve"> groundwater</w:t>
      </w:r>
      <w:r>
        <w:t xml:space="preserve"> contaminant transport problems</w:t>
      </w:r>
      <w:r w:rsidR="00785E1E">
        <w:t>, and t</w:t>
      </w:r>
      <w:r>
        <w:t xml:space="preserve">here are </w:t>
      </w:r>
      <w:r w:rsidR="00594845">
        <w:t xml:space="preserve">some </w:t>
      </w:r>
      <w:r>
        <w:t>geological restrictions to its use.</w:t>
      </w:r>
    </w:p>
    <w:p w:rsidR="00A2203D" w:rsidRDefault="00A2203D" w:rsidP="00A2203D"/>
    <w:p w:rsidR="00065790" w:rsidRDefault="00A2203D" w:rsidP="00A2203D">
      <w:r>
        <w:t xml:space="preserve">Perhaps the most important limitation to any fate-and-transport analysis is </w:t>
      </w:r>
      <w:r w:rsidR="00065790">
        <w:t xml:space="preserve">the </w:t>
      </w:r>
      <w:r w:rsidR="00785E1E">
        <w:t xml:space="preserve">adequacy of the site </w:t>
      </w:r>
      <w:r>
        <w:t>data</w:t>
      </w:r>
      <w:r w:rsidR="00065790">
        <w:t xml:space="preserve"> to run and calibrate the model.</w:t>
      </w:r>
      <w:r>
        <w:t xml:space="preserve"> </w:t>
      </w:r>
      <w:r w:rsidR="00594845">
        <w:t xml:space="preserve">When data are sparse, extremely conservative input values must be used and the results may give very weak constraints. </w:t>
      </w:r>
      <w:r w:rsidR="00065790">
        <w:t>On the other hand, a properly applied and calibrated QD model can successfully simulate conditions at the site and predict contaminant distributions.</w:t>
      </w:r>
    </w:p>
    <w:p w:rsidR="00785E1E" w:rsidRDefault="00785E1E" w:rsidP="00A2203D"/>
    <w:p w:rsidR="00A2203D" w:rsidRDefault="00785E1E" w:rsidP="00A2203D">
      <w:r>
        <w:t xml:space="preserve">QD model assumptions and mathematical approximations are described in Appendix 1. </w:t>
      </w:r>
      <w:r w:rsidR="00786CF7">
        <w:t xml:space="preserve">Four </w:t>
      </w:r>
      <w:r>
        <w:t>critical assumptions are that aquifer properties are homogeneous and isotropic, the groundwater flow field is homogeneous and unidirectional, groundwater flow is in steady state</w:t>
      </w:r>
      <w:r w:rsidR="00786CF7">
        <w:t>, and the contaminant source remains constant in time</w:t>
      </w:r>
      <w:r>
        <w:t xml:space="preserve">. The following </w:t>
      </w:r>
      <w:r w:rsidR="004D7224">
        <w:t xml:space="preserve">two </w:t>
      </w:r>
      <w:r>
        <w:t>sections discuss limitations to applying the model and common user errors.</w:t>
      </w:r>
    </w:p>
    <w:p w:rsidR="00A2203D" w:rsidRDefault="00A2203D" w:rsidP="00E73DA3">
      <w:pPr>
        <w:pStyle w:val="Heading2"/>
        <w:numPr>
          <w:ilvl w:val="1"/>
          <w:numId w:val="25"/>
        </w:numPr>
      </w:pPr>
      <w:bookmarkStart w:id="7" w:name="_Assumptions"/>
      <w:bookmarkStart w:id="8" w:name="_Site_Limitations"/>
      <w:bookmarkStart w:id="9" w:name="_Toc381357776"/>
      <w:bookmarkEnd w:id="7"/>
      <w:bookmarkEnd w:id="8"/>
      <w:r>
        <w:t>Site Limitations</w:t>
      </w:r>
      <w:bookmarkEnd w:id="9"/>
    </w:p>
    <w:p w:rsidR="00A2203D" w:rsidRDefault="006560CD" w:rsidP="00A2203D">
      <w:r>
        <w:t xml:space="preserve">The user must consider </w:t>
      </w:r>
      <w:r w:rsidR="00A2203D">
        <w:t>conditions such as the local hydrogeology, contaminants</w:t>
      </w:r>
      <w:r>
        <w:t xml:space="preserve"> of concern</w:t>
      </w:r>
      <w:r w:rsidR="00A2203D">
        <w:t>, and remedial activities</w:t>
      </w:r>
      <w:r>
        <w:t xml:space="preserve"> to determine the applicability of QD to the site.</w:t>
      </w:r>
      <w:r w:rsidR="00A2203D">
        <w:t xml:space="preserve"> </w:t>
      </w:r>
    </w:p>
    <w:p w:rsidR="00A2203D" w:rsidRDefault="00A2203D" w:rsidP="00A2203D"/>
    <w:p w:rsidR="00A2203D" w:rsidRDefault="00A2203D" w:rsidP="00E73DA3">
      <w:pPr>
        <w:tabs>
          <w:tab w:val="left" w:pos="720"/>
        </w:tabs>
        <w:ind w:left="360" w:hanging="360"/>
      </w:pPr>
      <w:r>
        <w:t>•</w:t>
      </w:r>
      <w:r>
        <w:tab/>
        <w:t>QD was developed for aquifers</w:t>
      </w:r>
      <w:r w:rsidR="006560CD">
        <w:t xml:space="preserve"> in porous media</w:t>
      </w:r>
      <w:r>
        <w:t xml:space="preserve">. </w:t>
      </w:r>
      <w:r w:rsidR="00795EE7" w:rsidRPr="00064437">
        <w:t xml:space="preserve">The conceptual site model should support the </w:t>
      </w:r>
      <w:r w:rsidR="00F551C2" w:rsidRPr="00064437">
        <w:t>decision</w:t>
      </w:r>
      <w:r w:rsidR="00795EE7" w:rsidRPr="00064437">
        <w:t xml:space="preserve"> that this condition has been met</w:t>
      </w:r>
      <w:r w:rsidR="00795EE7" w:rsidRPr="005219E9">
        <w:t>.</w:t>
      </w:r>
      <w:r w:rsidR="006560CD" w:rsidRPr="005219E9">
        <w:t xml:space="preserve"> </w:t>
      </w:r>
      <w:r w:rsidR="00795EE7">
        <w:t>QD</w:t>
      </w:r>
      <w:r w:rsidR="006560CD" w:rsidRPr="00E73DA3">
        <w:t xml:space="preserve"> </w:t>
      </w:r>
      <w:r w:rsidRPr="00E73DA3">
        <w:t xml:space="preserve">is </w:t>
      </w:r>
      <w:r w:rsidRPr="00E73DA3">
        <w:rPr>
          <w:i/>
        </w:rPr>
        <w:t>absolutely not</w:t>
      </w:r>
      <w:r w:rsidRPr="00E73DA3">
        <w:t xml:space="preserve"> applicable to karst formations</w:t>
      </w:r>
      <w:r>
        <w:rPr>
          <w:i/>
        </w:rPr>
        <w:t>.</w:t>
      </w:r>
      <w:r>
        <w:t xml:space="preserve"> QD </w:t>
      </w:r>
      <w:r w:rsidR="005E5448">
        <w:t xml:space="preserve">modeling </w:t>
      </w:r>
      <w:proofErr w:type="gramStart"/>
      <w:r w:rsidR="005E5448">
        <w:t xml:space="preserve">of </w:t>
      </w:r>
      <w:r>
        <w:t xml:space="preserve"> contaminant</w:t>
      </w:r>
      <w:proofErr w:type="gramEnd"/>
      <w:r>
        <w:t xml:space="preserve"> transport in </w:t>
      </w:r>
      <w:r w:rsidR="006560CD">
        <w:t xml:space="preserve">fractured </w:t>
      </w:r>
      <w:r>
        <w:t xml:space="preserve">bedrock </w:t>
      </w:r>
      <w:r w:rsidR="006560CD">
        <w:t xml:space="preserve">should be </w:t>
      </w:r>
      <w:r w:rsidR="005E5448">
        <w:t xml:space="preserve">performed with care </w:t>
      </w:r>
      <w:r w:rsidR="006560CD">
        <w:t xml:space="preserve">and </w:t>
      </w:r>
      <w:r w:rsidR="005E5448">
        <w:t xml:space="preserve">it </w:t>
      </w:r>
      <w:r w:rsidR="006560CD">
        <w:t>must include calibration</w:t>
      </w:r>
      <w:r>
        <w:t xml:space="preserve">. </w:t>
      </w:r>
    </w:p>
    <w:p w:rsidR="00A2203D" w:rsidRDefault="00A2203D" w:rsidP="00A2203D">
      <w:pPr>
        <w:ind w:left="360" w:hanging="360"/>
      </w:pPr>
    </w:p>
    <w:p w:rsidR="00A2203D" w:rsidRDefault="00A2203D" w:rsidP="00A2203D">
      <w:pPr>
        <w:ind w:left="360" w:hanging="360"/>
      </w:pPr>
      <w:r>
        <w:t>•</w:t>
      </w:r>
      <w:r>
        <w:tab/>
        <w:t xml:space="preserve">QD </w:t>
      </w:r>
      <w:r w:rsidR="009D0169">
        <w:t xml:space="preserve">simulates </w:t>
      </w:r>
      <w:r w:rsidR="00795EE7">
        <w:t>only</w:t>
      </w:r>
      <w:r>
        <w:t xml:space="preserve"> the first-order decay of dissolved contaminants</w:t>
      </w:r>
      <w:r w:rsidR="00795EE7">
        <w:t xml:space="preserve"> during transport</w:t>
      </w:r>
      <w:r>
        <w:t xml:space="preserve">. For instance, it is </w:t>
      </w:r>
      <w:r w:rsidR="00795EE7">
        <w:t xml:space="preserve">appropriate </w:t>
      </w:r>
      <w:r>
        <w:t>for petroleum hydrocarbons</w:t>
      </w:r>
      <w:r w:rsidR="008E3792" w:rsidRPr="008E3792">
        <w:t xml:space="preserve"> </w:t>
      </w:r>
      <w:r w:rsidR="008E3792">
        <w:t>and polycyclic aromatic hydrocarbons (PAHs)</w:t>
      </w:r>
      <w:r>
        <w:t xml:space="preserve">, and it can also </w:t>
      </w:r>
      <w:r w:rsidR="009D0169">
        <w:t xml:space="preserve">represent </w:t>
      </w:r>
      <w:r>
        <w:t>radioactive decay.</w:t>
      </w:r>
      <w:r w:rsidR="008E3792">
        <w:t xml:space="preserve"> It does not account for the formation of daughter products from parent compounds (e.g., trichloroethylene → cis-1</w:t>
      </w:r>
      <w:proofErr w:type="gramStart"/>
      <w:r w:rsidR="008E3792">
        <w:t>,2</w:t>
      </w:r>
      <w:proofErr w:type="gramEnd"/>
      <w:r w:rsidR="008E3792">
        <w:t>-dichloroethylene → vinyl chloride).</w:t>
      </w:r>
      <w:r>
        <w:t xml:space="preserve"> </w:t>
      </w:r>
      <w:hyperlink w:anchor="_Web_Links" w:history="1">
        <w:proofErr w:type="spellStart"/>
        <w:r w:rsidR="00F551C2" w:rsidRPr="00640B32">
          <w:rPr>
            <w:rStyle w:val="Hyperlink"/>
          </w:rPr>
          <w:t>Biochlor</w:t>
        </w:r>
        <w:proofErr w:type="spellEnd"/>
      </w:hyperlink>
      <w:r w:rsidR="00F551C2">
        <w:t xml:space="preserve"> is </w:t>
      </w:r>
      <w:r w:rsidR="009D0169">
        <w:t xml:space="preserve">a </w:t>
      </w:r>
      <w:r w:rsidR="008E3792">
        <w:t xml:space="preserve">preferable </w:t>
      </w:r>
      <w:r w:rsidR="00F551C2">
        <w:t>model</w:t>
      </w:r>
      <w:r w:rsidR="008E3792">
        <w:t xml:space="preserve"> for chlorinated VOCs.</w:t>
      </w:r>
    </w:p>
    <w:p w:rsidR="00A243DF" w:rsidRDefault="00A243DF" w:rsidP="00A2203D">
      <w:pPr>
        <w:ind w:left="360" w:hanging="360"/>
      </w:pPr>
    </w:p>
    <w:p w:rsidR="00A243DF" w:rsidRPr="00877EC1" w:rsidRDefault="00A243DF" w:rsidP="00A2203D">
      <w:pPr>
        <w:ind w:left="360" w:hanging="360"/>
      </w:pPr>
      <w:r>
        <w:t>•</w:t>
      </w:r>
      <w:r>
        <w:tab/>
        <w:t>QD is intended for modeling organic contaminants. Nonreactive inorganic solutes do not experience natural degradation, and the first-order decay constant (</w:t>
      </w:r>
      <w:r>
        <w:rPr>
          <w:rFonts w:ascii="Symbol" w:hAnsi="Symbol"/>
          <w:i/>
        </w:rPr>
        <w:t></w:t>
      </w:r>
      <w:r>
        <w:t xml:space="preserve">) should be set to zero. The sorption of inorganics on soil particles is a complex process which is not adequately represented by the linear isotherm of QD. Therefore, </w:t>
      </w:r>
      <w:r w:rsidR="00877EC1">
        <w:t>the user should also input the adsorption parameters (</w:t>
      </w:r>
      <w:proofErr w:type="spellStart"/>
      <w:r w:rsidR="00877EC1">
        <w:rPr>
          <w:i/>
        </w:rPr>
        <w:t>K</w:t>
      </w:r>
      <w:r w:rsidR="00877EC1">
        <w:rPr>
          <w:vertAlign w:val="subscript"/>
        </w:rPr>
        <w:t>oc</w:t>
      </w:r>
      <w:proofErr w:type="spellEnd"/>
      <w:r w:rsidR="00877EC1">
        <w:t xml:space="preserve"> and </w:t>
      </w:r>
      <w:proofErr w:type="spellStart"/>
      <w:r w:rsidR="00877EC1">
        <w:rPr>
          <w:i/>
        </w:rPr>
        <w:t>f</w:t>
      </w:r>
      <w:r w:rsidR="00877EC1">
        <w:rPr>
          <w:vertAlign w:val="subscript"/>
        </w:rPr>
        <w:t>oc</w:t>
      </w:r>
      <w:proofErr w:type="spellEnd"/>
      <w:r w:rsidR="00877EC1">
        <w:t>) as zero</w:t>
      </w:r>
      <w:r w:rsidR="004D7224">
        <w:t xml:space="preserve"> when modeling inorganics</w:t>
      </w:r>
      <w:r w:rsidR="00877EC1">
        <w:t>.</w:t>
      </w:r>
    </w:p>
    <w:p w:rsidR="00A2203D" w:rsidRDefault="00A2203D" w:rsidP="00A2203D">
      <w:pPr>
        <w:ind w:left="360" w:hanging="360"/>
      </w:pPr>
    </w:p>
    <w:p w:rsidR="00A2203D" w:rsidRDefault="00A2203D" w:rsidP="00E73DA3">
      <w:pPr>
        <w:ind w:left="360" w:hanging="360"/>
      </w:pPr>
      <w:r>
        <w:t>•</w:t>
      </w:r>
      <w:r>
        <w:tab/>
        <w:t xml:space="preserve">QD is applicable to problems of natural attenuation of contaminants. Extreme caution should be exercised with its use at sites where there has been active remediation. A calibration to conditions before or during remediation may not be appropriate for the post-remediation period. Likewise, a calibration to onsite wells in the vicinity of the remedial work may not </w:t>
      </w:r>
      <w:r w:rsidR="006A088E">
        <w:t xml:space="preserve">extrapolate </w:t>
      </w:r>
      <w:r>
        <w:t xml:space="preserve">to offsite conditions. </w:t>
      </w:r>
    </w:p>
    <w:p w:rsidR="00A2203D" w:rsidRDefault="00A2203D" w:rsidP="00A2203D">
      <w:pPr>
        <w:ind w:left="360" w:hanging="360"/>
      </w:pPr>
    </w:p>
    <w:p w:rsidR="00C16EC6" w:rsidRDefault="00C16EC6" w:rsidP="00A2203D">
      <w:pPr>
        <w:ind w:left="360" w:hanging="360"/>
      </w:pPr>
      <w:r>
        <w:lastRenderedPageBreak/>
        <w:t>•</w:t>
      </w:r>
      <w:r>
        <w:tab/>
        <w:t xml:space="preserve">Similarly, QD does not simulate decaying sources. If there is evidence for source decay (as opposed to transport decay) the user should consider using </w:t>
      </w:r>
      <w:hyperlink w:anchor="_Web_Links" w:history="1">
        <w:proofErr w:type="spellStart"/>
        <w:r w:rsidRPr="007B123B">
          <w:rPr>
            <w:rStyle w:val="Hyperlink"/>
          </w:rPr>
          <w:t>Bioscreen</w:t>
        </w:r>
        <w:proofErr w:type="spellEnd"/>
        <w:r w:rsidRPr="007B123B">
          <w:rPr>
            <w:rStyle w:val="Hyperlink"/>
          </w:rPr>
          <w:t>-AT</w:t>
        </w:r>
      </w:hyperlink>
      <w:r>
        <w:t xml:space="preserve"> (see </w:t>
      </w:r>
      <w:hyperlink w:anchor="App5" w:history="1">
        <w:r w:rsidRPr="007B123B">
          <w:rPr>
            <w:rStyle w:val="Hyperlink"/>
          </w:rPr>
          <w:t xml:space="preserve">Example </w:t>
        </w:r>
        <w:r>
          <w:rPr>
            <w:rStyle w:val="Hyperlink"/>
          </w:rPr>
          <w:t>A4</w:t>
        </w:r>
        <w:r w:rsidRPr="007B123B">
          <w:rPr>
            <w:rStyle w:val="Hyperlink"/>
          </w:rPr>
          <w:t>.2</w:t>
        </w:r>
      </w:hyperlink>
      <w:r>
        <w:t>).</w:t>
      </w:r>
    </w:p>
    <w:p w:rsidR="00C16EC6" w:rsidRDefault="00C16EC6" w:rsidP="00A2203D">
      <w:pPr>
        <w:ind w:left="360" w:hanging="360"/>
      </w:pPr>
    </w:p>
    <w:p w:rsidR="00A2203D" w:rsidRDefault="00A2203D" w:rsidP="00A2203D">
      <w:pPr>
        <w:ind w:left="360" w:hanging="360"/>
      </w:pPr>
      <w:r>
        <w:t>•</w:t>
      </w:r>
      <w:r>
        <w:tab/>
        <w:t xml:space="preserve">Ethanol is now a </w:t>
      </w:r>
      <w:r w:rsidR="004D7224">
        <w:t xml:space="preserve">standard </w:t>
      </w:r>
      <w:r>
        <w:t xml:space="preserve">component of gasoline, and it has a significant influence on the fate and transport of petroleum contaminants. Because ethanol degrades faster than other constituents, electron acceptors in the aquifer are depleted, preventing the biodegradation of BTEX and other hydrocarbons. With time and distance, ethanol concentrations in the plume decline, </w:t>
      </w:r>
      <w:r w:rsidR="009D0169">
        <w:t xml:space="preserve">and this </w:t>
      </w:r>
      <w:r w:rsidR="00FF6FAF">
        <w:t xml:space="preserve">makes </w:t>
      </w:r>
      <w:r>
        <w:t>biodegradation of other contaminants favorable. QD cannot simulate longitudinally variable values of the decay constant (</w:t>
      </w:r>
      <w:r>
        <w:rPr>
          <w:rFonts w:ascii="Symbol" w:hAnsi="Symbol"/>
          <w:i/>
        </w:rPr>
        <w:t></w:t>
      </w:r>
      <w:r>
        <w:t xml:space="preserve">). An alternative model is EPA’s </w:t>
      </w:r>
      <w:hyperlink w:anchor="_Web_Links" w:history="1">
        <w:proofErr w:type="spellStart"/>
        <w:r w:rsidRPr="001D558E">
          <w:rPr>
            <w:rStyle w:val="Hyperlink"/>
          </w:rPr>
          <w:t>FootPrint</w:t>
        </w:r>
        <w:proofErr w:type="spellEnd"/>
      </w:hyperlink>
      <w:r>
        <w:t>.</w:t>
      </w:r>
    </w:p>
    <w:p w:rsidR="00A2203D" w:rsidRDefault="00A2203D" w:rsidP="00A2203D">
      <w:pPr>
        <w:ind w:left="360" w:hanging="360"/>
      </w:pPr>
    </w:p>
    <w:p w:rsidR="00A2203D" w:rsidRDefault="00C4550D" w:rsidP="00E73DA3">
      <w:pPr>
        <w:ind w:left="360" w:hanging="360"/>
      </w:pPr>
      <w:r>
        <w:t>•</w:t>
      </w:r>
      <w:r>
        <w:tab/>
      </w:r>
      <w:r w:rsidR="00A2203D">
        <w:t xml:space="preserve">QD cannot be used to model </w:t>
      </w:r>
      <w:r>
        <w:t xml:space="preserve">the fate and transport of </w:t>
      </w:r>
      <w:r w:rsidR="00B92D8C">
        <w:t>non-aqueous phase</w:t>
      </w:r>
      <w:r w:rsidR="00A2203D">
        <w:t xml:space="preserve"> liquids</w:t>
      </w:r>
      <w:r>
        <w:t xml:space="preserve"> (NAPL)</w:t>
      </w:r>
      <w:r w:rsidR="00B92D8C">
        <w:t>, also known as separate phase liquids or free product</w:t>
      </w:r>
      <w:r w:rsidR="00A2203D">
        <w:t>.</w:t>
      </w:r>
      <w:r w:rsidR="00A018FE">
        <w:t xml:space="preserve"> However, with adequate supporting information QD can </w:t>
      </w:r>
      <w:r w:rsidR="00452B09">
        <w:t xml:space="preserve">represent </w:t>
      </w:r>
      <w:r w:rsidR="00A018FE">
        <w:t xml:space="preserve">the dissolved plume originating from a NAPL source by inputting effective </w:t>
      </w:r>
      <w:proofErr w:type="spellStart"/>
      <w:r w:rsidR="00A018FE">
        <w:t>solubilities</w:t>
      </w:r>
      <w:proofErr w:type="spellEnd"/>
      <w:r w:rsidR="00A018FE">
        <w:t xml:space="preserve"> </w:t>
      </w:r>
      <w:r w:rsidR="00C321F7">
        <w:t xml:space="preserve">of the contaminants </w:t>
      </w:r>
      <w:r w:rsidR="00A018FE">
        <w:t>for the source concentrations.</w:t>
      </w:r>
    </w:p>
    <w:p w:rsidR="00A2203D" w:rsidRPr="00FA5788" w:rsidRDefault="00A2203D" w:rsidP="00A2203D">
      <w:pPr>
        <w:ind w:left="360" w:hanging="360"/>
        <w:rPr>
          <w:rFonts w:ascii="Symbol" w:hAnsi="Symbol"/>
        </w:rPr>
      </w:pPr>
    </w:p>
    <w:p w:rsidR="00A2203D" w:rsidRDefault="00A2203D" w:rsidP="004733A6">
      <w:pPr>
        <w:pStyle w:val="Heading2"/>
      </w:pPr>
      <w:bookmarkStart w:id="10" w:name="_Toc381357777"/>
      <w:r>
        <w:t>Common Errors</w:t>
      </w:r>
      <w:bookmarkEnd w:id="10"/>
    </w:p>
    <w:p w:rsidR="00A2203D" w:rsidRDefault="00A2203D" w:rsidP="00A2203D">
      <w:r>
        <w:t xml:space="preserve">DEP </w:t>
      </w:r>
      <w:r w:rsidR="00BE6C9E">
        <w:t>has</w:t>
      </w:r>
      <w:r>
        <w:t xml:space="preserve"> repeatedly seen the following mistakes by QD users. DEP </w:t>
      </w:r>
      <w:r w:rsidR="00452B09">
        <w:t>may</w:t>
      </w:r>
      <w:r>
        <w:t xml:space="preserve"> reject the submitted model and report for any of these reasons.</w:t>
      </w:r>
    </w:p>
    <w:p w:rsidR="00A2203D" w:rsidRDefault="00A2203D" w:rsidP="00A2203D"/>
    <w:p w:rsidR="00A2203D" w:rsidRDefault="00A2203D" w:rsidP="00064437">
      <w:pPr>
        <w:tabs>
          <w:tab w:val="left" w:pos="180"/>
        </w:tabs>
        <w:spacing w:after="240"/>
        <w:ind w:left="187" w:hanging="187"/>
      </w:pPr>
      <w:r>
        <w:t>•</w:t>
      </w:r>
      <w:r>
        <w:tab/>
      </w:r>
      <w:r w:rsidRPr="00E03086">
        <w:rPr>
          <w:b/>
        </w:rPr>
        <w:t>Modeling a plume without any downgradient calibration points within the zone of impact</w:t>
      </w:r>
      <w:r>
        <w:t xml:space="preserve"> (see </w:t>
      </w:r>
      <w:hyperlink w:anchor="_Objective" w:history="1">
        <w:r w:rsidRPr="00E82BB8">
          <w:rPr>
            <w:rStyle w:val="Hyperlink"/>
          </w:rPr>
          <w:t>Section 5</w:t>
        </w:r>
      </w:hyperlink>
      <w:r>
        <w:t xml:space="preserve">). </w:t>
      </w:r>
      <w:r>
        <w:br/>
        <w:t>Under some circumstances extremely conservative models may be accepted without calibrations, but they require careful selection of parameter values.</w:t>
      </w:r>
      <w:r w:rsidR="00BE6C9E">
        <w:t xml:space="preserve"> </w:t>
      </w:r>
      <w:r w:rsidR="009205C9">
        <w:t xml:space="preserve">The first-order decay rate should be zero or very low. </w:t>
      </w:r>
      <w:r w:rsidR="00BE6C9E">
        <w:t xml:space="preserve">Calibration is </w:t>
      </w:r>
      <w:r w:rsidR="0074197D">
        <w:t xml:space="preserve">usually </w:t>
      </w:r>
      <w:r w:rsidR="00BE6C9E">
        <w:t>essential to a defensible model.</w:t>
      </w:r>
    </w:p>
    <w:p w:rsidR="00A2203D" w:rsidRPr="00BE6C9E" w:rsidRDefault="00A2203D" w:rsidP="00064437">
      <w:pPr>
        <w:tabs>
          <w:tab w:val="left" w:pos="180"/>
        </w:tabs>
        <w:spacing w:after="240"/>
        <w:ind w:left="187" w:hanging="187"/>
      </w:pPr>
      <w:r>
        <w:t>•</w:t>
      </w:r>
      <w:r>
        <w:tab/>
      </w:r>
      <w:r w:rsidRPr="00E03086">
        <w:rPr>
          <w:b/>
        </w:rPr>
        <w:t xml:space="preserve">Using inconsistent data for calibration, such as </w:t>
      </w:r>
      <w:proofErr w:type="spellStart"/>
      <w:r w:rsidRPr="00E03086">
        <w:rPr>
          <w:b/>
        </w:rPr>
        <w:t>well</w:t>
      </w:r>
      <w:proofErr w:type="spellEnd"/>
      <w:r w:rsidRPr="00E03086">
        <w:rPr>
          <w:b/>
        </w:rPr>
        <w:t xml:space="preserve"> data collected at different times</w:t>
      </w:r>
      <w:r>
        <w:t>.</w:t>
      </w:r>
      <w:r w:rsidR="00BE6C9E">
        <w:rPr>
          <w:b/>
        </w:rPr>
        <w:br/>
      </w:r>
      <w:r w:rsidR="00FF6FAF">
        <w:t>C</w:t>
      </w:r>
      <w:r w:rsidR="00BE6C9E">
        <w:t>ontaminant concentrations should be measured at the same time</w:t>
      </w:r>
      <w:r w:rsidR="00FF6FAF">
        <w:t xml:space="preserve"> (or period)</w:t>
      </w:r>
      <w:r w:rsidR="00BE6C9E">
        <w:t xml:space="preserve"> for the source and calibration wells.</w:t>
      </w:r>
    </w:p>
    <w:p w:rsidR="00A2203D" w:rsidRDefault="00A2203D" w:rsidP="00064437">
      <w:pPr>
        <w:tabs>
          <w:tab w:val="left" w:pos="180"/>
        </w:tabs>
        <w:spacing w:after="240"/>
        <w:ind w:left="187" w:hanging="187"/>
      </w:pPr>
      <w:r>
        <w:t>•</w:t>
      </w:r>
      <w:r>
        <w:tab/>
      </w:r>
      <w:r w:rsidRPr="00E03086">
        <w:rPr>
          <w:b/>
        </w:rPr>
        <w:t>Selecting and/or varying input parameters without justification</w:t>
      </w:r>
      <w:r>
        <w:t xml:space="preserve"> (see </w:t>
      </w:r>
      <w:hyperlink w:anchor="_QD_Model_Input" w:history="1">
        <w:r w:rsidRPr="00E82BB8">
          <w:rPr>
            <w:rStyle w:val="Hyperlink"/>
          </w:rPr>
          <w:t>Section 3</w:t>
        </w:r>
      </w:hyperlink>
      <w:r>
        <w:t xml:space="preserve">). </w:t>
      </w:r>
      <w:r>
        <w:br/>
        <w:t>Values should be based on site-specific data, calibrations, and appropriate literature references. Uncertain parameters must be adequately conservative, and all values must fall within physically plausible ranges.</w:t>
      </w:r>
    </w:p>
    <w:p w:rsidR="00A2203D" w:rsidRDefault="00A2203D" w:rsidP="00064437">
      <w:pPr>
        <w:tabs>
          <w:tab w:val="left" w:pos="180"/>
        </w:tabs>
        <w:spacing w:after="240"/>
        <w:ind w:left="187" w:hanging="187"/>
      </w:pPr>
      <w:r>
        <w:t>•</w:t>
      </w:r>
      <w:r>
        <w:tab/>
      </w:r>
      <w:r w:rsidRPr="00E03086">
        <w:rPr>
          <w:b/>
        </w:rPr>
        <w:t>Using an inappropriate degradation rate (</w:t>
      </w:r>
      <w:r w:rsidRPr="00E03086">
        <w:rPr>
          <w:rFonts w:ascii="Symbol" w:hAnsi="Symbol"/>
          <w:b/>
          <w:i/>
        </w:rPr>
        <w:t></w:t>
      </w:r>
      <w:r w:rsidRPr="00E03086">
        <w:rPr>
          <w:b/>
        </w:rPr>
        <w:t>)</w:t>
      </w:r>
      <w:r>
        <w:t xml:space="preserve"> (see </w:t>
      </w:r>
      <w:hyperlink w:anchor="_Decay_Constant" w:history="1">
        <w:r w:rsidRPr="00E82BB8">
          <w:rPr>
            <w:rStyle w:val="Hyperlink"/>
          </w:rPr>
          <w:t>Section 3.3</w:t>
        </w:r>
      </w:hyperlink>
      <w:r>
        <w:t>).</w:t>
      </w:r>
      <w:r>
        <w:br/>
        <w:t>A site-specific natural (bulk) attenuation rate may be estimated from onsite contaminant measurements. When using values from Ch. 250, Table 5A (labeled as “degradation coefficient (</w:t>
      </w:r>
      <w:r>
        <w:rPr>
          <w:i/>
        </w:rPr>
        <w:t>K</w:t>
      </w:r>
      <w:r>
        <w:t>)”), which</w:t>
      </w:r>
      <w:r w:rsidR="00FF6FAF">
        <w:t xml:space="preserve"> are only representative empirical rates</w:t>
      </w:r>
      <w:r>
        <w:t>, one must convert from inverse years (</w:t>
      </w:r>
      <w:proofErr w:type="spellStart"/>
      <w:r>
        <w:t>yr</w:t>
      </w:r>
      <w:proofErr w:type="spellEnd"/>
      <w:r>
        <w:rPr>
          <w:vertAlign w:val="superscript"/>
        </w:rPr>
        <w:t>–1</w:t>
      </w:r>
      <w:r>
        <w:t>) to inverse days (day</w:t>
      </w:r>
      <w:r>
        <w:rPr>
          <w:vertAlign w:val="superscript"/>
        </w:rPr>
        <w:t>–1</w:t>
      </w:r>
      <w:r>
        <w:t xml:space="preserve">) for input in QD. The degradation rate should generally be a calibration variable. </w:t>
      </w:r>
      <w:r w:rsidR="004B364F">
        <w:t xml:space="preserve">Conservative models may assume </w:t>
      </w:r>
      <w:r w:rsidR="004B364F">
        <w:rPr>
          <w:rFonts w:ascii="Symbol" w:hAnsi="Symbol"/>
          <w:i/>
        </w:rPr>
        <w:t></w:t>
      </w:r>
      <w:r w:rsidR="004B364F">
        <w:t xml:space="preserve"> = 0.</w:t>
      </w:r>
      <w:r>
        <w:t xml:space="preserve"> </w:t>
      </w:r>
    </w:p>
    <w:p w:rsidR="00A2203D" w:rsidRPr="00A17113" w:rsidRDefault="00A2203D" w:rsidP="00064437">
      <w:pPr>
        <w:tabs>
          <w:tab w:val="left" w:pos="180"/>
        </w:tabs>
        <w:spacing w:after="240"/>
        <w:ind w:left="187" w:hanging="187"/>
      </w:pPr>
      <w:r>
        <w:t>•</w:t>
      </w:r>
      <w:r>
        <w:tab/>
      </w:r>
      <w:r w:rsidRPr="00E03086">
        <w:rPr>
          <w:b/>
        </w:rPr>
        <w:t>Choosing an unsupported hydraulic conductivity</w:t>
      </w:r>
      <w:r>
        <w:rPr>
          <w:b/>
        </w:rPr>
        <w:t xml:space="preserve"> (</w:t>
      </w:r>
      <w:r>
        <w:rPr>
          <w:b/>
          <w:i/>
        </w:rPr>
        <w:t>K</w:t>
      </w:r>
      <w:r>
        <w:rPr>
          <w:b/>
        </w:rPr>
        <w:t>)</w:t>
      </w:r>
      <w:r>
        <w:t xml:space="preserve"> (see </w:t>
      </w:r>
      <w:hyperlink w:anchor="_Hydraulic_Conductivity" w:history="1">
        <w:r>
          <w:rPr>
            <w:rStyle w:val="Hyperlink"/>
          </w:rPr>
          <w:t>Section 3.7</w:t>
        </w:r>
      </w:hyperlink>
      <w:r>
        <w:t xml:space="preserve"> and </w:t>
      </w:r>
      <w:hyperlink w:anchor="App2" w:history="1">
        <w:r w:rsidRPr="005019A3">
          <w:rPr>
            <w:rStyle w:val="Hyperlink"/>
          </w:rPr>
          <w:t>Appendix 2</w:t>
        </w:r>
      </w:hyperlink>
      <w:r>
        <w:t>).</w:t>
      </w:r>
      <w:r>
        <w:br/>
        <w:t xml:space="preserve">Hydraulic conductivity is ideally based on multiple well tests at the site. Data and solutions for </w:t>
      </w:r>
      <w:r>
        <w:lastRenderedPageBreak/>
        <w:t xml:space="preserve">the conductivity must be fully documented. When using a literature value of </w:t>
      </w:r>
      <w:r>
        <w:rPr>
          <w:i/>
        </w:rPr>
        <w:t>K</w:t>
      </w:r>
      <w:r>
        <w:t xml:space="preserve">, the choice must be explained and properly referenced. It should be a conservative choice taken from representative values for </w:t>
      </w:r>
      <w:r w:rsidR="00C84BD4">
        <w:t xml:space="preserve">the </w:t>
      </w:r>
      <w:proofErr w:type="spellStart"/>
      <w:r w:rsidR="00C84BD4">
        <w:t>hydrostratigraphic</w:t>
      </w:r>
      <w:proofErr w:type="spellEnd"/>
      <w:r w:rsidR="00C84BD4">
        <w:t xml:space="preserve"> unit</w:t>
      </w:r>
      <w:r>
        <w:t xml:space="preserve">. When treating </w:t>
      </w:r>
      <w:r>
        <w:rPr>
          <w:i/>
        </w:rPr>
        <w:t>K</w:t>
      </w:r>
      <w:r>
        <w:t xml:space="preserve"> as a calibration variable, its value should be within a reasonable range.</w:t>
      </w:r>
      <w:r w:rsidR="00A17113">
        <w:t xml:space="preserve"> We recommend uncertainty analyses to understand the influence of </w:t>
      </w:r>
      <w:r w:rsidR="00A17113">
        <w:rPr>
          <w:i/>
        </w:rPr>
        <w:t>K</w:t>
      </w:r>
      <w:r w:rsidR="00A17113">
        <w:t>.</w:t>
      </w:r>
    </w:p>
    <w:p w:rsidR="00A2203D" w:rsidRPr="00917D06" w:rsidRDefault="00A2203D" w:rsidP="00064437">
      <w:pPr>
        <w:tabs>
          <w:tab w:val="left" w:pos="180"/>
        </w:tabs>
        <w:spacing w:after="240"/>
        <w:ind w:left="187" w:hanging="187"/>
        <w:rPr>
          <w:rFonts w:ascii="Symbol" w:hAnsi="Symbol"/>
        </w:rPr>
      </w:pPr>
      <w:r>
        <w:t>•</w:t>
      </w:r>
      <w:r>
        <w:tab/>
      </w:r>
      <w:r w:rsidRPr="00445A11">
        <w:rPr>
          <w:b/>
        </w:rPr>
        <w:t xml:space="preserve">Using excessively large </w:t>
      </w:r>
      <w:proofErr w:type="spellStart"/>
      <w:r w:rsidRPr="00445A11">
        <w:rPr>
          <w:b/>
        </w:rPr>
        <w:t>dispersivities</w:t>
      </w:r>
      <w:proofErr w:type="spellEnd"/>
      <w:r w:rsidRPr="00445A11">
        <w:rPr>
          <w:b/>
        </w:rPr>
        <w:t xml:space="preserve"> (</w:t>
      </w:r>
      <w:r w:rsidRPr="00445A11">
        <w:rPr>
          <w:rFonts w:ascii="Symbol" w:hAnsi="Symbol"/>
          <w:b/>
          <w:i/>
        </w:rPr>
        <w:t></w:t>
      </w:r>
      <w:r w:rsidRPr="00445A11">
        <w:rPr>
          <w:b/>
        </w:rPr>
        <w:t>)</w:t>
      </w:r>
      <w:r>
        <w:t xml:space="preserve"> (see </w:t>
      </w:r>
      <w:hyperlink w:anchor="_Dispersivities" w:history="1">
        <w:r w:rsidRPr="00917D06">
          <w:rPr>
            <w:rStyle w:val="Hyperlink"/>
          </w:rPr>
          <w:t>Section 3.2</w:t>
        </w:r>
      </w:hyperlink>
      <w:r>
        <w:t xml:space="preserve"> and </w:t>
      </w:r>
      <w:hyperlink w:anchor="App3" w:history="1">
        <w:r w:rsidRPr="00917D06">
          <w:rPr>
            <w:rStyle w:val="Hyperlink"/>
          </w:rPr>
          <w:t>Appendix 3</w:t>
        </w:r>
      </w:hyperlink>
      <w:r>
        <w:t>).</w:t>
      </w:r>
      <w:r>
        <w:br/>
        <w:t xml:space="preserve">Insofar as </w:t>
      </w:r>
      <w:proofErr w:type="spellStart"/>
      <w:r>
        <w:t>dispersivity</w:t>
      </w:r>
      <w:proofErr w:type="spellEnd"/>
      <w:r>
        <w:t xml:space="preserve"> scales with plume length, users often presume that longer plumes and correspondingly higher </w:t>
      </w:r>
      <w:proofErr w:type="spellStart"/>
      <w:r>
        <w:t>dispersivities</w:t>
      </w:r>
      <w:proofErr w:type="spellEnd"/>
      <w:r>
        <w:t xml:space="preserve"> are </w:t>
      </w:r>
      <w:r w:rsidR="00452B09">
        <w:t xml:space="preserve">always </w:t>
      </w:r>
      <w:r>
        <w:t xml:space="preserve">more conservative. </w:t>
      </w:r>
      <w:r w:rsidR="00452B09">
        <w:t>However</w:t>
      </w:r>
      <w:r>
        <w:t xml:space="preserve">, larger </w:t>
      </w:r>
      <w:proofErr w:type="spellStart"/>
      <w:r>
        <w:t>dispersivities</w:t>
      </w:r>
      <w:proofErr w:type="spellEnd"/>
      <w:r>
        <w:t xml:space="preserve"> </w:t>
      </w:r>
      <w:r w:rsidR="00452B09">
        <w:t xml:space="preserve">can </w:t>
      </w:r>
      <w:r>
        <w:t xml:space="preserve">spread the plume out, reducing centerline concentrations. Large values of </w:t>
      </w:r>
      <w:r>
        <w:rPr>
          <w:rFonts w:ascii="Symbol" w:hAnsi="Symbol"/>
          <w:i/>
        </w:rPr>
        <w:t></w:t>
      </w:r>
      <w:r>
        <w:t xml:space="preserve"> </w:t>
      </w:r>
      <w:r w:rsidR="00A17113">
        <w:t xml:space="preserve">may </w:t>
      </w:r>
      <w:r>
        <w:t>introduce errors in the QD solution</w:t>
      </w:r>
      <w:r w:rsidR="00A17113">
        <w:t xml:space="preserve"> (</w:t>
      </w:r>
      <w:hyperlink w:anchor="App1" w:history="1">
        <w:r w:rsidR="00A17113" w:rsidRPr="00A17113">
          <w:rPr>
            <w:rStyle w:val="Hyperlink"/>
          </w:rPr>
          <w:t>Section A1.3</w:t>
        </w:r>
      </w:hyperlink>
      <w:r w:rsidR="00A17113">
        <w:t>)</w:t>
      </w:r>
      <w:r>
        <w:t xml:space="preserve">. </w:t>
      </w:r>
      <w:proofErr w:type="spellStart"/>
      <w:r>
        <w:t>Dispersivity</w:t>
      </w:r>
      <w:proofErr w:type="spellEnd"/>
      <w:r>
        <w:t xml:space="preserve"> should be scaled with respect to the distance to the nearest calibration point and/or receptor</w:t>
      </w:r>
      <w:r w:rsidR="0053629A">
        <w:t xml:space="preserve"> within the plume</w:t>
      </w:r>
      <w:r>
        <w:t xml:space="preserve">. </w:t>
      </w:r>
    </w:p>
    <w:p w:rsidR="00A2203D" w:rsidRDefault="00A2203D" w:rsidP="00064437">
      <w:pPr>
        <w:tabs>
          <w:tab w:val="left" w:pos="180"/>
        </w:tabs>
        <w:spacing w:after="240"/>
        <w:ind w:left="187" w:hanging="187"/>
      </w:pPr>
      <w:r>
        <w:t>•</w:t>
      </w:r>
      <w:r>
        <w:tab/>
      </w:r>
      <w:r w:rsidRPr="002E7079">
        <w:rPr>
          <w:b/>
        </w:rPr>
        <w:t>Modeling with QD when groundwater flow is complicated</w:t>
      </w:r>
      <w:r>
        <w:t>.</w:t>
      </w:r>
      <w:r>
        <w:br/>
      </w:r>
      <w:r w:rsidR="00C70BCC">
        <w:t>Groundwater</w:t>
      </w:r>
      <w:r>
        <w:t xml:space="preserve"> </w:t>
      </w:r>
      <w:r w:rsidR="00EB4DEE">
        <w:t xml:space="preserve">flow </w:t>
      </w:r>
      <w:r w:rsidR="00C70BCC">
        <w:t>should be</w:t>
      </w:r>
      <w:r w:rsidR="00EB4DEE">
        <w:t xml:space="preserve"> unidirectional</w:t>
      </w:r>
      <w:r w:rsidR="00C70BCC">
        <w:t xml:space="preserve"> and relatively constant in time</w:t>
      </w:r>
      <w:r>
        <w:t>.</w:t>
      </w:r>
    </w:p>
    <w:p w:rsidR="00A2203D" w:rsidRDefault="00A2203D" w:rsidP="00064437">
      <w:pPr>
        <w:tabs>
          <w:tab w:val="left" w:pos="180"/>
        </w:tabs>
        <w:spacing w:after="240"/>
        <w:ind w:left="187" w:hanging="187"/>
      </w:pPr>
      <w:r>
        <w:t>•</w:t>
      </w:r>
      <w:r>
        <w:tab/>
      </w:r>
      <w:r w:rsidRPr="002E7079">
        <w:rPr>
          <w:b/>
        </w:rPr>
        <w:t xml:space="preserve">Appling QD to contaminants that degrade to regulated </w:t>
      </w:r>
      <w:r w:rsidR="00EB4DEE">
        <w:rPr>
          <w:b/>
        </w:rPr>
        <w:t>breakdown</w:t>
      </w:r>
      <w:r w:rsidR="00EB4DEE" w:rsidRPr="002E7079">
        <w:rPr>
          <w:b/>
        </w:rPr>
        <w:t xml:space="preserve"> </w:t>
      </w:r>
      <w:r w:rsidRPr="002E7079">
        <w:rPr>
          <w:b/>
        </w:rPr>
        <w:t>products</w:t>
      </w:r>
      <w:r>
        <w:t xml:space="preserve">. </w:t>
      </w:r>
      <w:r>
        <w:br/>
        <w:t xml:space="preserve">QD is not </w:t>
      </w:r>
      <w:r w:rsidR="00C70BCC">
        <w:t xml:space="preserve">recommended </w:t>
      </w:r>
      <w:r>
        <w:t xml:space="preserve">for chlorinated VOCs. EPA’s </w:t>
      </w:r>
      <w:hyperlink w:anchor="_Web_Links" w:history="1">
        <w:proofErr w:type="spellStart"/>
        <w:r w:rsidRPr="002E7079">
          <w:rPr>
            <w:rStyle w:val="Hyperlink"/>
          </w:rPr>
          <w:t>Biochlor</w:t>
        </w:r>
        <w:proofErr w:type="spellEnd"/>
      </w:hyperlink>
      <w:r>
        <w:t xml:space="preserve"> is an alternative</w:t>
      </w:r>
      <w:r w:rsidR="00EB4DEE">
        <w:t xml:space="preserve"> for </w:t>
      </w:r>
      <w:r w:rsidR="005163CE">
        <w:t>plumes</w:t>
      </w:r>
      <w:r w:rsidR="00EB4DEE">
        <w:t xml:space="preserve"> </w:t>
      </w:r>
      <w:r w:rsidR="005163CE">
        <w:t>undergoing</w:t>
      </w:r>
      <w:r w:rsidR="00EB4DEE">
        <w:t xml:space="preserve"> reductive </w:t>
      </w:r>
      <w:proofErr w:type="spellStart"/>
      <w:r w:rsidR="00EB4DEE">
        <w:t>dechlorination</w:t>
      </w:r>
      <w:proofErr w:type="spellEnd"/>
      <w:r>
        <w:t>.</w:t>
      </w:r>
    </w:p>
    <w:p w:rsidR="00A2203D" w:rsidRDefault="00A2203D" w:rsidP="00064437">
      <w:pPr>
        <w:tabs>
          <w:tab w:val="left" w:pos="180"/>
        </w:tabs>
        <w:spacing w:after="240"/>
        <w:ind w:left="187" w:hanging="187"/>
      </w:pPr>
      <w:r>
        <w:t>•</w:t>
      </w:r>
      <w:r>
        <w:tab/>
      </w:r>
      <w:r w:rsidRPr="005D697C">
        <w:rPr>
          <w:b/>
        </w:rPr>
        <w:t>Using QD for inorganic contaminants</w:t>
      </w:r>
      <w:r>
        <w:t>.</w:t>
      </w:r>
      <w:r>
        <w:br/>
        <w:t xml:space="preserve">Inorganics may be modeled under certain circumstances. Parameter values must be </w:t>
      </w:r>
      <w:r w:rsidR="004D7224">
        <w:t xml:space="preserve">chosen </w:t>
      </w:r>
      <w:r>
        <w:t>carefully, and the approach must be justified.</w:t>
      </w:r>
    </w:p>
    <w:p w:rsidR="00A2203D" w:rsidRDefault="00A2203D" w:rsidP="00064437">
      <w:pPr>
        <w:tabs>
          <w:tab w:val="left" w:pos="180"/>
        </w:tabs>
        <w:spacing w:after="240"/>
        <w:ind w:left="187" w:hanging="187"/>
      </w:pPr>
      <w:r>
        <w:t>•</w:t>
      </w:r>
      <w:r>
        <w:tab/>
      </w:r>
      <w:r w:rsidRPr="005D697C">
        <w:rPr>
          <w:b/>
        </w:rPr>
        <w:t>Using old data to develop a QD model</w:t>
      </w:r>
      <w:r>
        <w:t>.</w:t>
      </w:r>
      <w:r>
        <w:br/>
        <w:t xml:space="preserve">The QD solution should be based on recent </w:t>
      </w:r>
      <w:r w:rsidR="00EB4DEE">
        <w:t xml:space="preserve">monitoring </w:t>
      </w:r>
      <w:r>
        <w:t xml:space="preserve">data. </w:t>
      </w:r>
    </w:p>
    <w:p w:rsidR="00CC1690" w:rsidRDefault="00CC1690" w:rsidP="00064437">
      <w:pPr>
        <w:tabs>
          <w:tab w:val="left" w:pos="180"/>
        </w:tabs>
        <w:spacing w:after="240"/>
        <w:ind w:left="187" w:hanging="187"/>
      </w:pPr>
      <w:r>
        <w:t>•</w:t>
      </w:r>
      <w:r>
        <w:tab/>
      </w:r>
      <w:r w:rsidRPr="00E73DA3">
        <w:rPr>
          <w:b/>
        </w:rPr>
        <w:t>Demonstrating attainment with QD.</w:t>
      </w:r>
      <w:r>
        <w:br/>
        <w:t xml:space="preserve">A remediator cannot use a fate-and-transport model to demonstrate attainment of a groundwater standard at the point of compliance. Act 2 requires that this be accomplished with the statistical analysis of monitoring well data (Title 25 Pa. Code Section 250.704(b)). </w:t>
      </w:r>
    </w:p>
    <w:p w:rsidR="00A2203D" w:rsidRDefault="00A2203D" w:rsidP="00064437">
      <w:pPr>
        <w:tabs>
          <w:tab w:val="left" w:pos="180"/>
        </w:tabs>
        <w:spacing w:after="240"/>
        <w:ind w:left="187" w:hanging="187"/>
      </w:pPr>
      <w:r>
        <w:t>•</w:t>
      </w:r>
      <w:r>
        <w:tab/>
      </w:r>
      <w:r w:rsidRPr="005D697C">
        <w:rPr>
          <w:b/>
        </w:rPr>
        <w:t>Failing to map the observed area of impact</w:t>
      </w:r>
      <w:r>
        <w:t>.</w:t>
      </w:r>
      <w:r>
        <w:br/>
      </w:r>
      <w:r w:rsidR="00452B09">
        <w:t xml:space="preserve">Concentration </w:t>
      </w:r>
      <w:r>
        <w:t xml:space="preserve">maps using contemporaneous monitoring well data should be submitted for all contaminants of concern. (Refer, for example, to </w:t>
      </w:r>
      <w:r w:rsidR="00EB4DEE">
        <w:t xml:space="preserve">Title 25 Pa. Code Section </w:t>
      </w:r>
      <w:r>
        <w:t>245.313(b</w:t>
      </w:r>
      <w:proofErr w:type="gramStart"/>
      <w:r>
        <w:t>)(</w:t>
      </w:r>
      <w:proofErr w:type="gramEnd"/>
      <w:r>
        <w:t>4)(</w:t>
      </w:r>
      <w:proofErr w:type="spellStart"/>
      <w:r>
        <w:t>i</w:t>
      </w:r>
      <w:proofErr w:type="spellEnd"/>
      <w:r>
        <w:t>)</w:t>
      </w:r>
      <w:r w:rsidR="008917F0">
        <w:t>.</w:t>
      </w:r>
      <w:r>
        <w:t>)</w:t>
      </w:r>
    </w:p>
    <w:p w:rsidR="00A2203D" w:rsidRDefault="00A2203D" w:rsidP="00064437">
      <w:pPr>
        <w:tabs>
          <w:tab w:val="left" w:pos="180"/>
        </w:tabs>
        <w:spacing w:after="240"/>
        <w:ind w:left="187" w:hanging="187"/>
      </w:pPr>
      <w:r>
        <w:t>•</w:t>
      </w:r>
      <w:r>
        <w:tab/>
      </w:r>
      <w:r w:rsidRPr="005D697C">
        <w:rPr>
          <w:b/>
        </w:rPr>
        <w:t>Failing to plot the modeled plume area on a map, with the centerline shown</w:t>
      </w:r>
      <w:r>
        <w:t>.</w:t>
      </w:r>
      <w:r>
        <w:br/>
        <w:t xml:space="preserve">The maximum plume extent in </w:t>
      </w:r>
      <w:proofErr w:type="spellStart"/>
      <w:r>
        <w:t>plan</w:t>
      </w:r>
      <w:proofErr w:type="spellEnd"/>
      <w:r>
        <w:t xml:space="preserve"> view should be depicted.</w:t>
      </w:r>
    </w:p>
    <w:p w:rsidR="00A2203D" w:rsidRDefault="00A2203D" w:rsidP="00064437">
      <w:pPr>
        <w:tabs>
          <w:tab w:val="left" w:pos="180"/>
        </w:tabs>
        <w:spacing w:after="240"/>
        <w:ind w:left="187" w:hanging="187"/>
      </w:pPr>
      <w:r>
        <w:t>•</w:t>
      </w:r>
      <w:r>
        <w:tab/>
      </w:r>
      <w:r w:rsidRPr="005D697C">
        <w:rPr>
          <w:b/>
        </w:rPr>
        <w:t>Failing to map impacted downgradient properties</w:t>
      </w:r>
      <w:r>
        <w:t>.</w:t>
      </w:r>
      <w:r>
        <w:br/>
        <w:t xml:space="preserve">All potentially affected properties (both down- and side-gradient), as predicted by the QD solution, should be depicted on the map. This is essential </w:t>
      </w:r>
      <w:r w:rsidR="00582FE9">
        <w:t>if there is to be an</w:t>
      </w:r>
      <w:r>
        <w:t xml:space="preserve"> environmental covenant.</w:t>
      </w:r>
    </w:p>
    <w:p w:rsidR="00A2203D" w:rsidRDefault="00A2203D" w:rsidP="00064437">
      <w:pPr>
        <w:tabs>
          <w:tab w:val="left" w:pos="180"/>
        </w:tabs>
        <w:spacing w:after="240"/>
        <w:ind w:left="187" w:hanging="187"/>
      </w:pPr>
      <w:r>
        <w:t>•</w:t>
      </w:r>
      <w:r>
        <w:tab/>
      </w:r>
      <w:r w:rsidRPr="005D697C">
        <w:rPr>
          <w:b/>
        </w:rPr>
        <w:t>Submitting a report without the seal of a licensed professional geologist</w:t>
      </w:r>
      <w:r>
        <w:t>.</w:t>
      </w:r>
      <w:r>
        <w:br/>
        <w:t xml:space="preserve">Fate-and-transport modeling constitutes a subsurface interpretation. A professional seal is required </w:t>
      </w:r>
      <w:r w:rsidR="00EB4DEE">
        <w:t xml:space="preserve">for such analyses </w:t>
      </w:r>
      <w:r>
        <w:t xml:space="preserve">under </w:t>
      </w:r>
      <w:r w:rsidR="00582FE9">
        <w:t xml:space="preserve">DEP’s </w:t>
      </w:r>
      <w:r>
        <w:t xml:space="preserve">regulations (e.g., </w:t>
      </w:r>
      <w:r w:rsidR="00EB4DEE">
        <w:t xml:space="preserve">Title 25 Pa. Code Sections </w:t>
      </w:r>
      <w:r>
        <w:t>245.314</w:t>
      </w:r>
      <w:r w:rsidR="00EB4DEE">
        <w:t xml:space="preserve"> and </w:t>
      </w:r>
      <w:r>
        <w:t>250.408(a)).</w:t>
      </w:r>
      <w:r w:rsidR="00EB4DEE">
        <w:t xml:space="preserve"> </w:t>
      </w:r>
    </w:p>
    <w:p w:rsidR="00A2203D" w:rsidRDefault="00A2203D" w:rsidP="00A2203D">
      <w:bookmarkStart w:id="11" w:name="_QD_Model_Input"/>
      <w:bookmarkEnd w:id="11"/>
    </w:p>
    <w:p w:rsidR="0030449D" w:rsidRDefault="0030449D" w:rsidP="00A2203D">
      <w:pPr>
        <w:pStyle w:val="Heading1"/>
      </w:pPr>
      <w:bookmarkStart w:id="12" w:name="_QD_Model_Input_1"/>
      <w:bookmarkStart w:id="13" w:name="_Toc381357778"/>
      <w:bookmarkEnd w:id="12"/>
      <w:r>
        <w:t xml:space="preserve">QD Model </w:t>
      </w:r>
      <w:r w:rsidR="000971FB">
        <w:t xml:space="preserve">Input </w:t>
      </w:r>
      <w:r>
        <w:t>Parameters</w:t>
      </w:r>
      <w:bookmarkEnd w:id="13"/>
    </w:p>
    <w:p w:rsidR="0030449D" w:rsidRDefault="002D3203">
      <w:r>
        <w:t xml:space="preserve">This section describes each of the input parameters in the QD model. The user must ensure that appropriate </w:t>
      </w:r>
      <w:r w:rsidR="00C84BD4">
        <w:t xml:space="preserve">site-specific </w:t>
      </w:r>
      <w:r>
        <w:t>values are input for each parameter</w:t>
      </w:r>
      <w:r w:rsidR="002D50BA">
        <w:t>, as the default selections are not generally applicable</w:t>
      </w:r>
      <w:r>
        <w:t xml:space="preserve">, and that </w:t>
      </w:r>
      <w:r w:rsidR="00B205FE">
        <w:t xml:space="preserve">the </w:t>
      </w:r>
      <w:r>
        <w:t>units are correct. We emphasize the selection of conservative values.</w:t>
      </w:r>
    </w:p>
    <w:p w:rsidR="002D3203" w:rsidRDefault="002D3203"/>
    <w:p w:rsidR="002D3203" w:rsidRDefault="002D3203">
      <w:r>
        <w:t xml:space="preserve">The sensitivity of the model to changes in the values is indicated </w:t>
      </w:r>
      <w:r w:rsidR="005C00F0">
        <w:t xml:space="preserve">below </w:t>
      </w:r>
      <w:r>
        <w:t xml:space="preserve">in a qualitative manner. </w:t>
      </w:r>
      <w:r w:rsidR="002D50BA">
        <w:t xml:space="preserve">More attention should be paid to high-sensitivity parameters in the </w:t>
      </w:r>
      <w:r w:rsidR="00FB3546">
        <w:t>calibration. The</w:t>
      </w:r>
      <w:r>
        <w:t xml:space="preserve"> sensitivity of the </w:t>
      </w:r>
      <w:r w:rsidR="00461EEB">
        <w:t>solution</w:t>
      </w:r>
      <w:r>
        <w:t xml:space="preserve"> should be evaluated by the user for every </w:t>
      </w:r>
      <w:r w:rsidR="00461EEB">
        <w:t>site model</w:t>
      </w:r>
      <w:r w:rsidR="001C4674">
        <w:t xml:space="preserve"> (</w:t>
      </w:r>
      <w:hyperlink w:anchor="_Methodology" w:history="1">
        <w:r w:rsidR="001C4674" w:rsidRPr="001C4674">
          <w:rPr>
            <w:rStyle w:val="Hyperlink"/>
          </w:rPr>
          <w:t>Sectio</w:t>
        </w:r>
        <w:r w:rsidR="005C00F0">
          <w:rPr>
            <w:rStyle w:val="Hyperlink"/>
          </w:rPr>
          <w:t>n 5</w:t>
        </w:r>
        <w:r w:rsidR="001C4674" w:rsidRPr="001C4674">
          <w:rPr>
            <w:rStyle w:val="Hyperlink"/>
          </w:rPr>
          <w:t>.2</w:t>
        </w:r>
      </w:hyperlink>
      <w:r w:rsidR="001C4674">
        <w:t>)</w:t>
      </w:r>
      <w:r w:rsidR="00461EEB">
        <w:t>. Keep in mind that different aspects of the solution (e.g., centerline concentrations, plume length, plume width</w:t>
      </w:r>
      <w:r w:rsidR="00453715">
        <w:t>, mass loading</w:t>
      </w:r>
      <w:r w:rsidR="00461EEB">
        <w:t xml:space="preserve">) are </w:t>
      </w:r>
      <w:r w:rsidR="002D50BA">
        <w:t xml:space="preserve">not all </w:t>
      </w:r>
      <w:r w:rsidR="00461EEB">
        <w:t xml:space="preserve">sensitive to </w:t>
      </w:r>
      <w:r w:rsidR="002D50BA">
        <w:t xml:space="preserve">the same </w:t>
      </w:r>
      <w:r w:rsidR="00461EEB">
        <w:t>parameters.</w:t>
      </w:r>
      <w:r w:rsidR="00453715">
        <w:t xml:space="preserve"> Here sensitivity is indicated with respect to centerline concentrations.</w:t>
      </w:r>
    </w:p>
    <w:p w:rsidR="008A1A54" w:rsidRDefault="008A1A54"/>
    <w:p w:rsidR="008A1A54" w:rsidRDefault="001C4674">
      <w:r>
        <w:t>The QD coordinate system is defined as:</w:t>
      </w:r>
    </w:p>
    <w:p w:rsidR="001C4674" w:rsidRDefault="001C4674" w:rsidP="001C4674">
      <w:pPr>
        <w:tabs>
          <w:tab w:val="left" w:pos="360"/>
        </w:tabs>
      </w:pPr>
      <w:r>
        <w:tab/>
      </w:r>
      <w:proofErr w:type="gramStart"/>
      <w:r>
        <w:rPr>
          <w:i/>
        </w:rPr>
        <w:t>x</w:t>
      </w:r>
      <w:r>
        <w:t>—</w:t>
      </w:r>
      <w:proofErr w:type="gramEnd"/>
      <w:r>
        <w:t>flow direction (longitudinal)</w:t>
      </w:r>
    </w:p>
    <w:p w:rsidR="001C4674" w:rsidRDefault="001C4674" w:rsidP="001C4674">
      <w:pPr>
        <w:tabs>
          <w:tab w:val="left" w:pos="360"/>
        </w:tabs>
      </w:pPr>
      <w:r>
        <w:tab/>
      </w:r>
      <w:proofErr w:type="gramStart"/>
      <w:r>
        <w:rPr>
          <w:i/>
        </w:rPr>
        <w:t>y</w:t>
      </w:r>
      <w:r>
        <w:t>—</w:t>
      </w:r>
      <w:proofErr w:type="gramEnd"/>
      <w:r>
        <w:t>perpendicular to flow (transverse)</w:t>
      </w:r>
    </w:p>
    <w:p w:rsidR="001C4674" w:rsidRPr="001C4674" w:rsidRDefault="001C4674" w:rsidP="001C4674">
      <w:pPr>
        <w:tabs>
          <w:tab w:val="left" w:pos="360"/>
        </w:tabs>
      </w:pPr>
      <w:r>
        <w:tab/>
      </w:r>
      <w:proofErr w:type="gramStart"/>
      <w:r>
        <w:rPr>
          <w:i/>
        </w:rPr>
        <w:t>z—</w:t>
      </w:r>
      <w:proofErr w:type="gramEnd"/>
      <w:r>
        <w:t>vertical.</w:t>
      </w:r>
    </w:p>
    <w:p w:rsidR="00C33BCF" w:rsidRDefault="00C33BCF"/>
    <w:p w:rsidR="00C33BCF" w:rsidRDefault="00C33BCF">
      <w:r>
        <w:t>The QD spreadsheet cells have been color-coded to assist in data entry.</w:t>
      </w:r>
    </w:p>
    <w:p w:rsidR="00C33BCF" w:rsidRDefault="00C33BCF" w:rsidP="00C33BCF">
      <w:pPr>
        <w:tabs>
          <w:tab w:val="left" w:pos="360"/>
        </w:tabs>
      </w:pPr>
      <w:r>
        <w:tab/>
        <w:t>Light green—these cells are for the input parameters</w:t>
      </w:r>
    </w:p>
    <w:p w:rsidR="00C33BCF" w:rsidRDefault="00C33BCF" w:rsidP="00C33BCF">
      <w:pPr>
        <w:tabs>
          <w:tab w:val="left" w:pos="360"/>
        </w:tabs>
      </w:pPr>
      <w:r>
        <w:tab/>
        <w:t>Light yellow—these cells are locked and they are calculated by the spreadsheet</w:t>
      </w:r>
    </w:p>
    <w:p w:rsidR="002D3203" w:rsidRDefault="00C33BCF" w:rsidP="002D3203">
      <w:pPr>
        <w:tabs>
          <w:tab w:val="left" w:pos="360"/>
        </w:tabs>
      </w:pPr>
      <w:r>
        <w:tab/>
        <w:t>Other colors—these cells are used for labels and other information not critical to using QD.</w:t>
      </w:r>
    </w:p>
    <w:p w:rsidR="00611212" w:rsidRDefault="00611212" w:rsidP="004733A6">
      <w:pPr>
        <w:pStyle w:val="Heading2"/>
      </w:pPr>
      <w:bookmarkStart w:id="14" w:name="_Toc381357779"/>
      <w:r>
        <w:t>Source Concentration</w:t>
      </w:r>
      <w:bookmarkEnd w:id="14"/>
    </w:p>
    <w:tbl>
      <w:tblPr>
        <w:tblW w:w="32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1084"/>
        <w:gridCol w:w="1048"/>
        <w:gridCol w:w="890"/>
        <w:gridCol w:w="892"/>
        <w:gridCol w:w="1432"/>
        <w:gridCol w:w="891"/>
      </w:tblGrid>
      <w:tr w:rsidR="007A7057" w:rsidTr="00064437">
        <w:tc>
          <w:tcPr>
            <w:tcW w:w="828" w:type="pct"/>
            <w:tcBorders>
              <w:bottom w:val="single" w:sz="4" w:space="0" w:color="auto"/>
              <w:right w:val="nil"/>
            </w:tcBorders>
            <w:shd w:val="clear" w:color="auto" w:fill="auto"/>
          </w:tcPr>
          <w:p w:rsidR="007A7057" w:rsidRPr="006F405C" w:rsidRDefault="007A7057">
            <w:pPr>
              <w:rPr>
                <w:b/>
              </w:rPr>
            </w:pPr>
            <w:r w:rsidRPr="006F405C">
              <w:rPr>
                <w:b/>
              </w:rPr>
              <w:t>Symbol:</w:t>
            </w:r>
          </w:p>
        </w:tc>
        <w:tc>
          <w:tcPr>
            <w:tcW w:w="849" w:type="pct"/>
            <w:tcBorders>
              <w:left w:val="nil"/>
              <w:bottom w:val="single" w:sz="4" w:space="0" w:color="auto"/>
            </w:tcBorders>
            <w:shd w:val="clear" w:color="auto" w:fill="auto"/>
          </w:tcPr>
          <w:p w:rsidR="007A7057" w:rsidRPr="006F405C" w:rsidRDefault="007A7057">
            <w:pPr>
              <w:rPr>
                <w:vertAlign w:val="subscript"/>
              </w:rPr>
            </w:pPr>
            <w:r w:rsidRPr="006F405C">
              <w:rPr>
                <w:i/>
              </w:rPr>
              <w:t>C</w:t>
            </w:r>
            <w:r w:rsidRPr="006F405C">
              <w:rPr>
                <w:vertAlign w:val="subscript"/>
              </w:rPr>
              <w:t>0</w:t>
            </w:r>
          </w:p>
        </w:tc>
        <w:tc>
          <w:tcPr>
            <w:tcW w:w="722" w:type="pct"/>
            <w:tcBorders>
              <w:bottom w:val="single" w:sz="4" w:space="0" w:color="auto"/>
              <w:right w:val="nil"/>
            </w:tcBorders>
            <w:shd w:val="clear" w:color="auto" w:fill="auto"/>
          </w:tcPr>
          <w:p w:rsidR="007A7057" w:rsidRPr="006F405C" w:rsidRDefault="007A7057">
            <w:pPr>
              <w:rPr>
                <w:b/>
              </w:rPr>
            </w:pPr>
            <w:r w:rsidRPr="006F405C">
              <w:rPr>
                <w:b/>
              </w:rPr>
              <w:t>Units:</w:t>
            </w:r>
          </w:p>
        </w:tc>
        <w:tc>
          <w:tcPr>
            <w:tcW w:w="723" w:type="pct"/>
            <w:tcBorders>
              <w:left w:val="nil"/>
              <w:bottom w:val="single" w:sz="4" w:space="0" w:color="auto"/>
            </w:tcBorders>
            <w:shd w:val="clear" w:color="auto" w:fill="auto"/>
          </w:tcPr>
          <w:p w:rsidR="007A7057" w:rsidRDefault="007A7057">
            <w:r>
              <w:t>mg/L</w:t>
            </w:r>
          </w:p>
        </w:tc>
        <w:tc>
          <w:tcPr>
            <w:tcW w:w="1156" w:type="pct"/>
            <w:tcBorders>
              <w:bottom w:val="single" w:sz="4" w:space="0" w:color="auto"/>
              <w:right w:val="nil"/>
            </w:tcBorders>
            <w:shd w:val="clear" w:color="auto" w:fill="auto"/>
          </w:tcPr>
          <w:p w:rsidR="007A7057" w:rsidRPr="006F405C" w:rsidRDefault="002D3203">
            <w:pPr>
              <w:rPr>
                <w:b/>
              </w:rPr>
            </w:pPr>
            <w:r w:rsidRPr="006F405C">
              <w:rPr>
                <w:b/>
              </w:rPr>
              <w:t>Sensitivity</w:t>
            </w:r>
            <w:r w:rsidR="007A7057" w:rsidRPr="006F405C">
              <w:rPr>
                <w:b/>
              </w:rPr>
              <w:t>:</w:t>
            </w:r>
          </w:p>
        </w:tc>
        <w:tc>
          <w:tcPr>
            <w:tcW w:w="723" w:type="pct"/>
            <w:tcBorders>
              <w:left w:val="nil"/>
              <w:bottom w:val="single" w:sz="4" w:space="0" w:color="auto"/>
            </w:tcBorders>
            <w:shd w:val="clear" w:color="auto" w:fill="auto"/>
          </w:tcPr>
          <w:p w:rsidR="007A7057" w:rsidRPr="00B95D8E" w:rsidRDefault="002D3203">
            <w:r w:rsidRPr="00B95D8E">
              <w:t>High</w:t>
            </w:r>
          </w:p>
        </w:tc>
      </w:tr>
    </w:tbl>
    <w:p w:rsidR="00461EEB" w:rsidRDefault="00461EEB"/>
    <w:p w:rsidR="00611212" w:rsidRDefault="00461EEB">
      <w:r>
        <w:t>The model assumes a uniform, constant aqueous phase source concentration. That is, the contaminant source does not vary spatially, and it does not decay with time. The source takes the form of a vertical plane oriented perpendicular to the groundwater flow direction. It should be located at the downgradient limit of the identified source area. This might be the zone of impacted soils</w:t>
      </w:r>
      <w:r w:rsidR="001D1507">
        <w:t xml:space="preserve">, the extent </w:t>
      </w:r>
      <w:r w:rsidR="0015093B">
        <w:t>of LNAPL</w:t>
      </w:r>
      <w:r>
        <w:t xml:space="preserve">, the area of maximum groundwater concentrations, the tank field, or </w:t>
      </w:r>
      <w:r w:rsidR="001D1507">
        <w:t xml:space="preserve">the </w:t>
      </w:r>
      <w:r>
        <w:t>spill area.</w:t>
      </w:r>
    </w:p>
    <w:p w:rsidR="001823D7" w:rsidRDefault="001823D7"/>
    <w:p w:rsidR="00461EEB" w:rsidRPr="001823D7" w:rsidRDefault="001823D7">
      <w:r>
        <w:t xml:space="preserve">The source concentration should be selected from well data that is concurrent with the calibration point data. </w:t>
      </w:r>
      <w:r w:rsidR="00AC0755">
        <w:t>Therefore</w:t>
      </w:r>
      <w:r>
        <w:t>, one should not use historic source concentrations and current calibration well concentrations. If</w:t>
      </w:r>
      <w:r w:rsidR="00377C7E" w:rsidRPr="001823D7">
        <w:rPr>
          <w:i/>
        </w:rPr>
        <w:t xml:space="preserve"> C</w:t>
      </w:r>
      <w:r w:rsidR="00377C7E" w:rsidRPr="001823D7">
        <w:rPr>
          <w:vertAlign w:val="subscript"/>
        </w:rPr>
        <w:t>0</w:t>
      </w:r>
      <w:r w:rsidR="00377C7E" w:rsidRPr="001823D7">
        <w:t xml:space="preserve"> </w:t>
      </w:r>
      <w:r>
        <w:t>is uncertain</w:t>
      </w:r>
      <w:r w:rsidR="00C84BD4">
        <w:t xml:space="preserve"> (e.g., there are no wells at the source)</w:t>
      </w:r>
      <w:r>
        <w:t xml:space="preserve">, then it </w:t>
      </w:r>
      <w:r w:rsidR="004C68A8">
        <w:t>should</w:t>
      </w:r>
      <w:r w:rsidR="004C68A8" w:rsidRPr="001823D7">
        <w:t xml:space="preserve"> </w:t>
      </w:r>
      <w:r w:rsidR="00377C7E" w:rsidRPr="001823D7">
        <w:t xml:space="preserve">be a </w:t>
      </w:r>
      <w:r w:rsidR="004C68A8">
        <w:t>variable</w:t>
      </w:r>
      <w:r w:rsidR="00377C7E" w:rsidRPr="001823D7">
        <w:t>, in which case measured values would serve as a lower bound.</w:t>
      </w:r>
    </w:p>
    <w:p w:rsidR="00737D51" w:rsidRDefault="00737D51"/>
    <w:p w:rsidR="008A6930" w:rsidRPr="00703F8A" w:rsidRDefault="00737D51">
      <w:r>
        <w:t xml:space="preserve">If the source concentration has decayed significantly over time, then QD is </w:t>
      </w:r>
      <w:r w:rsidRPr="00DA6BD4">
        <w:rPr>
          <w:i/>
        </w:rPr>
        <w:t>not an appropriate model</w:t>
      </w:r>
      <w:r>
        <w:t>.</w:t>
      </w:r>
      <w:r w:rsidR="00780A76">
        <w:t xml:space="preserve"> Source decay occurs via mass loss from dissolution</w:t>
      </w:r>
      <w:r w:rsidR="00B205FE">
        <w:t xml:space="preserve"> and other processes</w:t>
      </w:r>
      <w:r w:rsidR="00780A76">
        <w:t>.</w:t>
      </w:r>
      <w:r>
        <w:t xml:space="preserve"> EPA’s </w:t>
      </w:r>
      <w:proofErr w:type="spellStart"/>
      <w:r>
        <w:t>Bioscreen</w:t>
      </w:r>
      <w:proofErr w:type="spellEnd"/>
      <w:r>
        <w:t xml:space="preserve"> or the </w:t>
      </w:r>
      <w:proofErr w:type="spellStart"/>
      <w:r>
        <w:t>Bioscreen</w:t>
      </w:r>
      <w:proofErr w:type="spellEnd"/>
      <w:r>
        <w:t>-AT model may be used to simulate an exponentially decaying source</w:t>
      </w:r>
      <w:r w:rsidR="001823D7">
        <w:t xml:space="preserve">; see </w:t>
      </w:r>
      <w:hyperlink w:anchor="App5" w:history="1">
        <w:r w:rsidR="001823D7" w:rsidRPr="001823D7">
          <w:rPr>
            <w:rStyle w:val="Hyperlink"/>
          </w:rPr>
          <w:t xml:space="preserve">Example </w:t>
        </w:r>
        <w:r w:rsidR="0020546F">
          <w:rPr>
            <w:rStyle w:val="Hyperlink"/>
          </w:rPr>
          <w:t>A4</w:t>
        </w:r>
        <w:r w:rsidR="001823D7" w:rsidRPr="001823D7">
          <w:rPr>
            <w:rStyle w:val="Hyperlink"/>
          </w:rPr>
          <w:t>.2</w:t>
        </w:r>
      </w:hyperlink>
      <w:r>
        <w:t xml:space="preserve">. Historical data may be used to estimate the decay rate or source half-life. Applying QD to problems where there has been source loss may </w:t>
      </w:r>
      <w:r>
        <w:rPr>
          <w:i/>
        </w:rPr>
        <w:t>not</w:t>
      </w:r>
      <w:r>
        <w:t xml:space="preserve"> be conservative.</w:t>
      </w:r>
      <w:bookmarkStart w:id="15" w:name="_Dispersivities"/>
      <w:bookmarkEnd w:id="15"/>
      <w:r w:rsidR="008A6930">
        <w:br w:type="page"/>
      </w:r>
    </w:p>
    <w:p w:rsidR="00611212" w:rsidRDefault="00611212" w:rsidP="004733A6">
      <w:pPr>
        <w:pStyle w:val="Heading2"/>
      </w:pPr>
      <w:bookmarkStart w:id="16" w:name="_Toc381357780"/>
      <w:proofErr w:type="spellStart"/>
      <w:r>
        <w:lastRenderedPageBreak/>
        <w:t>Dispersivit</w:t>
      </w:r>
      <w:r w:rsidR="007B625E">
        <w:t>ies</w:t>
      </w:r>
      <w:bookmarkEnd w:id="16"/>
      <w:proofErr w:type="spellEnd"/>
    </w:p>
    <w:tbl>
      <w:tblPr>
        <w:tblW w:w="32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1084"/>
        <w:gridCol w:w="1048"/>
        <w:gridCol w:w="890"/>
        <w:gridCol w:w="892"/>
        <w:gridCol w:w="1432"/>
        <w:gridCol w:w="891"/>
      </w:tblGrid>
      <w:tr w:rsidR="00377C7E" w:rsidTr="00064437">
        <w:tc>
          <w:tcPr>
            <w:tcW w:w="828" w:type="pct"/>
            <w:tcBorders>
              <w:bottom w:val="single" w:sz="4" w:space="0" w:color="auto"/>
              <w:right w:val="nil"/>
            </w:tcBorders>
            <w:shd w:val="clear" w:color="auto" w:fill="auto"/>
            <w:vAlign w:val="center"/>
          </w:tcPr>
          <w:p w:rsidR="00377C7E" w:rsidRPr="006F405C" w:rsidRDefault="00377C7E" w:rsidP="00CD3568">
            <w:pPr>
              <w:rPr>
                <w:b/>
              </w:rPr>
            </w:pPr>
            <w:r w:rsidRPr="006F405C">
              <w:rPr>
                <w:b/>
              </w:rPr>
              <w:t>Symbol:</w:t>
            </w:r>
          </w:p>
        </w:tc>
        <w:tc>
          <w:tcPr>
            <w:tcW w:w="849" w:type="pct"/>
            <w:tcBorders>
              <w:left w:val="nil"/>
              <w:bottom w:val="single" w:sz="4" w:space="0" w:color="auto"/>
            </w:tcBorders>
            <w:shd w:val="clear" w:color="auto" w:fill="auto"/>
            <w:vAlign w:val="center"/>
          </w:tcPr>
          <w:p w:rsidR="00377C7E" w:rsidRPr="006F405C" w:rsidRDefault="00377C7E" w:rsidP="00CD3568">
            <w:pPr>
              <w:rPr>
                <w:rFonts w:ascii="Symbol" w:hAnsi="Symbol"/>
                <w:i/>
                <w:vertAlign w:val="subscript"/>
              </w:rPr>
            </w:pPr>
            <w:r w:rsidRPr="006F405C">
              <w:rPr>
                <w:rFonts w:ascii="Symbol" w:hAnsi="Symbol"/>
                <w:i/>
              </w:rPr>
              <w:t></w:t>
            </w:r>
          </w:p>
        </w:tc>
        <w:tc>
          <w:tcPr>
            <w:tcW w:w="722" w:type="pct"/>
            <w:tcBorders>
              <w:bottom w:val="single" w:sz="4" w:space="0" w:color="auto"/>
              <w:right w:val="nil"/>
            </w:tcBorders>
            <w:shd w:val="clear" w:color="auto" w:fill="auto"/>
            <w:vAlign w:val="center"/>
          </w:tcPr>
          <w:p w:rsidR="00377C7E" w:rsidRPr="006F405C" w:rsidRDefault="00377C7E" w:rsidP="00897EC5">
            <w:pPr>
              <w:rPr>
                <w:b/>
              </w:rPr>
            </w:pPr>
            <w:r w:rsidRPr="006F405C">
              <w:rPr>
                <w:b/>
              </w:rPr>
              <w:t>Units:</w:t>
            </w:r>
          </w:p>
        </w:tc>
        <w:tc>
          <w:tcPr>
            <w:tcW w:w="723" w:type="pct"/>
            <w:tcBorders>
              <w:left w:val="nil"/>
              <w:bottom w:val="single" w:sz="4" w:space="0" w:color="auto"/>
            </w:tcBorders>
            <w:shd w:val="clear" w:color="auto" w:fill="auto"/>
            <w:vAlign w:val="center"/>
          </w:tcPr>
          <w:p w:rsidR="00377C7E" w:rsidRDefault="00377C7E" w:rsidP="008C7A48">
            <w:proofErr w:type="spellStart"/>
            <w:r>
              <w:t>ft</w:t>
            </w:r>
            <w:proofErr w:type="spellEnd"/>
          </w:p>
        </w:tc>
        <w:tc>
          <w:tcPr>
            <w:tcW w:w="1156" w:type="pct"/>
            <w:tcBorders>
              <w:bottom w:val="single" w:sz="4" w:space="0" w:color="auto"/>
              <w:right w:val="nil"/>
            </w:tcBorders>
            <w:shd w:val="clear" w:color="auto" w:fill="auto"/>
            <w:vAlign w:val="center"/>
          </w:tcPr>
          <w:p w:rsidR="00377C7E" w:rsidRPr="006F405C" w:rsidRDefault="00377C7E" w:rsidP="005407E4">
            <w:pPr>
              <w:rPr>
                <w:b/>
              </w:rPr>
            </w:pPr>
            <w:r w:rsidRPr="006F405C">
              <w:rPr>
                <w:b/>
              </w:rPr>
              <w:t>Sensitivity:</w:t>
            </w:r>
          </w:p>
        </w:tc>
        <w:tc>
          <w:tcPr>
            <w:tcW w:w="723" w:type="pct"/>
            <w:tcBorders>
              <w:left w:val="nil"/>
              <w:bottom w:val="single" w:sz="4" w:space="0" w:color="auto"/>
            </w:tcBorders>
            <w:shd w:val="clear" w:color="auto" w:fill="auto"/>
            <w:vAlign w:val="center"/>
          </w:tcPr>
          <w:p w:rsidR="00377C7E" w:rsidRDefault="00126A42" w:rsidP="005407E4">
            <w:r>
              <w:t>High</w:t>
            </w:r>
          </w:p>
        </w:tc>
      </w:tr>
    </w:tbl>
    <w:p w:rsidR="00611212" w:rsidRDefault="00611212"/>
    <w:p w:rsidR="000D33B1" w:rsidRDefault="00E72A92">
      <w:r>
        <w:t xml:space="preserve">Dispersion is the process of mechanical mixing of </w:t>
      </w:r>
      <w:r w:rsidR="00F15618">
        <w:t>a solute</w:t>
      </w:r>
      <w:r>
        <w:t xml:space="preserve"> in groundwater.</w:t>
      </w:r>
      <w:r w:rsidR="002F6E2B">
        <w:t xml:space="preserve"> Dispersion is a property of the aquifer, not the contaminant.</w:t>
      </w:r>
      <w:r>
        <w:t xml:space="preserve"> It causes some spreading of the contamination forward of the </w:t>
      </w:r>
      <w:proofErr w:type="spellStart"/>
      <w:r>
        <w:t>advective</w:t>
      </w:r>
      <w:proofErr w:type="spellEnd"/>
      <w:r>
        <w:t xml:space="preserve"> front as well as laterally. The user input</w:t>
      </w:r>
      <w:r w:rsidR="001C27A5">
        <w:t>s</w:t>
      </w:r>
      <w:r>
        <w:t xml:space="preserve"> three </w:t>
      </w:r>
      <w:proofErr w:type="spellStart"/>
      <w:r>
        <w:t>dispersivities</w:t>
      </w:r>
      <w:proofErr w:type="spellEnd"/>
      <w:r>
        <w:t>: longitudinal (</w:t>
      </w:r>
      <w:r>
        <w:rPr>
          <w:rFonts w:ascii="Symbol" w:hAnsi="Symbol"/>
          <w:i/>
        </w:rPr>
        <w:t></w:t>
      </w:r>
      <w:r>
        <w:rPr>
          <w:i/>
          <w:vertAlign w:val="subscript"/>
        </w:rPr>
        <w:t>x</w:t>
      </w:r>
      <w:r>
        <w:t>), transverse (</w:t>
      </w:r>
      <w:r>
        <w:rPr>
          <w:rFonts w:ascii="Symbol" w:hAnsi="Symbol"/>
          <w:i/>
        </w:rPr>
        <w:t></w:t>
      </w:r>
      <w:r>
        <w:rPr>
          <w:i/>
          <w:vertAlign w:val="subscript"/>
        </w:rPr>
        <w:t>y</w:t>
      </w:r>
      <w:r>
        <w:t>), and vertical (</w:t>
      </w:r>
      <w:r>
        <w:rPr>
          <w:rFonts w:ascii="Symbol" w:hAnsi="Symbol"/>
          <w:i/>
        </w:rPr>
        <w:t></w:t>
      </w:r>
      <w:r>
        <w:rPr>
          <w:i/>
          <w:vertAlign w:val="subscript"/>
        </w:rPr>
        <w:t>z</w:t>
      </w:r>
      <w:r>
        <w:t xml:space="preserve">). </w:t>
      </w:r>
    </w:p>
    <w:p w:rsidR="001C4674" w:rsidRDefault="001C4674"/>
    <w:p w:rsidR="001C4674" w:rsidRDefault="001C4674">
      <w:proofErr w:type="spellStart"/>
      <w:r>
        <w:t>Dispersivities</w:t>
      </w:r>
      <w:proofErr w:type="spellEnd"/>
      <w:r>
        <w:t xml:space="preserve"> cannot be measured in the field, and values must be estimated</w:t>
      </w:r>
      <w:r w:rsidR="00E52854">
        <w:t xml:space="preserve"> (</w:t>
      </w:r>
      <w:hyperlink w:anchor="App3" w:history="1">
        <w:r w:rsidR="00E52854" w:rsidRPr="00755556">
          <w:rPr>
            <w:rStyle w:val="Hyperlink"/>
          </w:rPr>
          <w:t>Appendix 3</w:t>
        </w:r>
      </w:hyperlink>
      <w:r w:rsidR="00755556">
        <w:t>)</w:t>
      </w:r>
      <w:r>
        <w:t xml:space="preserve">. It is important to recognize that dispersion is a function of the transport scale; the larger the scale, the larger the dispersion. Therefore, dispersion likely increases with </w:t>
      </w:r>
      <w:r>
        <w:rPr>
          <w:i/>
        </w:rPr>
        <w:t>x</w:t>
      </w:r>
      <w:r>
        <w:t xml:space="preserve"> rather than having a fixed value as in QD. </w:t>
      </w:r>
    </w:p>
    <w:p w:rsidR="00AA62C3" w:rsidRDefault="00AA62C3"/>
    <w:p w:rsidR="00AA62C3" w:rsidRDefault="00AA62C3">
      <w:r>
        <w:t xml:space="preserve">Several relationships for </w:t>
      </w:r>
      <w:proofErr w:type="spellStart"/>
      <w:r>
        <w:t>dispersivity</w:t>
      </w:r>
      <w:proofErr w:type="spellEnd"/>
      <w:r>
        <w:t xml:space="preserve"> have been published. </w:t>
      </w:r>
      <w:r w:rsidR="000F4B78">
        <w:t xml:space="preserve">DEP recommends an initial value of </w:t>
      </w:r>
      <w:r>
        <w:rPr>
          <w:rFonts w:ascii="Symbol" w:hAnsi="Symbol"/>
          <w:i/>
        </w:rPr>
        <w:t></w:t>
      </w:r>
      <w:r>
        <w:rPr>
          <w:i/>
          <w:vertAlign w:val="subscript"/>
        </w:rPr>
        <w:t>x</w:t>
      </w:r>
      <w:r>
        <w:t xml:space="preserve"> = 0.1</w:t>
      </w:r>
      <w:r>
        <w:rPr>
          <w:i/>
        </w:rPr>
        <w:t>x</w:t>
      </w:r>
      <w:r w:rsidR="000F4B78">
        <w:t xml:space="preserve"> where</w:t>
      </w:r>
      <w:r w:rsidR="000F4B78" w:rsidRPr="00E73DA3">
        <w:rPr>
          <w:i/>
        </w:rPr>
        <w:t xml:space="preserve"> x</w:t>
      </w:r>
      <w:r w:rsidR="000F4B78">
        <w:t xml:space="preserve"> is</w:t>
      </w:r>
      <w:r>
        <w:t xml:space="preserve"> the distance to a calibration point, the nearest receptor, or the plume length, depending on the scale of concern. </w:t>
      </w:r>
    </w:p>
    <w:p w:rsidR="00AA62C3" w:rsidRDefault="00AA62C3"/>
    <w:p w:rsidR="00AA62C3" w:rsidRDefault="00AA62C3">
      <w:r>
        <w:t xml:space="preserve">The transverse </w:t>
      </w:r>
      <w:proofErr w:type="spellStart"/>
      <w:r>
        <w:t>dispersivity</w:t>
      </w:r>
      <w:proofErr w:type="spellEnd"/>
      <w:r>
        <w:t xml:space="preserve"> is commonly defined as </w:t>
      </w:r>
      <w:r>
        <w:rPr>
          <w:rFonts w:ascii="Symbol" w:hAnsi="Symbol"/>
          <w:i/>
        </w:rPr>
        <w:t></w:t>
      </w:r>
      <w:r>
        <w:rPr>
          <w:i/>
          <w:vertAlign w:val="subscript"/>
        </w:rPr>
        <w:t>y</w:t>
      </w:r>
      <w:r>
        <w:t xml:space="preserve"> = 0.1</w:t>
      </w:r>
      <w:r>
        <w:rPr>
          <w:rFonts w:ascii="Symbol" w:hAnsi="Symbol"/>
          <w:i/>
        </w:rPr>
        <w:t></w:t>
      </w:r>
      <w:r>
        <w:rPr>
          <w:i/>
          <w:vertAlign w:val="subscript"/>
        </w:rPr>
        <w:t>x</w:t>
      </w:r>
      <w:r>
        <w:t xml:space="preserve">. </w:t>
      </w:r>
      <w:r w:rsidR="002B55D5">
        <w:t xml:space="preserve">Calibrating </w:t>
      </w:r>
      <w:r w:rsidR="002B55D5">
        <w:rPr>
          <w:rFonts w:ascii="Symbol" w:hAnsi="Symbol"/>
          <w:i/>
        </w:rPr>
        <w:t></w:t>
      </w:r>
      <w:r w:rsidR="002B55D5">
        <w:rPr>
          <w:i/>
          <w:vertAlign w:val="subscript"/>
        </w:rPr>
        <w:t>y</w:t>
      </w:r>
      <w:r w:rsidR="002B55D5">
        <w:t xml:space="preserve"> could be accomplished </w:t>
      </w:r>
      <w:r w:rsidR="001D1507">
        <w:t>if</w:t>
      </w:r>
      <w:r w:rsidR="00B205FE">
        <w:t xml:space="preserve"> there is</w:t>
      </w:r>
      <w:r w:rsidR="002B55D5">
        <w:t xml:space="preserve"> sufficient </w:t>
      </w:r>
      <w:r w:rsidR="00B205FE">
        <w:t xml:space="preserve">site </w:t>
      </w:r>
      <w:r w:rsidR="002B55D5">
        <w:t xml:space="preserve">data </w:t>
      </w:r>
      <w:r w:rsidR="00F15618">
        <w:t xml:space="preserve">to delineate </w:t>
      </w:r>
      <w:r w:rsidR="002B55D5">
        <w:t xml:space="preserve">the plume width. </w:t>
      </w:r>
      <w:r>
        <w:t xml:space="preserve">The vertical </w:t>
      </w:r>
      <w:proofErr w:type="spellStart"/>
      <w:r>
        <w:t>dispersivity</w:t>
      </w:r>
      <w:proofErr w:type="spellEnd"/>
      <w:r>
        <w:t xml:space="preserve"> should be small for conservative modeling (</w:t>
      </w:r>
      <w:r>
        <w:rPr>
          <w:rFonts w:ascii="Symbol" w:hAnsi="Symbol"/>
          <w:i/>
        </w:rPr>
        <w:t></w:t>
      </w:r>
      <w:r>
        <w:rPr>
          <w:i/>
          <w:vertAlign w:val="subscript"/>
        </w:rPr>
        <w:t>z</w:t>
      </w:r>
      <w:r>
        <w:t xml:space="preserve"> = 0.001 </w:t>
      </w:r>
      <w:proofErr w:type="spellStart"/>
      <w:r>
        <w:t>ft</w:t>
      </w:r>
      <w:proofErr w:type="spellEnd"/>
      <w:r>
        <w:t>)</w:t>
      </w:r>
      <w:r w:rsidR="000F4B78">
        <w:t xml:space="preserve"> as this approximates two-dimensional transport</w:t>
      </w:r>
      <w:r>
        <w:t xml:space="preserve">. Larger values of </w:t>
      </w:r>
      <w:r>
        <w:rPr>
          <w:rFonts w:ascii="Symbol" w:hAnsi="Symbol"/>
          <w:i/>
        </w:rPr>
        <w:t></w:t>
      </w:r>
      <w:r>
        <w:rPr>
          <w:i/>
          <w:vertAlign w:val="subscript"/>
        </w:rPr>
        <w:t>z</w:t>
      </w:r>
      <w:r>
        <w:t xml:space="preserve"> might be used if vertical contaminant profiles support estimation and calibration of downward dispersion of the plume.</w:t>
      </w:r>
    </w:p>
    <w:p w:rsidR="00AA62C3" w:rsidRDefault="00AA62C3"/>
    <w:p w:rsidR="00AA62C3" w:rsidRDefault="00AA62C3">
      <w:r>
        <w:t xml:space="preserve">Fate and transport modeling has a significant sensitivity to the </w:t>
      </w:r>
      <w:proofErr w:type="spellStart"/>
      <w:r>
        <w:t>dispersivities</w:t>
      </w:r>
      <w:proofErr w:type="spellEnd"/>
      <w:r>
        <w:t xml:space="preserve">. </w:t>
      </w:r>
      <w:r w:rsidR="00107670">
        <w:t xml:space="preserve">If </w:t>
      </w:r>
      <w:proofErr w:type="spellStart"/>
      <w:r w:rsidR="00107670">
        <w:t>dispersivities</w:t>
      </w:r>
      <w:proofErr w:type="spellEnd"/>
      <w:r w:rsidR="00107670">
        <w:t xml:space="preserve"> are zero or are too small, then the modeled plume length and width will be underestimated. If the </w:t>
      </w:r>
      <w:proofErr w:type="spellStart"/>
      <w:r w:rsidR="00107670">
        <w:t>dispersivities</w:t>
      </w:r>
      <w:proofErr w:type="spellEnd"/>
      <w:r w:rsidR="00107670">
        <w:t xml:space="preserve"> are too large, then the plume will be spread out in an unrealistic manner, reducing the centerline concentrations. A common error is to assume </w:t>
      </w:r>
      <w:r w:rsidR="001823D7">
        <w:t xml:space="preserve">a </w:t>
      </w:r>
      <w:r w:rsidR="000F4B78">
        <w:t xml:space="preserve">long </w:t>
      </w:r>
      <w:r w:rsidR="00107670">
        <w:t xml:space="preserve">plume and consequently a large value of </w:t>
      </w:r>
      <w:r w:rsidR="00107670">
        <w:rPr>
          <w:rFonts w:ascii="Symbol" w:hAnsi="Symbol"/>
          <w:i/>
        </w:rPr>
        <w:t></w:t>
      </w:r>
      <w:r w:rsidR="00107670">
        <w:rPr>
          <w:i/>
          <w:vertAlign w:val="subscript"/>
        </w:rPr>
        <w:t>x</w:t>
      </w:r>
      <w:r w:rsidR="00107670">
        <w:t xml:space="preserve">. This is </w:t>
      </w:r>
      <w:r w:rsidR="001823D7" w:rsidRPr="00064437">
        <w:t>not</w:t>
      </w:r>
      <w:r w:rsidR="001823D7">
        <w:t xml:space="preserve"> </w:t>
      </w:r>
      <w:r w:rsidR="002F6E2B">
        <w:t xml:space="preserve">necessarily </w:t>
      </w:r>
      <w:r w:rsidR="001823D7">
        <w:t>a conservative approach</w:t>
      </w:r>
      <w:r w:rsidR="00A34A0B">
        <w:t>, and</w:t>
      </w:r>
      <w:r w:rsidR="00107670">
        <w:t xml:space="preserve"> modeled concentrations at the nearest receptor may be underestimated.</w:t>
      </w:r>
    </w:p>
    <w:p w:rsidR="00107670" w:rsidRDefault="00107670"/>
    <w:p w:rsidR="007B625E" w:rsidRPr="00613F62" w:rsidRDefault="00107670">
      <w:pPr>
        <w:rPr>
          <w:rFonts w:ascii="Symbol" w:hAnsi="Symbol"/>
        </w:rPr>
      </w:pPr>
      <w:r>
        <w:t xml:space="preserve">Further information on </w:t>
      </w:r>
      <w:proofErr w:type="spellStart"/>
      <w:r>
        <w:t>dispersivities</w:t>
      </w:r>
      <w:proofErr w:type="spellEnd"/>
      <w:r>
        <w:t xml:space="preserve"> is found in </w:t>
      </w:r>
      <w:hyperlink w:anchor="App3" w:history="1">
        <w:r w:rsidRPr="00107670">
          <w:rPr>
            <w:rStyle w:val="Hyperlink"/>
          </w:rPr>
          <w:t>Appendix 3</w:t>
        </w:r>
      </w:hyperlink>
      <w:r>
        <w:t xml:space="preserve">. The mathematical errors associated with excessively large </w:t>
      </w:r>
      <w:proofErr w:type="spellStart"/>
      <w:r>
        <w:t>dispersivities</w:t>
      </w:r>
      <w:proofErr w:type="spellEnd"/>
      <w:r>
        <w:t xml:space="preserve"> are </w:t>
      </w:r>
      <w:r w:rsidR="00CC1690">
        <w:t xml:space="preserve">described </w:t>
      </w:r>
      <w:r>
        <w:t xml:space="preserve">in </w:t>
      </w:r>
      <w:hyperlink w:anchor="App1" w:history="1">
        <w:r w:rsidRPr="00107670">
          <w:rPr>
            <w:rStyle w:val="Hyperlink"/>
          </w:rPr>
          <w:t xml:space="preserve">Section </w:t>
        </w:r>
        <w:r w:rsidR="000F4B78">
          <w:rPr>
            <w:rStyle w:val="Hyperlink"/>
          </w:rPr>
          <w:t>A1</w:t>
        </w:r>
        <w:r w:rsidRPr="00107670">
          <w:rPr>
            <w:rStyle w:val="Hyperlink"/>
          </w:rPr>
          <w:t>.3</w:t>
        </w:r>
      </w:hyperlink>
      <w:r>
        <w:t>.</w:t>
      </w:r>
    </w:p>
    <w:p w:rsidR="007B625E" w:rsidRDefault="007B625E" w:rsidP="004733A6">
      <w:pPr>
        <w:pStyle w:val="Heading2"/>
      </w:pPr>
      <w:bookmarkStart w:id="17" w:name="_Decay_Constant"/>
      <w:bookmarkStart w:id="18" w:name="_Toc381357781"/>
      <w:bookmarkEnd w:id="17"/>
      <w:r>
        <w:t>Decay Constant</w:t>
      </w:r>
      <w:bookmarkEnd w:id="18"/>
    </w:p>
    <w:tbl>
      <w:tblPr>
        <w:tblW w:w="32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1084"/>
        <w:gridCol w:w="1048"/>
        <w:gridCol w:w="890"/>
        <w:gridCol w:w="892"/>
        <w:gridCol w:w="1432"/>
        <w:gridCol w:w="891"/>
      </w:tblGrid>
      <w:tr w:rsidR="00377C7E" w:rsidTr="00064437">
        <w:tc>
          <w:tcPr>
            <w:tcW w:w="828" w:type="pct"/>
            <w:tcBorders>
              <w:bottom w:val="single" w:sz="4" w:space="0" w:color="auto"/>
              <w:right w:val="nil"/>
            </w:tcBorders>
            <w:shd w:val="clear" w:color="auto" w:fill="auto"/>
          </w:tcPr>
          <w:p w:rsidR="00377C7E" w:rsidRPr="006F405C" w:rsidRDefault="00377C7E" w:rsidP="00F66A11">
            <w:pPr>
              <w:rPr>
                <w:b/>
              </w:rPr>
            </w:pPr>
            <w:r w:rsidRPr="006F405C">
              <w:rPr>
                <w:b/>
              </w:rPr>
              <w:t>Symbol:</w:t>
            </w:r>
          </w:p>
        </w:tc>
        <w:tc>
          <w:tcPr>
            <w:tcW w:w="849" w:type="pct"/>
            <w:tcBorders>
              <w:left w:val="nil"/>
              <w:bottom w:val="single" w:sz="4" w:space="0" w:color="auto"/>
            </w:tcBorders>
            <w:shd w:val="clear" w:color="auto" w:fill="auto"/>
          </w:tcPr>
          <w:p w:rsidR="00377C7E" w:rsidRPr="006F405C" w:rsidRDefault="00377C7E" w:rsidP="00F66A11">
            <w:pPr>
              <w:rPr>
                <w:rFonts w:ascii="Symbol" w:hAnsi="Symbol"/>
                <w:vertAlign w:val="subscript"/>
              </w:rPr>
            </w:pPr>
            <w:r w:rsidRPr="006F405C">
              <w:rPr>
                <w:rFonts w:ascii="Symbol" w:hAnsi="Symbol"/>
                <w:i/>
              </w:rPr>
              <w:t></w:t>
            </w:r>
          </w:p>
        </w:tc>
        <w:tc>
          <w:tcPr>
            <w:tcW w:w="722" w:type="pct"/>
            <w:tcBorders>
              <w:bottom w:val="single" w:sz="4" w:space="0" w:color="auto"/>
              <w:right w:val="nil"/>
            </w:tcBorders>
            <w:shd w:val="clear" w:color="auto" w:fill="auto"/>
          </w:tcPr>
          <w:p w:rsidR="00377C7E" w:rsidRPr="006F405C" w:rsidRDefault="00377C7E" w:rsidP="00F66A11">
            <w:pPr>
              <w:rPr>
                <w:b/>
              </w:rPr>
            </w:pPr>
            <w:r w:rsidRPr="006F405C">
              <w:rPr>
                <w:b/>
              </w:rPr>
              <w:t>Units:</w:t>
            </w:r>
          </w:p>
        </w:tc>
        <w:tc>
          <w:tcPr>
            <w:tcW w:w="723" w:type="pct"/>
            <w:tcBorders>
              <w:left w:val="nil"/>
              <w:bottom w:val="single" w:sz="4" w:space="0" w:color="auto"/>
            </w:tcBorders>
            <w:shd w:val="clear" w:color="auto" w:fill="auto"/>
          </w:tcPr>
          <w:p w:rsidR="00377C7E" w:rsidRPr="006F405C" w:rsidRDefault="00377C7E" w:rsidP="00F66A11">
            <w:pPr>
              <w:rPr>
                <w:vertAlign w:val="superscript"/>
              </w:rPr>
            </w:pPr>
            <w:r>
              <w:t>day</w:t>
            </w:r>
            <w:r w:rsidR="00737D51" w:rsidRPr="006F405C">
              <w:rPr>
                <w:vertAlign w:val="superscript"/>
              </w:rPr>
              <w:t>–1</w:t>
            </w:r>
          </w:p>
        </w:tc>
        <w:tc>
          <w:tcPr>
            <w:tcW w:w="1156" w:type="pct"/>
            <w:tcBorders>
              <w:bottom w:val="single" w:sz="4" w:space="0" w:color="auto"/>
              <w:right w:val="nil"/>
            </w:tcBorders>
            <w:shd w:val="clear" w:color="auto" w:fill="auto"/>
          </w:tcPr>
          <w:p w:rsidR="00377C7E" w:rsidRPr="006F405C" w:rsidRDefault="00377C7E" w:rsidP="00F66A11">
            <w:pPr>
              <w:rPr>
                <w:b/>
              </w:rPr>
            </w:pPr>
            <w:r w:rsidRPr="006F405C">
              <w:rPr>
                <w:b/>
              </w:rPr>
              <w:t>Sensitivity:</w:t>
            </w:r>
          </w:p>
        </w:tc>
        <w:tc>
          <w:tcPr>
            <w:tcW w:w="723" w:type="pct"/>
            <w:tcBorders>
              <w:left w:val="nil"/>
              <w:bottom w:val="single" w:sz="4" w:space="0" w:color="auto"/>
            </w:tcBorders>
            <w:shd w:val="clear" w:color="auto" w:fill="auto"/>
          </w:tcPr>
          <w:p w:rsidR="00377C7E" w:rsidRDefault="00377C7E" w:rsidP="00F66A11">
            <w:r>
              <w:t>High</w:t>
            </w:r>
          </w:p>
        </w:tc>
      </w:tr>
    </w:tbl>
    <w:p w:rsidR="007B625E" w:rsidRDefault="007B625E"/>
    <w:p w:rsidR="004B4271" w:rsidRDefault="004E7D87">
      <w:r>
        <w:t xml:space="preserve">The first-order decay </w:t>
      </w:r>
      <w:r w:rsidR="002C1C56">
        <w:t xml:space="preserve">rate </w:t>
      </w:r>
      <w:r>
        <w:t>represents the degradation of the contaminant as it moves through the aquifer with time.</w:t>
      </w:r>
      <w:r w:rsidR="000C7233">
        <w:t xml:space="preserve"> We call this the </w:t>
      </w:r>
      <w:r w:rsidR="000C7233" w:rsidRPr="00064437">
        <w:rPr>
          <w:i/>
        </w:rPr>
        <w:t>transport decay</w:t>
      </w:r>
      <w:r w:rsidR="000C7233">
        <w:t xml:space="preserve">, and it is </w:t>
      </w:r>
      <w:r w:rsidR="00DE707F" w:rsidRPr="00064437">
        <w:t>distinct from the</w:t>
      </w:r>
      <w:r w:rsidR="000C7233" w:rsidRPr="00064437">
        <w:t xml:space="preserve"> </w:t>
      </w:r>
      <w:r w:rsidR="000C7233" w:rsidRPr="00064437">
        <w:rPr>
          <w:i/>
        </w:rPr>
        <w:t>source decay</w:t>
      </w:r>
      <w:r w:rsidR="000C7233" w:rsidRPr="00064437">
        <w:t>.</w:t>
      </w:r>
      <w:r w:rsidR="004B4271" w:rsidRPr="004B4271">
        <w:t xml:space="preserve"> </w:t>
      </w:r>
      <w:r w:rsidR="004B4271">
        <w:t xml:space="preserve">The decay constant is related to the half-life by </w:t>
      </w:r>
      <w:r w:rsidR="004B4271">
        <w:rPr>
          <w:rFonts w:ascii="Symbol" w:hAnsi="Symbol"/>
          <w:i/>
        </w:rPr>
        <w:t></w:t>
      </w:r>
      <w:r w:rsidR="004B4271">
        <w:t xml:space="preserve"> = 0.693/</w:t>
      </w:r>
      <w:r w:rsidR="004B4271">
        <w:rPr>
          <w:i/>
        </w:rPr>
        <w:t>t</w:t>
      </w:r>
      <w:r w:rsidR="004B4271">
        <w:rPr>
          <w:vertAlign w:val="subscript"/>
        </w:rPr>
        <w:t>1/2</w:t>
      </w:r>
      <w:r w:rsidR="004B4271">
        <w:t xml:space="preserve">. </w:t>
      </w:r>
      <w:r w:rsidR="002C1C56">
        <w:t>The degradation rate is a critical parameter because it influences the downgradient change in contaminant concentrations more than any other.</w:t>
      </w:r>
      <w:r w:rsidR="004B4271">
        <w:t xml:space="preserve"> </w:t>
      </w:r>
    </w:p>
    <w:p w:rsidR="004B4271" w:rsidRDefault="004B4271"/>
    <w:p w:rsidR="007B625E" w:rsidRPr="00A36922" w:rsidRDefault="004E7D87">
      <w:pPr>
        <w:rPr>
          <w:rFonts w:ascii="Symbol" w:hAnsi="Symbol"/>
        </w:rPr>
      </w:pPr>
      <w:r>
        <w:t xml:space="preserve">There is a large uncertainty in </w:t>
      </w:r>
      <w:r w:rsidR="00002218">
        <w:t xml:space="preserve">degradation </w:t>
      </w:r>
      <w:r>
        <w:t xml:space="preserve">rates, and actual rates depend on </w:t>
      </w:r>
      <w:r w:rsidR="00002218">
        <w:t xml:space="preserve">site-specific </w:t>
      </w:r>
      <w:r>
        <w:t xml:space="preserve">conditions. Therefore, </w:t>
      </w:r>
      <w:r>
        <w:rPr>
          <w:rFonts w:ascii="Symbol" w:hAnsi="Symbol"/>
          <w:i/>
        </w:rPr>
        <w:t></w:t>
      </w:r>
      <w:r>
        <w:t xml:space="preserve"> should be a calibration parameter in most QD models. Starting values may be found in the literature [e.g., </w:t>
      </w:r>
      <w:r w:rsidR="00AC72DB">
        <w:rPr>
          <w:i/>
        </w:rPr>
        <w:t>Howard et al.</w:t>
      </w:r>
      <w:r w:rsidR="00AC72DB">
        <w:t>, 1991]</w:t>
      </w:r>
      <w:r w:rsidR="000C7233">
        <w:t xml:space="preserve"> or</w:t>
      </w:r>
      <w:r w:rsidR="00AC72DB">
        <w:t xml:space="preserve"> </w:t>
      </w:r>
      <w:hyperlink w:anchor="_Web_Links" w:history="1">
        <w:r w:rsidR="00AC72DB" w:rsidRPr="002A7D90">
          <w:rPr>
            <w:rStyle w:val="Hyperlink"/>
          </w:rPr>
          <w:t>Ch. 250</w:t>
        </w:r>
      </w:hyperlink>
      <w:r w:rsidR="00AC72DB">
        <w:t xml:space="preserve">, Appendix </w:t>
      </w:r>
      <w:proofErr w:type="gramStart"/>
      <w:r w:rsidR="00AC72DB">
        <w:t>A</w:t>
      </w:r>
      <w:proofErr w:type="gramEnd"/>
      <w:r w:rsidR="00AC72DB">
        <w:t>, Table 5A.</w:t>
      </w:r>
      <w:r w:rsidR="00D36B43">
        <w:t xml:space="preserve"> </w:t>
      </w:r>
      <w:r w:rsidR="002C1C56">
        <w:lastRenderedPageBreak/>
        <w:t>However, t</w:t>
      </w:r>
      <w:r w:rsidR="00D36B43">
        <w:t xml:space="preserve">hese are estimated values or ranges based on limited field studies or experiments; the user cannot assume that they reflect conditions at </w:t>
      </w:r>
      <w:r w:rsidR="002C1C56">
        <w:t xml:space="preserve">every </w:t>
      </w:r>
      <w:r w:rsidR="00D36B43">
        <w:t>site.</w:t>
      </w:r>
      <w:r w:rsidR="00B06B82">
        <w:t xml:space="preserve"> For instance, anaerobic conditions in an aquifer might cause decay rates to be much slower than </w:t>
      </w:r>
      <w:r w:rsidR="00D9679A">
        <w:t>measured</w:t>
      </w:r>
      <w:r w:rsidR="00B06B82">
        <w:t xml:space="preserve"> in an aerobic environment.</w:t>
      </w:r>
      <w:r w:rsidR="00AC72DB">
        <w:t xml:space="preserve"> </w:t>
      </w:r>
      <w:r w:rsidR="004B4271">
        <w:t xml:space="preserve">Initial </w:t>
      </w:r>
      <w:r w:rsidR="002C1C56">
        <w:t xml:space="preserve">site-specific </w:t>
      </w:r>
      <w:r w:rsidR="004B4271">
        <w:t>values may also be estimated from the bulk attenuation rate constant derived from field data [</w:t>
      </w:r>
      <w:r w:rsidR="00A36922">
        <w:rPr>
          <w:i/>
        </w:rPr>
        <w:t>Newell et al.</w:t>
      </w:r>
      <w:r w:rsidR="00A36922">
        <w:t>, 2002].</w:t>
      </w:r>
    </w:p>
    <w:p w:rsidR="00AC72DB" w:rsidRDefault="00AC72DB"/>
    <w:p w:rsidR="00AC72DB" w:rsidRPr="00780A76" w:rsidRDefault="00AC72DB">
      <w:pPr>
        <w:rPr>
          <w:rFonts w:ascii="Symbol" w:hAnsi="Symbol"/>
        </w:rPr>
      </w:pPr>
      <w:r>
        <w:t xml:space="preserve">When calibrating the model, it is important for the user to </w:t>
      </w:r>
      <w:r w:rsidR="004B4271">
        <w:t xml:space="preserve">be able to </w:t>
      </w:r>
      <w:r w:rsidR="00DE707F">
        <w:t xml:space="preserve">recognize </w:t>
      </w:r>
      <w:r>
        <w:t xml:space="preserve">source decay and </w:t>
      </w:r>
      <w:r w:rsidR="004B4271">
        <w:t xml:space="preserve">distinguish it from </w:t>
      </w:r>
      <w:r>
        <w:t>transport decay.</w:t>
      </w:r>
      <w:r w:rsidR="004B4271">
        <w:t xml:space="preserve"> Note that the constant-source assumption in QD </w:t>
      </w:r>
      <w:r w:rsidR="00F74587">
        <w:t xml:space="preserve">(zero source decay) </w:t>
      </w:r>
      <w:r w:rsidR="004B4271">
        <w:t xml:space="preserve">means that concentrations throughout the plume will only increase and reach a constant value </w:t>
      </w:r>
      <w:r w:rsidR="001D1507">
        <w:t>at</w:t>
      </w:r>
      <w:r w:rsidR="004B4271">
        <w:t xml:space="preserve"> steady state.</w:t>
      </w:r>
      <w:r>
        <w:t xml:space="preserve"> Decay of </w:t>
      </w:r>
      <w:r w:rsidR="004B4271">
        <w:t>a</w:t>
      </w:r>
      <w:r>
        <w:t xml:space="preserve"> source will </w:t>
      </w:r>
      <w:r w:rsidR="000C7233">
        <w:t xml:space="preserve">result in the </w:t>
      </w:r>
      <w:r w:rsidR="005976CD">
        <w:t xml:space="preserve">eventual </w:t>
      </w:r>
      <w:r w:rsidR="000C7233">
        <w:t xml:space="preserve">decline of </w:t>
      </w:r>
      <w:r>
        <w:t>downgradient concentrations</w:t>
      </w:r>
      <w:r w:rsidR="004B4271">
        <w:t xml:space="preserve"> with time</w:t>
      </w:r>
      <w:r w:rsidR="00780A76">
        <w:t xml:space="preserve">, and a calibrated value of </w:t>
      </w:r>
      <w:r w:rsidR="00780A76">
        <w:rPr>
          <w:rFonts w:ascii="Symbol" w:hAnsi="Symbol"/>
          <w:i/>
        </w:rPr>
        <w:t></w:t>
      </w:r>
      <w:r w:rsidR="00780A76">
        <w:t xml:space="preserve"> </w:t>
      </w:r>
      <w:r w:rsidR="00F74587">
        <w:t xml:space="preserve">in QD </w:t>
      </w:r>
      <w:r w:rsidR="00D9679A">
        <w:t xml:space="preserve">can </w:t>
      </w:r>
      <w:r w:rsidR="00780A76">
        <w:t xml:space="preserve">be exaggerated. </w:t>
      </w:r>
      <w:r w:rsidR="000C7233">
        <w:t xml:space="preserve">Applying QD </w:t>
      </w:r>
      <w:r w:rsidR="00780A76">
        <w:t>to problems with source decay</w:t>
      </w:r>
      <w:r w:rsidR="000C7233">
        <w:t xml:space="preserve"> is not conservative</w:t>
      </w:r>
      <w:r w:rsidR="00780A76">
        <w:t>.</w:t>
      </w:r>
      <w:r w:rsidR="005927B9">
        <w:t xml:space="preserve"> Refer to </w:t>
      </w:r>
      <w:hyperlink w:anchor="App5" w:history="1">
        <w:r w:rsidR="005927B9" w:rsidRPr="00755556">
          <w:rPr>
            <w:rStyle w:val="Hyperlink"/>
          </w:rPr>
          <w:t>Example A4.2</w:t>
        </w:r>
      </w:hyperlink>
      <w:r w:rsidR="005927B9" w:rsidRPr="00755556">
        <w:rPr>
          <w:rStyle w:val="Hyperlink"/>
          <w:color w:val="auto"/>
          <w:u w:val="none"/>
        </w:rPr>
        <w:t xml:space="preserve"> for a comparison of models with and without source decay.</w:t>
      </w:r>
    </w:p>
    <w:p w:rsidR="00AC72DB" w:rsidRDefault="00AC72DB"/>
    <w:p w:rsidR="007D7408" w:rsidRPr="00DA6BD4" w:rsidRDefault="002C47D0">
      <w:pPr>
        <w:rPr>
          <w:rFonts w:ascii="Symbol" w:hAnsi="Symbol"/>
        </w:rPr>
      </w:pPr>
      <w:r>
        <w:t>If site data do</w:t>
      </w:r>
      <w:r w:rsidR="000C7233">
        <w:t xml:space="preserve"> not </w:t>
      </w:r>
      <w:r w:rsidR="000A03A8">
        <w:t>exhibit</w:t>
      </w:r>
      <w:r w:rsidR="000C7233">
        <w:t xml:space="preserve"> transport decay, then </w:t>
      </w:r>
      <w:r w:rsidR="00AC72DB">
        <w:t xml:space="preserve">the decay constant should be </w:t>
      </w:r>
      <w:r w:rsidR="000A03A8">
        <w:t xml:space="preserve">input </w:t>
      </w:r>
      <w:r w:rsidR="00AC72DB">
        <w:t>as zero</w:t>
      </w:r>
      <w:r w:rsidR="000C7233">
        <w:t xml:space="preserve">. </w:t>
      </w:r>
      <w:r w:rsidR="00DA6BD4">
        <w:t xml:space="preserve">When modeling inorganic contaminant transport, </w:t>
      </w:r>
      <w:r w:rsidR="00DA6BD4">
        <w:rPr>
          <w:rFonts w:ascii="Symbol" w:hAnsi="Symbol"/>
          <w:i/>
        </w:rPr>
        <w:t></w:t>
      </w:r>
      <w:r w:rsidR="00DA6BD4">
        <w:rPr>
          <w:i/>
        </w:rPr>
        <w:t xml:space="preserve"> </w:t>
      </w:r>
      <w:r w:rsidR="00DA6BD4">
        <w:t>= 0.</w:t>
      </w:r>
    </w:p>
    <w:p w:rsidR="007B625E" w:rsidRDefault="007B625E" w:rsidP="004733A6">
      <w:pPr>
        <w:pStyle w:val="Heading2"/>
      </w:pPr>
      <w:bookmarkStart w:id="19" w:name="_Toc381357782"/>
      <w:r>
        <w:t>Source Width</w:t>
      </w:r>
      <w:bookmarkEnd w:id="19"/>
    </w:p>
    <w:tbl>
      <w:tblPr>
        <w:tblW w:w="32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1084"/>
        <w:gridCol w:w="1010"/>
        <w:gridCol w:w="857"/>
        <w:gridCol w:w="848"/>
        <w:gridCol w:w="1394"/>
        <w:gridCol w:w="1044"/>
      </w:tblGrid>
      <w:tr w:rsidR="00377C7E" w:rsidTr="00064437">
        <w:tc>
          <w:tcPr>
            <w:tcW w:w="828" w:type="pct"/>
            <w:tcBorders>
              <w:bottom w:val="single" w:sz="4" w:space="0" w:color="auto"/>
              <w:right w:val="nil"/>
            </w:tcBorders>
            <w:shd w:val="clear" w:color="auto" w:fill="auto"/>
          </w:tcPr>
          <w:p w:rsidR="00377C7E" w:rsidRPr="006F405C" w:rsidRDefault="00377C7E" w:rsidP="00F66A11">
            <w:pPr>
              <w:rPr>
                <w:b/>
              </w:rPr>
            </w:pPr>
            <w:r w:rsidRPr="006F405C">
              <w:rPr>
                <w:b/>
              </w:rPr>
              <w:t>Symbol:</w:t>
            </w:r>
          </w:p>
        </w:tc>
        <w:tc>
          <w:tcPr>
            <w:tcW w:w="849" w:type="pct"/>
            <w:tcBorders>
              <w:left w:val="nil"/>
              <w:bottom w:val="single" w:sz="4" w:space="0" w:color="auto"/>
            </w:tcBorders>
            <w:shd w:val="clear" w:color="auto" w:fill="auto"/>
          </w:tcPr>
          <w:p w:rsidR="00377C7E" w:rsidRPr="006F405C" w:rsidRDefault="00377C7E" w:rsidP="00F66A11">
            <w:pPr>
              <w:rPr>
                <w:i/>
                <w:vertAlign w:val="subscript"/>
              </w:rPr>
            </w:pPr>
            <w:r w:rsidRPr="006F405C">
              <w:rPr>
                <w:i/>
              </w:rPr>
              <w:t>Y</w:t>
            </w:r>
          </w:p>
        </w:tc>
        <w:tc>
          <w:tcPr>
            <w:tcW w:w="722" w:type="pct"/>
            <w:tcBorders>
              <w:bottom w:val="single" w:sz="4" w:space="0" w:color="auto"/>
              <w:right w:val="nil"/>
            </w:tcBorders>
            <w:shd w:val="clear" w:color="auto" w:fill="auto"/>
          </w:tcPr>
          <w:p w:rsidR="00377C7E" w:rsidRPr="006F405C" w:rsidRDefault="00377C7E" w:rsidP="00F66A11">
            <w:pPr>
              <w:rPr>
                <w:b/>
              </w:rPr>
            </w:pPr>
            <w:r w:rsidRPr="006F405C">
              <w:rPr>
                <w:b/>
              </w:rPr>
              <w:t>Units:</w:t>
            </w:r>
          </w:p>
        </w:tc>
        <w:tc>
          <w:tcPr>
            <w:tcW w:w="723" w:type="pct"/>
            <w:tcBorders>
              <w:left w:val="nil"/>
              <w:bottom w:val="single" w:sz="4" w:space="0" w:color="auto"/>
            </w:tcBorders>
            <w:shd w:val="clear" w:color="auto" w:fill="auto"/>
          </w:tcPr>
          <w:p w:rsidR="00377C7E" w:rsidRDefault="00377C7E" w:rsidP="00F66A11">
            <w:proofErr w:type="spellStart"/>
            <w:r>
              <w:t>ft</w:t>
            </w:r>
            <w:proofErr w:type="spellEnd"/>
          </w:p>
        </w:tc>
        <w:tc>
          <w:tcPr>
            <w:tcW w:w="1156" w:type="pct"/>
            <w:tcBorders>
              <w:bottom w:val="single" w:sz="4" w:space="0" w:color="auto"/>
              <w:right w:val="nil"/>
            </w:tcBorders>
            <w:shd w:val="clear" w:color="auto" w:fill="auto"/>
          </w:tcPr>
          <w:p w:rsidR="00377C7E" w:rsidRPr="006F405C" w:rsidRDefault="00377C7E" w:rsidP="00F66A11">
            <w:pPr>
              <w:rPr>
                <w:b/>
              </w:rPr>
            </w:pPr>
            <w:r w:rsidRPr="006F405C">
              <w:rPr>
                <w:b/>
              </w:rPr>
              <w:t>Sensitivity:</w:t>
            </w:r>
          </w:p>
        </w:tc>
        <w:tc>
          <w:tcPr>
            <w:tcW w:w="723" w:type="pct"/>
            <w:tcBorders>
              <w:left w:val="nil"/>
              <w:bottom w:val="single" w:sz="4" w:space="0" w:color="auto"/>
            </w:tcBorders>
            <w:shd w:val="clear" w:color="auto" w:fill="auto"/>
          </w:tcPr>
          <w:p w:rsidR="00377C7E" w:rsidRDefault="00EC1798" w:rsidP="00F66A11">
            <w:r>
              <w:t>Medium</w:t>
            </w:r>
          </w:p>
        </w:tc>
      </w:tr>
    </w:tbl>
    <w:p w:rsidR="007B625E" w:rsidRDefault="007B625E"/>
    <w:p w:rsidR="00DA6BD4" w:rsidRDefault="00453715">
      <w:r>
        <w:t xml:space="preserve">The source width should equal the maximum width of known or inferred groundwater contamination at the site. This could be indicated by impacted soils from sampling or visual observations, </w:t>
      </w:r>
      <w:r w:rsidR="00D36B43">
        <w:t xml:space="preserve">the presence </w:t>
      </w:r>
      <w:r w:rsidR="000437B4">
        <w:t>of NAPL</w:t>
      </w:r>
      <w:r>
        <w:t xml:space="preserve">, or elevated dissolved concentrations in monitoring wells. </w:t>
      </w:r>
      <w:r w:rsidR="00C47690">
        <w:t>T</w:t>
      </w:r>
      <w:r>
        <w:t xml:space="preserve">he source is oriented perpendicular to the direction of groundwater flow in the model. </w:t>
      </w:r>
    </w:p>
    <w:p w:rsidR="00966D58" w:rsidRDefault="00966D58"/>
    <w:p w:rsidR="00EC1798" w:rsidRDefault="00BA28CC">
      <w:r>
        <w:t>Centerline concentrations</w:t>
      </w:r>
      <w:r w:rsidR="000437B4">
        <w:t xml:space="preserve"> tend to</w:t>
      </w:r>
      <w:r>
        <w:t xml:space="preserve"> increase with increasing source widths</w:t>
      </w:r>
      <w:r w:rsidR="000437B4">
        <w:t xml:space="preserve"> (though this relationship depends on the value of </w:t>
      </w:r>
      <w:r w:rsidR="000437B4">
        <w:rPr>
          <w:rFonts w:ascii="Symbol" w:hAnsi="Symbol"/>
          <w:i/>
        </w:rPr>
        <w:t></w:t>
      </w:r>
      <w:r w:rsidR="000437B4">
        <w:rPr>
          <w:i/>
          <w:vertAlign w:val="subscript"/>
        </w:rPr>
        <w:t>y</w:t>
      </w:r>
      <w:r w:rsidR="000437B4">
        <w:t>).</w:t>
      </w:r>
      <w:r>
        <w:t xml:space="preserve"> </w:t>
      </w:r>
      <w:r w:rsidR="00D572A3">
        <w:t xml:space="preserve">The </w:t>
      </w:r>
      <w:r>
        <w:t>source</w:t>
      </w:r>
      <w:r w:rsidR="00D572A3">
        <w:t xml:space="preserve"> width will control the plume width, so it </w:t>
      </w:r>
      <w:r w:rsidR="008712DE">
        <w:t>can</w:t>
      </w:r>
      <w:r w:rsidR="00D572A3">
        <w:t xml:space="preserve"> be significant for </w:t>
      </w:r>
      <w:r w:rsidR="00087F95">
        <w:t xml:space="preserve">identifying </w:t>
      </w:r>
      <w:r w:rsidR="00D572A3">
        <w:t>impacted properties</w:t>
      </w:r>
      <w:r w:rsidR="00087F95" w:rsidRPr="00087F95">
        <w:t xml:space="preserve"> </w:t>
      </w:r>
      <w:r w:rsidR="00087F95">
        <w:t>cross-gradient to the plume centerline</w:t>
      </w:r>
      <w:r w:rsidR="00D572A3">
        <w:t xml:space="preserve">. The source width </w:t>
      </w:r>
      <w:r w:rsidR="00EC1798">
        <w:t>is</w:t>
      </w:r>
      <w:r w:rsidR="00D572A3">
        <w:t xml:space="preserve"> critical to the plume mass loading. Therefore, </w:t>
      </w:r>
      <w:r w:rsidR="009146BC">
        <w:t xml:space="preserve">when </w:t>
      </w:r>
      <w:r w:rsidR="00D572A3">
        <w:t xml:space="preserve">modeling stream impacts </w:t>
      </w:r>
      <w:r w:rsidR="009146BC">
        <w:t>this parameter</w:t>
      </w:r>
      <w:r w:rsidR="00D572A3">
        <w:t xml:space="preserve"> must be </w:t>
      </w:r>
      <w:r w:rsidR="0053533A">
        <w:t>accurate</w:t>
      </w:r>
      <w:r w:rsidR="00D572A3">
        <w:t>.</w:t>
      </w:r>
    </w:p>
    <w:p w:rsidR="00EC1798" w:rsidRDefault="00EC1798" w:rsidP="004733A6">
      <w:pPr>
        <w:pStyle w:val="Heading2"/>
      </w:pPr>
      <w:bookmarkStart w:id="20" w:name="_Toc381357783"/>
      <w:r>
        <w:t>Source Thickness</w:t>
      </w:r>
      <w:bookmarkEnd w:id="20"/>
    </w:p>
    <w:tbl>
      <w:tblPr>
        <w:tblW w:w="32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1084"/>
        <w:gridCol w:w="1048"/>
        <w:gridCol w:w="890"/>
        <w:gridCol w:w="892"/>
        <w:gridCol w:w="1432"/>
        <w:gridCol w:w="891"/>
      </w:tblGrid>
      <w:tr w:rsidR="00EC1798" w:rsidTr="00064437">
        <w:tc>
          <w:tcPr>
            <w:tcW w:w="828" w:type="pct"/>
            <w:tcBorders>
              <w:bottom w:val="single" w:sz="4" w:space="0" w:color="auto"/>
              <w:right w:val="nil"/>
            </w:tcBorders>
            <w:shd w:val="clear" w:color="auto" w:fill="auto"/>
          </w:tcPr>
          <w:p w:rsidR="00EC1798" w:rsidRPr="006F405C" w:rsidRDefault="00EC1798" w:rsidP="00BA28CC">
            <w:pPr>
              <w:rPr>
                <w:b/>
              </w:rPr>
            </w:pPr>
            <w:r w:rsidRPr="006F405C">
              <w:rPr>
                <w:b/>
              </w:rPr>
              <w:t>Symbol:</w:t>
            </w:r>
          </w:p>
        </w:tc>
        <w:tc>
          <w:tcPr>
            <w:tcW w:w="849" w:type="pct"/>
            <w:tcBorders>
              <w:left w:val="nil"/>
              <w:bottom w:val="single" w:sz="4" w:space="0" w:color="auto"/>
            </w:tcBorders>
            <w:shd w:val="clear" w:color="auto" w:fill="auto"/>
          </w:tcPr>
          <w:p w:rsidR="00EC1798" w:rsidRPr="006F405C" w:rsidRDefault="00EC1798" w:rsidP="00BA28CC">
            <w:pPr>
              <w:rPr>
                <w:i/>
                <w:vertAlign w:val="subscript"/>
              </w:rPr>
            </w:pPr>
            <w:r w:rsidRPr="006F405C">
              <w:rPr>
                <w:i/>
              </w:rPr>
              <w:t>Z</w:t>
            </w:r>
          </w:p>
        </w:tc>
        <w:tc>
          <w:tcPr>
            <w:tcW w:w="722" w:type="pct"/>
            <w:tcBorders>
              <w:bottom w:val="single" w:sz="4" w:space="0" w:color="auto"/>
              <w:right w:val="nil"/>
            </w:tcBorders>
            <w:shd w:val="clear" w:color="auto" w:fill="auto"/>
          </w:tcPr>
          <w:p w:rsidR="00EC1798" w:rsidRPr="006F405C" w:rsidRDefault="00EC1798" w:rsidP="00BA28CC">
            <w:pPr>
              <w:rPr>
                <w:b/>
              </w:rPr>
            </w:pPr>
            <w:r w:rsidRPr="006F405C">
              <w:rPr>
                <w:b/>
              </w:rPr>
              <w:t>Units:</w:t>
            </w:r>
          </w:p>
        </w:tc>
        <w:tc>
          <w:tcPr>
            <w:tcW w:w="723" w:type="pct"/>
            <w:tcBorders>
              <w:left w:val="nil"/>
              <w:bottom w:val="single" w:sz="4" w:space="0" w:color="auto"/>
            </w:tcBorders>
            <w:shd w:val="clear" w:color="auto" w:fill="auto"/>
          </w:tcPr>
          <w:p w:rsidR="00EC1798" w:rsidRDefault="00EC1798" w:rsidP="00BA28CC">
            <w:proofErr w:type="spellStart"/>
            <w:r>
              <w:t>ft</w:t>
            </w:r>
            <w:proofErr w:type="spellEnd"/>
          </w:p>
        </w:tc>
        <w:tc>
          <w:tcPr>
            <w:tcW w:w="1156" w:type="pct"/>
            <w:tcBorders>
              <w:bottom w:val="single" w:sz="4" w:space="0" w:color="auto"/>
              <w:right w:val="nil"/>
            </w:tcBorders>
            <w:shd w:val="clear" w:color="auto" w:fill="auto"/>
          </w:tcPr>
          <w:p w:rsidR="00EC1798" w:rsidRPr="006F405C" w:rsidRDefault="00EC1798" w:rsidP="00BA28CC">
            <w:pPr>
              <w:rPr>
                <w:b/>
              </w:rPr>
            </w:pPr>
            <w:r w:rsidRPr="006F405C">
              <w:rPr>
                <w:b/>
              </w:rPr>
              <w:t>Sensitivity:</w:t>
            </w:r>
          </w:p>
        </w:tc>
        <w:tc>
          <w:tcPr>
            <w:tcW w:w="723" w:type="pct"/>
            <w:tcBorders>
              <w:left w:val="nil"/>
              <w:bottom w:val="single" w:sz="4" w:space="0" w:color="auto"/>
            </w:tcBorders>
            <w:shd w:val="clear" w:color="auto" w:fill="auto"/>
          </w:tcPr>
          <w:p w:rsidR="00EC1798" w:rsidRDefault="00EC1798" w:rsidP="00BA28CC">
            <w:r>
              <w:t>Low</w:t>
            </w:r>
          </w:p>
        </w:tc>
      </w:tr>
    </w:tbl>
    <w:p w:rsidR="00EC1798" w:rsidRDefault="00EC1798"/>
    <w:p w:rsidR="00EC1798" w:rsidRDefault="00EC1798" w:rsidP="00EC1798">
      <w:r>
        <w:t>The source thickness should equal the maximum depth range of contamination in the aquifer</w:t>
      </w:r>
      <w:r w:rsidR="000437B4">
        <w:t xml:space="preserve"> at the source</w:t>
      </w:r>
      <w:r>
        <w:t xml:space="preserve"> (i.e., below the seasonally high water table). For petroleum contaminants this </w:t>
      </w:r>
      <w:r w:rsidR="00D36B43">
        <w:t>is</w:t>
      </w:r>
      <w:r>
        <w:t xml:space="preserve"> the smear zone. The depth of contamination in the saturated zone is best determined using nested wells to vertically delineate the source. </w:t>
      </w:r>
    </w:p>
    <w:p w:rsidR="00EC1798" w:rsidRDefault="00EC1798" w:rsidP="00EC1798"/>
    <w:p w:rsidR="00EC1798" w:rsidRDefault="00EC1798">
      <w:r>
        <w:t xml:space="preserve">The predicted centerline concentrations and plume length have virtually no sensitivity to the source thickness. </w:t>
      </w:r>
      <w:r w:rsidR="000437B4">
        <w:t>However, t</w:t>
      </w:r>
      <w:r>
        <w:t xml:space="preserve">he source thickness is critical to the plume mass loading. Therefore, </w:t>
      </w:r>
      <w:r w:rsidR="000437B4">
        <w:t xml:space="preserve">when </w:t>
      </w:r>
      <w:r>
        <w:t xml:space="preserve">modeling stream impacts this parameter must be </w:t>
      </w:r>
      <w:r w:rsidR="0088218F">
        <w:t xml:space="preserve">defined </w:t>
      </w:r>
      <w:r>
        <w:t>carefully.</w:t>
      </w:r>
    </w:p>
    <w:p w:rsidR="00703F8A" w:rsidRDefault="00703F8A">
      <w:pPr>
        <w:rPr>
          <w:rFonts w:ascii="Arial" w:hAnsi="Arial" w:cs="Arial"/>
          <w:b/>
          <w:bCs/>
          <w:i/>
          <w:iCs/>
          <w:sz w:val="28"/>
          <w:szCs w:val="28"/>
        </w:rPr>
      </w:pPr>
      <w:r>
        <w:br w:type="page"/>
      </w:r>
    </w:p>
    <w:p w:rsidR="007B625E" w:rsidRDefault="007B625E" w:rsidP="004733A6">
      <w:pPr>
        <w:pStyle w:val="Heading2"/>
      </w:pPr>
      <w:bookmarkStart w:id="21" w:name="_Toc381357784"/>
      <w:r>
        <w:lastRenderedPageBreak/>
        <w:t>Time</w:t>
      </w:r>
      <w:bookmarkEnd w:id="21"/>
    </w:p>
    <w:tbl>
      <w:tblPr>
        <w:tblW w:w="32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1084"/>
        <w:gridCol w:w="1010"/>
        <w:gridCol w:w="857"/>
        <w:gridCol w:w="848"/>
        <w:gridCol w:w="1394"/>
        <w:gridCol w:w="1044"/>
      </w:tblGrid>
      <w:tr w:rsidR="00377C7E" w:rsidTr="00064437">
        <w:tc>
          <w:tcPr>
            <w:tcW w:w="828" w:type="pct"/>
            <w:tcBorders>
              <w:bottom w:val="single" w:sz="4" w:space="0" w:color="auto"/>
              <w:right w:val="nil"/>
            </w:tcBorders>
            <w:shd w:val="clear" w:color="auto" w:fill="auto"/>
          </w:tcPr>
          <w:p w:rsidR="00377C7E" w:rsidRPr="006F405C" w:rsidRDefault="00377C7E" w:rsidP="00F66A11">
            <w:pPr>
              <w:rPr>
                <w:b/>
              </w:rPr>
            </w:pPr>
            <w:r w:rsidRPr="006F405C">
              <w:rPr>
                <w:b/>
              </w:rPr>
              <w:t>Symbol:</w:t>
            </w:r>
          </w:p>
        </w:tc>
        <w:tc>
          <w:tcPr>
            <w:tcW w:w="849" w:type="pct"/>
            <w:tcBorders>
              <w:left w:val="nil"/>
              <w:bottom w:val="single" w:sz="4" w:space="0" w:color="auto"/>
            </w:tcBorders>
            <w:shd w:val="clear" w:color="auto" w:fill="auto"/>
          </w:tcPr>
          <w:p w:rsidR="00377C7E" w:rsidRPr="006F405C" w:rsidRDefault="00377C7E" w:rsidP="00F66A11">
            <w:pPr>
              <w:rPr>
                <w:vertAlign w:val="subscript"/>
              </w:rPr>
            </w:pPr>
            <w:r w:rsidRPr="006F405C">
              <w:rPr>
                <w:i/>
              </w:rPr>
              <w:t>t</w:t>
            </w:r>
          </w:p>
        </w:tc>
        <w:tc>
          <w:tcPr>
            <w:tcW w:w="722" w:type="pct"/>
            <w:tcBorders>
              <w:bottom w:val="single" w:sz="4" w:space="0" w:color="auto"/>
              <w:right w:val="nil"/>
            </w:tcBorders>
            <w:shd w:val="clear" w:color="auto" w:fill="auto"/>
          </w:tcPr>
          <w:p w:rsidR="00377C7E" w:rsidRPr="006F405C" w:rsidRDefault="00377C7E" w:rsidP="00F66A11">
            <w:pPr>
              <w:rPr>
                <w:b/>
              </w:rPr>
            </w:pPr>
            <w:r w:rsidRPr="006F405C">
              <w:rPr>
                <w:b/>
              </w:rPr>
              <w:t>Units:</w:t>
            </w:r>
          </w:p>
        </w:tc>
        <w:tc>
          <w:tcPr>
            <w:tcW w:w="723" w:type="pct"/>
            <w:tcBorders>
              <w:left w:val="nil"/>
              <w:bottom w:val="single" w:sz="4" w:space="0" w:color="auto"/>
            </w:tcBorders>
            <w:shd w:val="clear" w:color="auto" w:fill="auto"/>
          </w:tcPr>
          <w:p w:rsidR="00377C7E" w:rsidRDefault="00377C7E" w:rsidP="00F66A11">
            <w:r>
              <w:t>days</w:t>
            </w:r>
          </w:p>
        </w:tc>
        <w:tc>
          <w:tcPr>
            <w:tcW w:w="1156" w:type="pct"/>
            <w:tcBorders>
              <w:bottom w:val="single" w:sz="4" w:space="0" w:color="auto"/>
              <w:right w:val="nil"/>
            </w:tcBorders>
            <w:shd w:val="clear" w:color="auto" w:fill="auto"/>
          </w:tcPr>
          <w:p w:rsidR="00377C7E" w:rsidRPr="006F405C" w:rsidRDefault="00377C7E" w:rsidP="00F66A11">
            <w:pPr>
              <w:rPr>
                <w:b/>
              </w:rPr>
            </w:pPr>
            <w:r w:rsidRPr="006F405C">
              <w:rPr>
                <w:b/>
              </w:rPr>
              <w:t>Sensitivity:</w:t>
            </w:r>
          </w:p>
        </w:tc>
        <w:tc>
          <w:tcPr>
            <w:tcW w:w="723" w:type="pct"/>
            <w:tcBorders>
              <w:left w:val="nil"/>
              <w:bottom w:val="single" w:sz="4" w:space="0" w:color="auto"/>
            </w:tcBorders>
            <w:shd w:val="clear" w:color="auto" w:fill="auto"/>
          </w:tcPr>
          <w:p w:rsidR="00377C7E" w:rsidRDefault="00377C7E" w:rsidP="00F66A11">
            <w:r>
              <w:t>Medium</w:t>
            </w:r>
          </w:p>
        </w:tc>
      </w:tr>
    </w:tbl>
    <w:p w:rsidR="007B625E" w:rsidRDefault="007B625E"/>
    <w:p w:rsidR="009F5C05" w:rsidRDefault="009F5C05">
      <w:r>
        <w:t>Time is measured from the date of the release.</w:t>
      </w:r>
      <w:r w:rsidR="00BA6275">
        <w:t xml:space="preserve"> Steady state is achieved when the farthest downgradient concentrations no longer change with increasing time.</w:t>
      </w:r>
      <w:r>
        <w:t xml:space="preserve"> </w:t>
      </w:r>
      <w:r w:rsidR="003D6C6F">
        <w:t xml:space="preserve">The user should determine when steady state </w:t>
      </w:r>
      <w:r w:rsidR="00C47690">
        <w:t>occurs</w:t>
      </w:r>
      <w:r w:rsidR="003D6C6F">
        <w:t xml:space="preserve"> because thereafter the calibrations and predictions will not be sensitive to the age of the plume.</w:t>
      </w:r>
      <w:r w:rsidR="00293F92">
        <w:t xml:space="preserve"> Under typical conditions steady state is </w:t>
      </w:r>
      <w:r w:rsidR="00C47690">
        <w:t xml:space="preserve">realized </w:t>
      </w:r>
      <w:r w:rsidR="00293F92">
        <w:t xml:space="preserve">within a few years. </w:t>
      </w:r>
      <w:r w:rsidR="003D6C6F">
        <w:t xml:space="preserve">When there is source decay </w:t>
      </w:r>
      <w:r w:rsidR="009A5675">
        <w:t xml:space="preserve">(e.g., in </w:t>
      </w:r>
      <w:proofErr w:type="spellStart"/>
      <w:r w:rsidR="009A5675">
        <w:t>Bioscreen</w:t>
      </w:r>
      <w:proofErr w:type="spellEnd"/>
      <w:r w:rsidR="009A5675">
        <w:t xml:space="preserve"> models) </w:t>
      </w:r>
      <w:r w:rsidR="003D6C6F">
        <w:t>t</w:t>
      </w:r>
      <w:r w:rsidR="00087F95">
        <w:t xml:space="preserve">ime is </w:t>
      </w:r>
      <w:r w:rsidR="00C47690">
        <w:t xml:space="preserve">much more </w:t>
      </w:r>
      <w:r w:rsidR="003D6C6F">
        <w:t xml:space="preserve">important </w:t>
      </w:r>
      <w:r w:rsidR="00293F92">
        <w:t xml:space="preserve">because the model never </w:t>
      </w:r>
      <w:r w:rsidR="003D6C6F">
        <w:t>attain</w:t>
      </w:r>
      <w:r w:rsidR="00293F92">
        <w:t>s steady state</w:t>
      </w:r>
      <w:r w:rsidR="00087F95">
        <w:t>.</w:t>
      </w:r>
    </w:p>
    <w:p w:rsidR="007B625E" w:rsidRDefault="007B625E" w:rsidP="004733A6">
      <w:pPr>
        <w:pStyle w:val="Heading2"/>
      </w:pPr>
      <w:bookmarkStart w:id="22" w:name="_Hydraulic_Conductivity"/>
      <w:bookmarkStart w:id="23" w:name="_Toc381357785"/>
      <w:bookmarkEnd w:id="22"/>
      <w:r>
        <w:t>Hydraulic Conductivity</w:t>
      </w:r>
      <w:bookmarkEnd w:id="23"/>
    </w:p>
    <w:tbl>
      <w:tblPr>
        <w:tblW w:w="32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1084"/>
        <w:gridCol w:w="1048"/>
        <w:gridCol w:w="890"/>
        <w:gridCol w:w="892"/>
        <w:gridCol w:w="1432"/>
        <w:gridCol w:w="891"/>
      </w:tblGrid>
      <w:tr w:rsidR="00377C7E" w:rsidTr="00064437">
        <w:tc>
          <w:tcPr>
            <w:tcW w:w="828" w:type="pct"/>
            <w:tcBorders>
              <w:bottom w:val="single" w:sz="4" w:space="0" w:color="auto"/>
              <w:right w:val="nil"/>
            </w:tcBorders>
            <w:shd w:val="clear" w:color="auto" w:fill="auto"/>
          </w:tcPr>
          <w:p w:rsidR="00377C7E" w:rsidRPr="006F405C" w:rsidRDefault="00377C7E" w:rsidP="00F66A11">
            <w:pPr>
              <w:rPr>
                <w:b/>
              </w:rPr>
            </w:pPr>
            <w:r w:rsidRPr="006F405C">
              <w:rPr>
                <w:b/>
              </w:rPr>
              <w:t>Symbol:</w:t>
            </w:r>
          </w:p>
        </w:tc>
        <w:tc>
          <w:tcPr>
            <w:tcW w:w="849" w:type="pct"/>
            <w:tcBorders>
              <w:left w:val="nil"/>
              <w:bottom w:val="single" w:sz="4" w:space="0" w:color="auto"/>
            </w:tcBorders>
            <w:shd w:val="clear" w:color="auto" w:fill="auto"/>
          </w:tcPr>
          <w:p w:rsidR="00377C7E" w:rsidRPr="006F405C" w:rsidRDefault="00377C7E" w:rsidP="00F66A11">
            <w:pPr>
              <w:rPr>
                <w:vertAlign w:val="subscript"/>
              </w:rPr>
            </w:pPr>
            <w:r w:rsidRPr="006F405C">
              <w:rPr>
                <w:i/>
              </w:rPr>
              <w:t>K</w:t>
            </w:r>
          </w:p>
        </w:tc>
        <w:tc>
          <w:tcPr>
            <w:tcW w:w="722" w:type="pct"/>
            <w:tcBorders>
              <w:bottom w:val="single" w:sz="4" w:space="0" w:color="auto"/>
              <w:right w:val="nil"/>
            </w:tcBorders>
            <w:shd w:val="clear" w:color="auto" w:fill="auto"/>
          </w:tcPr>
          <w:p w:rsidR="00377C7E" w:rsidRPr="006F405C" w:rsidRDefault="00377C7E" w:rsidP="00F66A11">
            <w:pPr>
              <w:rPr>
                <w:b/>
              </w:rPr>
            </w:pPr>
            <w:r w:rsidRPr="006F405C">
              <w:rPr>
                <w:b/>
              </w:rPr>
              <w:t>Units:</w:t>
            </w:r>
          </w:p>
        </w:tc>
        <w:tc>
          <w:tcPr>
            <w:tcW w:w="723" w:type="pct"/>
            <w:tcBorders>
              <w:left w:val="nil"/>
              <w:bottom w:val="single" w:sz="4" w:space="0" w:color="auto"/>
            </w:tcBorders>
            <w:shd w:val="clear" w:color="auto" w:fill="auto"/>
          </w:tcPr>
          <w:p w:rsidR="00377C7E" w:rsidRDefault="00377C7E" w:rsidP="00F66A11">
            <w:proofErr w:type="spellStart"/>
            <w:r>
              <w:t>ft</w:t>
            </w:r>
            <w:proofErr w:type="spellEnd"/>
            <w:r>
              <w:t>/day</w:t>
            </w:r>
          </w:p>
        </w:tc>
        <w:tc>
          <w:tcPr>
            <w:tcW w:w="1156" w:type="pct"/>
            <w:tcBorders>
              <w:bottom w:val="single" w:sz="4" w:space="0" w:color="auto"/>
              <w:right w:val="nil"/>
            </w:tcBorders>
            <w:shd w:val="clear" w:color="auto" w:fill="auto"/>
          </w:tcPr>
          <w:p w:rsidR="00377C7E" w:rsidRPr="006F405C" w:rsidRDefault="00377C7E" w:rsidP="00F66A11">
            <w:pPr>
              <w:rPr>
                <w:b/>
              </w:rPr>
            </w:pPr>
            <w:r w:rsidRPr="006F405C">
              <w:rPr>
                <w:b/>
              </w:rPr>
              <w:t>Sensitivity:</w:t>
            </w:r>
          </w:p>
        </w:tc>
        <w:tc>
          <w:tcPr>
            <w:tcW w:w="723" w:type="pct"/>
            <w:tcBorders>
              <w:left w:val="nil"/>
              <w:bottom w:val="single" w:sz="4" w:space="0" w:color="auto"/>
            </w:tcBorders>
            <w:shd w:val="clear" w:color="auto" w:fill="auto"/>
          </w:tcPr>
          <w:p w:rsidR="00377C7E" w:rsidRDefault="00377C7E" w:rsidP="00F66A11">
            <w:r>
              <w:t>High</w:t>
            </w:r>
          </w:p>
        </w:tc>
      </w:tr>
    </w:tbl>
    <w:p w:rsidR="007B625E" w:rsidRDefault="007B625E"/>
    <w:p w:rsidR="00202AAB" w:rsidRDefault="00202AAB">
      <w:r>
        <w:t xml:space="preserve">Contaminant transport is dominated by </w:t>
      </w:r>
      <w:proofErr w:type="spellStart"/>
      <w:r>
        <w:t>advective</w:t>
      </w:r>
      <w:proofErr w:type="spellEnd"/>
      <w:r>
        <w:t xml:space="preserve"> groundwater flow. The groundwater velocity is primarily controlled by </w:t>
      </w:r>
      <w:r w:rsidR="000B44BA">
        <w:t xml:space="preserve">the </w:t>
      </w:r>
      <w:r>
        <w:t xml:space="preserve">hydraulic conductivity and hydraulic gradient. Properly selecting the hydraulic </w:t>
      </w:r>
      <w:r w:rsidR="00216F9B">
        <w:t>conductivity</w:t>
      </w:r>
      <w:r>
        <w:t xml:space="preserve"> with well test data, model calibration, or appropriately conservative literature values is essential for a valid </w:t>
      </w:r>
      <w:r w:rsidR="009224C2">
        <w:t>analysis</w:t>
      </w:r>
      <w:r>
        <w:t>.</w:t>
      </w:r>
      <w:r w:rsidR="00205968">
        <w:t xml:space="preserve"> Refer to </w:t>
      </w:r>
      <w:hyperlink w:anchor="App2" w:history="1">
        <w:r w:rsidR="00205968" w:rsidRPr="00205968">
          <w:rPr>
            <w:rStyle w:val="Hyperlink"/>
          </w:rPr>
          <w:t>Appendix 2</w:t>
        </w:r>
      </w:hyperlink>
      <w:r w:rsidR="00205968">
        <w:t xml:space="preserve"> for more information on hydraulic </w:t>
      </w:r>
      <w:r w:rsidR="00087F95">
        <w:t>conductivity</w:t>
      </w:r>
      <w:r w:rsidR="00205968">
        <w:t xml:space="preserve">. </w:t>
      </w:r>
    </w:p>
    <w:p w:rsidR="00205968" w:rsidRDefault="00205968"/>
    <w:p w:rsidR="00205968" w:rsidRDefault="000B44BA">
      <w:r>
        <w:t xml:space="preserve">The recommended sources of hydraulic conductivity are the results of pump tests or multiple slug tests at the site. These </w:t>
      </w:r>
      <w:r w:rsidR="00CE170C">
        <w:t xml:space="preserve">results </w:t>
      </w:r>
      <w:r>
        <w:t xml:space="preserve">should not be considered exact values of hydraulic conductivity </w:t>
      </w:r>
      <w:r w:rsidR="00292A2D">
        <w:t xml:space="preserve">for the site </w:t>
      </w:r>
      <w:r w:rsidR="009224C2">
        <w:t xml:space="preserve">because </w:t>
      </w:r>
      <w:r>
        <w:t xml:space="preserve">there can be large spatial and directional variations. Therefore, hydraulic conductivity should be a calibration parameter in </w:t>
      </w:r>
      <w:r w:rsidR="00216F9B">
        <w:t>the model solutions</w:t>
      </w:r>
      <w:r>
        <w:t xml:space="preserve">. </w:t>
      </w:r>
    </w:p>
    <w:p w:rsidR="000B44BA" w:rsidRDefault="000B44BA"/>
    <w:p w:rsidR="000B44BA" w:rsidRDefault="000B44BA">
      <w:r>
        <w:t>If there is no well test data, then other information sources may be used (</w:t>
      </w:r>
      <w:hyperlink w:anchor="App2" w:history="1">
        <w:r w:rsidRPr="00087F95">
          <w:rPr>
            <w:rStyle w:val="Hyperlink"/>
          </w:rPr>
          <w:t>Appendix 2</w:t>
        </w:r>
      </w:hyperlink>
      <w:r>
        <w:t xml:space="preserve">). However, calibration </w:t>
      </w:r>
      <w:r w:rsidR="009224C2">
        <w:t xml:space="preserve">is </w:t>
      </w:r>
      <w:proofErr w:type="gramStart"/>
      <w:r w:rsidR="009224C2">
        <w:t>key</w:t>
      </w:r>
      <w:proofErr w:type="gramEnd"/>
      <w:r w:rsidR="009224C2">
        <w:t xml:space="preserve"> </w:t>
      </w:r>
      <w:r>
        <w:t xml:space="preserve">for such models. Under </w:t>
      </w:r>
      <w:r w:rsidR="00BA6275">
        <w:t xml:space="preserve">some </w:t>
      </w:r>
      <w:r>
        <w:t xml:space="preserve">circumstances a very conservative value of </w:t>
      </w:r>
      <w:r>
        <w:rPr>
          <w:i/>
        </w:rPr>
        <w:t>K</w:t>
      </w:r>
      <w:r>
        <w:t xml:space="preserve"> may be selected without calibrating the model.</w:t>
      </w:r>
      <w:r w:rsidR="00087F95">
        <w:t xml:space="preserve"> </w:t>
      </w:r>
      <w:r w:rsidR="009860C8">
        <w:t xml:space="preserve">The user </w:t>
      </w:r>
      <w:r w:rsidR="00087F95">
        <w:t xml:space="preserve">should not assume that only large values of </w:t>
      </w:r>
      <w:r w:rsidR="00087F95">
        <w:rPr>
          <w:i/>
        </w:rPr>
        <w:t>K</w:t>
      </w:r>
      <w:r w:rsidR="00087F95">
        <w:t xml:space="preserve"> are conservative (</w:t>
      </w:r>
      <w:hyperlink w:anchor="App5" w:history="1">
        <w:r w:rsidR="00087F95" w:rsidRPr="00087F95">
          <w:rPr>
            <w:rStyle w:val="Hyperlink"/>
          </w:rPr>
          <w:t xml:space="preserve">Example </w:t>
        </w:r>
        <w:r w:rsidR="0020546F">
          <w:rPr>
            <w:rStyle w:val="Hyperlink"/>
          </w:rPr>
          <w:t>A4</w:t>
        </w:r>
        <w:r w:rsidR="00087F95" w:rsidRPr="00087F95">
          <w:rPr>
            <w:rStyle w:val="Hyperlink"/>
          </w:rPr>
          <w:t>.1</w:t>
        </w:r>
      </w:hyperlink>
      <w:r w:rsidR="00087F95">
        <w:t>).</w:t>
      </w:r>
    </w:p>
    <w:p w:rsidR="00292A2D" w:rsidRDefault="00292A2D"/>
    <w:p w:rsidR="00292A2D" w:rsidRPr="00E73DA3" w:rsidRDefault="00B4182A">
      <w:pPr>
        <w:rPr>
          <w:rFonts w:ascii="Symbol" w:hAnsi="Symbol"/>
        </w:rPr>
      </w:pPr>
      <w:r>
        <w:t>I</w:t>
      </w:r>
      <w:r w:rsidR="00292A2D">
        <w:t>f there is no transport decay (</w:t>
      </w:r>
      <w:r w:rsidR="00292A2D">
        <w:rPr>
          <w:rFonts w:ascii="Symbol" w:hAnsi="Symbol"/>
          <w:i/>
        </w:rPr>
        <w:t></w:t>
      </w:r>
      <w:r w:rsidR="00292A2D">
        <w:t xml:space="preserve"> = 0), steady state QD model </w:t>
      </w:r>
      <w:r w:rsidR="00BA6275">
        <w:t xml:space="preserve">results </w:t>
      </w:r>
      <w:r w:rsidR="00292A2D">
        <w:t xml:space="preserve">will </w:t>
      </w:r>
      <w:r w:rsidR="007356D2">
        <w:t>have no dependence on</w:t>
      </w:r>
      <w:r w:rsidR="00292A2D">
        <w:t xml:space="preserve"> </w:t>
      </w:r>
      <w:r w:rsidR="00292A2D">
        <w:rPr>
          <w:i/>
        </w:rPr>
        <w:t>K</w:t>
      </w:r>
      <w:r w:rsidR="00292A2D">
        <w:t>.</w:t>
      </w:r>
    </w:p>
    <w:p w:rsidR="007B625E" w:rsidRDefault="007B625E" w:rsidP="004733A6">
      <w:pPr>
        <w:pStyle w:val="Heading2"/>
      </w:pPr>
      <w:bookmarkStart w:id="24" w:name="_Toc381357786"/>
      <w:r>
        <w:t>Hydraulic Gradient</w:t>
      </w:r>
      <w:bookmarkEnd w:id="24"/>
    </w:p>
    <w:tbl>
      <w:tblPr>
        <w:tblW w:w="32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1084"/>
        <w:gridCol w:w="1010"/>
        <w:gridCol w:w="857"/>
        <w:gridCol w:w="848"/>
        <w:gridCol w:w="1394"/>
        <w:gridCol w:w="1044"/>
      </w:tblGrid>
      <w:tr w:rsidR="00377C7E" w:rsidTr="00064437">
        <w:tc>
          <w:tcPr>
            <w:tcW w:w="828" w:type="pct"/>
            <w:tcBorders>
              <w:bottom w:val="single" w:sz="4" w:space="0" w:color="auto"/>
              <w:right w:val="nil"/>
            </w:tcBorders>
            <w:shd w:val="clear" w:color="auto" w:fill="auto"/>
          </w:tcPr>
          <w:p w:rsidR="00377C7E" w:rsidRPr="006F405C" w:rsidRDefault="00377C7E" w:rsidP="00F66A11">
            <w:pPr>
              <w:rPr>
                <w:b/>
              </w:rPr>
            </w:pPr>
            <w:r w:rsidRPr="006F405C">
              <w:rPr>
                <w:b/>
              </w:rPr>
              <w:t>Symbol:</w:t>
            </w:r>
          </w:p>
        </w:tc>
        <w:tc>
          <w:tcPr>
            <w:tcW w:w="849" w:type="pct"/>
            <w:tcBorders>
              <w:left w:val="nil"/>
              <w:bottom w:val="single" w:sz="4" w:space="0" w:color="auto"/>
            </w:tcBorders>
            <w:shd w:val="clear" w:color="auto" w:fill="auto"/>
          </w:tcPr>
          <w:p w:rsidR="00377C7E" w:rsidRPr="006F405C" w:rsidRDefault="00377C7E" w:rsidP="00F66A11">
            <w:pPr>
              <w:rPr>
                <w:vertAlign w:val="subscript"/>
              </w:rPr>
            </w:pPr>
            <w:proofErr w:type="spellStart"/>
            <w:r w:rsidRPr="006F405C">
              <w:rPr>
                <w:i/>
              </w:rPr>
              <w:t>i</w:t>
            </w:r>
            <w:proofErr w:type="spellEnd"/>
          </w:p>
        </w:tc>
        <w:tc>
          <w:tcPr>
            <w:tcW w:w="722" w:type="pct"/>
            <w:tcBorders>
              <w:bottom w:val="single" w:sz="4" w:space="0" w:color="auto"/>
              <w:right w:val="nil"/>
            </w:tcBorders>
            <w:shd w:val="clear" w:color="auto" w:fill="auto"/>
          </w:tcPr>
          <w:p w:rsidR="00377C7E" w:rsidRPr="006F405C" w:rsidRDefault="00377C7E" w:rsidP="00F66A11">
            <w:pPr>
              <w:rPr>
                <w:b/>
              </w:rPr>
            </w:pPr>
            <w:r w:rsidRPr="006F405C">
              <w:rPr>
                <w:b/>
              </w:rPr>
              <w:t>Units:</w:t>
            </w:r>
          </w:p>
        </w:tc>
        <w:tc>
          <w:tcPr>
            <w:tcW w:w="723" w:type="pct"/>
            <w:tcBorders>
              <w:left w:val="nil"/>
              <w:bottom w:val="single" w:sz="4" w:space="0" w:color="auto"/>
            </w:tcBorders>
            <w:shd w:val="clear" w:color="auto" w:fill="auto"/>
          </w:tcPr>
          <w:p w:rsidR="00377C7E" w:rsidRDefault="00377C7E" w:rsidP="00F66A11">
            <w:proofErr w:type="spellStart"/>
            <w:r>
              <w:t>ft</w:t>
            </w:r>
            <w:proofErr w:type="spellEnd"/>
            <w:r>
              <w:t>/</w:t>
            </w:r>
            <w:proofErr w:type="spellStart"/>
            <w:r>
              <w:t>ft</w:t>
            </w:r>
            <w:proofErr w:type="spellEnd"/>
          </w:p>
        </w:tc>
        <w:tc>
          <w:tcPr>
            <w:tcW w:w="1156" w:type="pct"/>
            <w:tcBorders>
              <w:bottom w:val="single" w:sz="4" w:space="0" w:color="auto"/>
              <w:right w:val="nil"/>
            </w:tcBorders>
            <w:shd w:val="clear" w:color="auto" w:fill="auto"/>
          </w:tcPr>
          <w:p w:rsidR="00377C7E" w:rsidRPr="006F405C" w:rsidRDefault="00377C7E" w:rsidP="00F66A11">
            <w:pPr>
              <w:rPr>
                <w:b/>
              </w:rPr>
            </w:pPr>
            <w:r w:rsidRPr="006F405C">
              <w:rPr>
                <w:b/>
              </w:rPr>
              <w:t>Sensitivity:</w:t>
            </w:r>
          </w:p>
        </w:tc>
        <w:tc>
          <w:tcPr>
            <w:tcW w:w="723" w:type="pct"/>
            <w:tcBorders>
              <w:left w:val="nil"/>
              <w:bottom w:val="single" w:sz="4" w:space="0" w:color="auto"/>
            </w:tcBorders>
            <w:shd w:val="clear" w:color="auto" w:fill="auto"/>
          </w:tcPr>
          <w:p w:rsidR="00377C7E" w:rsidRDefault="00377C7E" w:rsidP="00F66A11">
            <w:r>
              <w:t>Medium</w:t>
            </w:r>
          </w:p>
        </w:tc>
      </w:tr>
    </w:tbl>
    <w:p w:rsidR="007B625E" w:rsidRDefault="007B625E"/>
    <w:p w:rsidR="007B625E" w:rsidRDefault="00F90C68">
      <w:r>
        <w:t xml:space="preserve">Hydraulic gradient is the slope of the potentiometric surface in the direction of groundwater flow. It is calculated from </w:t>
      </w:r>
      <w:r w:rsidR="00216F9B">
        <w:t>static water level</w:t>
      </w:r>
      <w:r>
        <w:t xml:space="preserve"> measurements</w:t>
      </w:r>
      <w:r w:rsidR="009224C2">
        <w:t xml:space="preserve"> at monitoring wells</w:t>
      </w:r>
      <w:r>
        <w:t xml:space="preserve">. This parameter must be based on site measurements </w:t>
      </w:r>
      <w:r w:rsidR="009224C2">
        <w:t xml:space="preserve">and </w:t>
      </w:r>
      <w:r>
        <w:t xml:space="preserve">not </w:t>
      </w:r>
      <w:r w:rsidR="009224C2">
        <w:t xml:space="preserve">be </w:t>
      </w:r>
      <w:r>
        <w:t xml:space="preserve">an estimate. </w:t>
      </w:r>
      <w:r w:rsidR="009D329A">
        <w:t>Any l</w:t>
      </w:r>
      <w:r w:rsidR="00216F9B">
        <w:t xml:space="preserve">ongitudinal variation </w:t>
      </w:r>
      <w:r w:rsidR="009D329A">
        <w:t xml:space="preserve">of the gradient </w:t>
      </w:r>
      <w:proofErr w:type="gramStart"/>
      <w:r w:rsidR="009D329A">
        <w:t xml:space="preserve">should </w:t>
      </w:r>
      <w:r w:rsidR="00216F9B">
        <w:t xml:space="preserve"> be</w:t>
      </w:r>
      <w:proofErr w:type="gramEnd"/>
      <w:r w:rsidR="00216F9B">
        <w:t xml:space="preserve"> evaluated.</w:t>
      </w:r>
      <w:r>
        <w:t xml:space="preserve"> A useful calculator for determining the maximum gradient of a planar surface fit to hydraulic head measurements may be found at </w:t>
      </w:r>
      <w:hyperlink w:anchor="_Web_Links" w:history="1">
        <w:r w:rsidRPr="00F90C68">
          <w:rPr>
            <w:rStyle w:val="Hyperlink"/>
          </w:rPr>
          <w:t>EPA’s Online Tools for Site Assessment</w:t>
        </w:r>
      </w:hyperlink>
      <w:r>
        <w:t xml:space="preserve"> website.</w:t>
      </w:r>
    </w:p>
    <w:p w:rsidR="00EB4713" w:rsidRDefault="00EB4713"/>
    <w:p w:rsidR="00EB4713" w:rsidRDefault="009224C2">
      <w:r>
        <w:t>T</w:t>
      </w:r>
      <w:r w:rsidR="00EB4713">
        <w:t xml:space="preserve">he groundwater flow velocity is proportional to the hydraulic gradient. The gradient should not be a </w:t>
      </w:r>
      <w:r w:rsidR="00CE170C">
        <w:t xml:space="preserve">calibration </w:t>
      </w:r>
      <w:r w:rsidR="00A93F72">
        <w:t xml:space="preserve">variable </w:t>
      </w:r>
      <w:r w:rsidR="00EB4713">
        <w:t xml:space="preserve">in the QD </w:t>
      </w:r>
      <w:r w:rsidR="00CE170C">
        <w:t xml:space="preserve">model </w:t>
      </w:r>
      <w:r w:rsidR="00B4182A">
        <w:t>because the uncertainty in</w:t>
      </w:r>
      <w:r w:rsidR="00EB4713">
        <w:t xml:space="preserve"> the flow velocity </w:t>
      </w:r>
      <w:r w:rsidR="00B4182A">
        <w:t>is</w:t>
      </w:r>
      <w:r w:rsidR="00EB4713">
        <w:t xml:space="preserve"> accounted for by varying the hydraulic conductivity</w:t>
      </w:r>
      <w:r w:rsidR="00151BBF">
        <w:t xml:space="preserve"> (</w:t>
      </w:r>
      <w:hyperlink w:anchor="_Hydraulic_Conductivity" w:history="1">
        <w:r w:rsidR="00FC62A4">
          <w:rPr>
            <w:rStyle w:val="Hyperlink"/>
          </w:rPr>
          <w:t xml:space="preserve">Section </w:t>
        </w:r>
        <w:r w:rsidR="00216F9B">
          <w:rPr>
            <w:rStyle w:val="Hyperlink"/>
          </w:rPr>
          <w:t>3.7</w:t>
        </w:r>
      </w:hyperlink>
      <w:r w:rsidR="00151BBF">
        <w:t>)</w:t>
      </w:r>
      <w:r w:rsidR="00EB4713">
        <w:t>.</w:t>
      </w:r>
    </w:p>
    <w:p w:rsidR="007B625E" w:rsidRDefault="007B625E" w:rsidP="004733A6">
      <w:pPr>
        <w:pStyle w:val="Heading2"/>
      </w:pPr>
      <w:bookmarkStart w:id="25" w:name="_Toc381357787"/>
      <w:r>
        <w:lastRenderedPageBreak/>
        <w:t>Effective Porosity</w:t>
      </w:r>
      <w:bookmarkEnd w:id="25"/>
    </w:p>
    <w:tbl>
      <w:tblPr>
        <w:tblW w:w="32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1084"/>
        <w:gridCol w:w="1048"/>
        <w:gridCol w:w="890"/>
        <w:gridCol w:w="892"/>
        <w:gridCol w:w="1432"/>
        <w:gridCol w:w="891"/>
      </w:tblGrid>
      <w:tr w:rsidR="00377C7E" w:rsidTr="00064437">
        <w:tc>
          <w:tcPr>
            <w:tcW w:w="828" w:type="pct"/>
            <w:tcBorders>
              <w:bottom w:val="single" w:sz="4" w:space="0" w:color="auto"/>
              <w:right w:val="nil"/>
            </w:tcBorders>
            <w:shd w:val="clear" w:color="auto" w:fill="auto"/>
          </w:tcPr>
          <w:p w:rsidR="00377C7E" w:rsidRPr="006F405C" w:rsidRDefault="00377C7E" w:rsidP="00F66A11">
            <w:pPr>
              <w:rPr>
                <w:b/>
              </w:rPr>
            </w:pPr>
            <w:r w:rsidRPr="006F405C">
              <w:rPr>
                <w:b/>
              </w:rPr>
              <w:t>Symbol:</w:t>
            </w:r>
          </w:p>
        </w:tc>
        <w:tc>
          <w:tcPr>
            <w:tcW w:w="849" w:type="pct"/>
            <w:tcBorders>
              <w:left w:val="nil"/>
              <w:bottom w:val="single" w:sz="4" w:space="0" w:color="auto"/>
            </w:tcBorders>
            <w:shd w:val="clear" w:color="auto" w:fill="auto"/>
          </w:tcPr>
          <w:p w:rsidR="00377C7E" w:rsidRPr="006F405C" w:rsidRDefault="00377C7E" w:rsidP="00F66A11">
            <w:pPr>
              <w:rPr>
                <w:vertAlign w:val="subscript"/>
              </w:rPr>
            </w:pPr>
            <w:r w:rsidRPr="006F405C">
              <w:rPr>
                <w:i/>
              </w:rPr>
              <w:t>n</w:t>
            </w:r>
            <w:r w:rsidRPr="006F405C">
              <w:rPr>
                <w:vertAlign w:val="subscript"/>
              </w:rPr>
              <w:t>e</w:t>
            </w:r>
          </w:p>
        </w:tc>
        <w:tc>
          <w:tcPr>
            <w:tcW w:w="722" w:type="pct"/>
            <w:tcBorders>
              <w:bottom w:val="single" w:sz="4" w:space="0" w:color="auto"/>
              <w:right w:val="nil"/>
            </w:tcBorders>
            <w:shd w:val="clear" w:color="auto" w:fill="auto"/>
          </w:tcPr>
          <w:p w:rsidR="00377C7E" w:rsidRPr="006F405C" w:rsidRDefault="00377C7E" w:rsidP="00F66A11">
            <w:pPr>
              <w:rPr>
                <w:b/>
              </w:rPr>
            </w:pPr>
            <w:r w:rsidRPr="006F405C">
              <w:rPr>
                <w:b/>
              </w:rPr>
              <w:t>Units:</w:t>
            </w:r>
          </w:p>
        </w:tc>
        <w:tc>
          <w:tcPr>
            <w:tcW w:w="723" w:type="pct"/>
            <w:tcBorders>
              <w:left w:val="nil"/>
              <w:bottom w:val="single" w:sz="4" w:space="0" w:color="auto"/>
            </w:tcBorders>
            <w:shd w:val="clear" w:color="auto" w:fill="auto"/>
          </w:tcPr>
          <w:p w:rsidR="00377C7E" w:rsidRDefault="000D33B1" w:rsidP="00F66A11">
            <w:r>
              <w:t>—</w:t>
            </w:r>
          </w:p>
        </w:tc>
        <w:tc>
          <w:tcPr>
            <w:tcW w:w="1156" w:type="pct"/>
            <w:tcBorders>
              <w:bottom w:val="single" w:sz="4" w:space="0" w:color="auto"/>
              <w:right w:val="nil"/>
            </w:tcBorders>
            <w:shd w:val="clear" w:color="auto" w:fill="auto"/>
          </w:tcPr>
          <w:p w:rsidR="00377C7E" w:rsidRPr="006F405C" w:rsidRDefault="00377C7E" w:rsidP="00F66A11">
            <w:pPr>
              <w:rPr>
                <w:b/>
              </w:rPr>
            </w:pPr>
            <w:r w:rsidRPr="006F405C">
              <w:rPr>
                <w:b/>
              </w:rPr>
              <w:t>Sensitivity:</w:t>
            </w:r>
          </w:p>
        </w:tc>
        <w:tc>
          <w:tcPr>
            <w:tcW w:w="723" w:type="pct"/>
            <w:tcBorders>
              <w:left w:val="nil"/>
              <w:bottom w:val="single" w:sz="4" w:space="0" w:color="auto"/>
            </w:tcBorders>
            <w:shd w:val="clear" w:color="auto" w:fill="auto"/>
          </w:tcPr>
          <w:p w:rsidR="00377C7E" w:rsidRDefault="00377C7E" w:rsidP="00F66A11">
            <w:r>
              <w:t>Low</w:t>
            </w:r>
          </w:p>
        </w:tc>
      </w:tr>
    </w:tbl>
    <w:p w:rsidR="008C7CEE" w:rsidRDefault="008C7CEE"/>
    <w:p w:rsidR="007B625E" w:rsidRDefault="00151BBF">
      <w:r>
        <w:t xml:space="preserve">Effective porosity is the </w:t>
      </w:r>
      <w:proofErr w:type="spellStart"/>
      <w:r>
        <w:t>nondimensional</w:t>
      </w:r>
      <w:proofErr w:type="spellEnd"/>
      <w:r>
        <w:t xml:space="preserve"> ratio of interconnected void space to the bulk volume of the aquifer material. (It is less than the total porosity which </w:t>
      </w:r>
      <w:r w:rsidR="009860C8">
        <w:t xml:space="preserve">includes </w:t>
      </w:r>
      <w:r>
        <w:t xml:space="preserve">all void spaces.) Values for unconsolidated sediments can vary greatly, from 0.01 to ~0.40. An appropriate value </w:t>
      </w:r>
      <w:r w:rsidR="00B4182A">
        <w:t xml:space="preserve">for porous media </w:t>
      </w:r>
      <w:r>
        <w:t>is 0.3</w:t>
      </w:r>
      <w:r w:rsidR="009860C8">
        <w:t xml:space="preserve">, but the user should select a porosity </w:t>
      </w:r>
      <w:r w:rsidR="009224C2">
        <w:t xml:space="preserve">corresponding to </w:t>
      </w:r>
      <w:r w:rsidR="009860C8">
        <w:t>the aquifer</w:t>
      </w:r>
      <w:r w:rsidR="00CE170C">
        <w:t xml:space="preserve"> material at the site</w:t>
      </w:r>
      <w:r>
        <w:t>.</w:t>
      </w:r>
    </w:p>
    <w:p w:rsidR="00151BBF" w:rsidRDefault="00151BBF" w:rsidP="00151BBF"/>
    <w:p w:rsidR="00151BBF" w:rsidRDefault="009224C2">
      <w:r>
        <w:t>T</w:t>
      </w:r>
      <w:r w:rsidR="00151BBF">
        <w:t>he groundwater flow velocity is inversely proportional to the effective porosity.</w:t>
      </w:r>
      <w:r w:rsidR="005A6ECB">
        <w:t xml:space="preserve"> </w:t>
      </w:r>
      <w:r>
        <w:t>It</w:t>
      </w:r>
      <w:r w:rsidR="005A6ECB">
        <w:t xml:space="preserve"> </w:t>
      </w:r>
      <w:r w:rsidR="00B4182A">
        <w:t>is also a factor in</w:t>
      </w:r>
      <w:r w:rsidR="005A6ECB">
        <w:t xml:space="preserve"> the retardation factor </w:t>
      </w:r>
      <w:r w:rsidR="00B4182A">
        <w:t xml:space="preserve">calculation </w:t>
      </w:r>
      <w:r w:rsidR="005A6ECB">
        <w:t>(</w:t>
      </w:r>
      <w:hyperlink w:anchor="_Calculated_Quantities" w:history="1">
        <w:r w:rsidR="00FC62A4">
          <w:rPr>
            <w:rStyle w:val="Hyperlink"/>
          </w:rPr>
          <w:t xml:space="preserve">Section </w:t>
        </w:r>
        <w:r w:rsidR="00FC3D89">
          <w:rPr>
            <w:rStyle w:val="Hyperlink"/>
          </w:rPr>
          <w:t>3.16</w:t>
        </w:r>
      </w:hyperlink>
      <w:r w:rsidR="005A6ECB">
        <w:t>).</w:t>
      </w:r>
      <w:r w:rsidR="00151BBF">
        <w:t xml:space="preserve"> The </w:t>
      </w:r>
      <w:r>
        <w:t xml:space="preserve">effective </w:t>
      </w:r>
      <w:r w:rsidR="00151BBF">
        <w:t xml:space="preserve">porosity should not be a </w:t>
      </w:r>
      <w:r w:rsidR="00CE170C">
        <w:t xml:space="preserve">calibration </w:t>
      </w:r>
      <w:r w:rsidR="00A93F72">
        <w:t>variable</w:t>
      </w:r>
      <w:r w:rsidR="00151BBF">
        <w:t xml:space="preserve"> in the QD </w:t>
      </w:r>
      <w:r w:rsidR="00CE170C">
        <w:t xml:space="preserve">model </w:t>
      </w:r>
      <w:r w:rsidR="0015093B">
        <w:t>because</w:t>
      </w:r>
      <w:r w:rsidR="00B4182A">
        <w:t xml:space="preserve"> the uncertainty in</w:t>
      </w:r>
      <w:r w:rsidR="00151BBF">
        <w:t xml:space="preserve"> the flow velocity </w:t>
      </w:r>
      <w:r w:rsidR="00CE170C">
        <w:t>is better</w:t>
      </w:r>
      <w:r w:rsidR="00151BBF">
        <w:t xml:space="preserve"> accounted for by varying the hydraulic conductivity (</w:t>
      </w:r>
      <w:hyperlink w:anchor="_Hydraulic_Conductivity" w:history="1">
        <w:r w:rsidR="00FC62A4">
          <w:rPr>
            <w:rStyle w:val="Hyperlink"/>
          </w:rPr>
          <w:t xml:space="preserve">Section </w:t>
        </w:r>
        <w:r w:rsidR="00216F9B">
          <w:rPr>
            <w:rStyle w:val="Hyperlink"/>
          </w:rPr>
          <w:t>3.7</w:t>
        </w:r>
      </w:hyperlink>
      <w:r w:rsidR="00151BBF">
        <w:t>).</w:t>
      </w:r>
    </w:p>
    <w:p w:rsidR="002A7D90" w:rsidRDefault="002A7D90"/>
    <w:p w:rsidR="007B625E" w:rsidRDefault="007B625E" w:rsidP="004733A6">
      <w:pPr>
        <w:pStyle w:val="Heading2"/>
      </w:pPr>
      <w:bookmarkStart w:id="26" w:name="_Groundwater_Velocity"/>
      <w:bookmarkStart w:id="27" w:name="_Toc381357788"/>
      <w:bookmarkEnd w:id="26"/>
      <w:r>
        <w:t>Bulk Density</w:t>
      </w:r>
      <w:bookmarkEnd w:id="27"/>
    </w:p>
    <w:tbl>
      <w:tblPr>
        <w:tblW w:w="32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1084"/>
        <w:gridCol w:w="1048"/>
        <w:gridCol w:w="890"/>
        <w:gridCol w:w="892"/>
        <w:gridCol w:w="1432"/>
        <w:gridCol w:w="891"/>
      </w:tblGrid>
      <w:tr w:rsidR="00377C7E" w:rsidTr="00064437">
        <w:tc>
          <w:tcPr>
            <w:tcW w:w="828" w:type="pct"/>
            <w:tcBorders>
              <w:bottom w:val="single" w:sz="4" w:space="0" w:color="auto"/>
              <w:right w:val="nil"/>
            </w:tcBorders>
            <w:shd w:val="clear" w:color="auto" w:fill="auto"/>
          </w:tcPr>
          <w:p w:rsidR="00377C7E" w:rsidRPr="006F405C" w:rsidRDefault="00377C7E" w:rsidP="00F66A11">
            <w:pPr>
              <w:rPr>
                <w:b/>
              </w:rPr>
            </w:pPr>
            <w:r w:rsidRPr="006F405C">
              <w:rPr>
                <w:b/>
              </w:rPr>
              <w:t>Symbol:</w:t>
            </w:r>
          </w:p>
        </w:tc>
        <w:tc>
          <w:tcPr>
            <w:tcW w:w="849" w:type="pct"/>
            <w:tcBorders>
              <w:left w:val="nil"/>
              <w:bottom w:val="single" w:sz="4" w:space="0" w:color="auto"/>
            </w:tcBorders>
            <w:shd w:val="clear" w:color="auto" w:fill="auto"/>
          </w:tcPr>
          <w:p w:rsidR="00377C7E" w:rsidRPr="006F405C" w:rsidRDefault="00377C7E" w:rsidP="00F66A11">
            <w:pPr>
              <w:rPr>
                <w:rFonts w:ascii="Symbol" w:hAnsi="Symbol"/>
                <w:vertAlign w:val="subscript"/>
              </w:rPr>
            </w:pPr>
            <w:r w:rsidRPr="006F405C">
              <w:rPr>
                <w:rFonts w:ascii="Symbol" w:hAnsi="Symbol"/>
                <w:i/>
              </w:rPr>
              <w:t></w:t>
            </w:r>
            <w:r w:rsidRPr="006F405C">
              <w:rPr>
                <w:vertAlign w:val="subscript"/>
              </w:rPr>
              <w:t>b</w:t>
            </w:r>
          </w:p>
        </w:tc>
        <w:tc>
          <w:tcPr>
            <w:tcW w:w="722" w:type="pct"/>
            <w:tcBorders>
              <w:bottom w:val="single" w:sz="4" w:space="0" w:color="auto"/>
              <w:right w:val="nil"/>
            </w:tcBorders>
            <w:shd w:val="clear" w:color="auto" w:fill="auto"/>
          </w:tcPr>
          <w:p w:rsidR="00377C7E" w:rsidRPr="006F405C" w:rsidRDefault="00377C7E" w:rsidP="00F66A11">
            <w:pPr>
              <w:rPr>
                <w:b/>
              </w:rPr>
            </w:pPr>
            <w:r w:rsidRPr="006F405C">
              <w:rPr>
                <w:b/>
              </w:rPr>
              <w:t>Units:</w:t>
            </w:r>
          </w:p>
        </w:tc>
        <w:tc>
          <w:tcPr>
            <w:tcW w:w="723" w:type="pct"/>
            <w:tcBorders>
              <w:left w:val="nil"/>
              <w:bottom w:val="single" w:sz="4" w:space="0" w:color="auto"/>
            </w:tcBorders>
            <w:shd w:val="clear" w:color="auto" w:fill="auto"/>
          </w:tcPr>
          <w:p w:rsidR="00377C7E" w:rsidRPr="006F405C" w:rsidRDefault="00377C7E" w:rsidP="00F66A11">
            <w:pPr>
              <w:rPr>
                <w:vertAlign w:val="superscript"/>
              </w:rPr>
            </w:pPr>
            <w:r>
              <w:t>g/cm</w:t>
            </w:r>
            <w:r w:rsidRPr="006F405C">
              <w:rPr>
                <w:vertAlign w:val="superscript"/>
              </w:rPr>
              <w:t>3</w:t>
            </w:r>
          </w:p>
        </w:tc>
        <w:tc>
          <w:tcPr>
            <w:tcW w:w="1156" w:type="pct"/>
            <w:tcBorders>
              <w:bottom w:val="single" w:sz="4" w:space="0" w:color="auto"/>
              <w:right w:val="nil"/>
            </w:tcBorders>
            <w:shd w:val="clear" w:color="auto" w:fill="auto"/>
          </w:tcPr>
          <w:p w:rsidR="00377C7E" w:rsidRPr="006F405C" w:rsidRDefault="00377C7E" w:rsidP="00F66A11">
            <w:pPr>
              <w:rPr>
                <w:b/>
              </w:rPr>
            </w:pPr>
            <w:r w:rsidRPr="006F405C">
              <w:rPr>
                <w:b/>
              </w:rPr>
              <w:t>Sensitivity:</w:t>
            </w:r>
          </w:p>
        </w:tc>
        <w:tc>
          <w:tcPr>
            <w:tcW w:w="723" w:type="pct"/>
            <w:tcBorders>
              <w:left w:val="nil"/>
              <w:bottom w:val="single" w:sz="4" w:space="0" w:color="auto"/>
            </w:tcBorders>
            <w:shd w:val="clear" w:color="auto" w:fill="auto"/>
          </w:tcPr>
          <w:p w:rsidR="00377C7E" w:rsidRDefault="00377C7E" w:rsidP="00F66A11">
            <w:r>
              <w:t>Low</w:t>
            </w:r>
          </w:p>
        </w:tc>
      </w:tr>
    </w:tbl>
    <w:p w:rsidR="007B625E" w:rsidRDefault="007B625E"/>
    <w:p w:rsidR="007B625E" w:rsidRDefault="005A6ECB">
      <w:r>
        <w:t xml:space="preserve">The aquifer matrix bulk density is </w:t>
      </w:r>
      <w:r w:rsidR="000755C9">
        <w:t>input on a dry basis</w:t>
      </w:r>
      <w:r>
        <w:t>. A typical value for unconsolidated materials is 1.7 g/cm</w:t>
      </w:r>
      <w:r>
        <w:rPr>
          <w:vertAlign w:val="superscript"/>
        </w:rPr>
        <w:t>3</w:t>
      </w:r>
      <w:r>
        <w:t xml:space="preserve">. </w:t>
      </w:r>
    </w:p>
    <w:p w:rsidR="000755C9" w:rsidRDefault="000755C9"/>
    <w:p w:rsidR="000755C9" w:rsidRPr="005A6ECB" w:rsidRDefault="000755C9">
      <w:r>
        <w:t xml:space="preserve">The bulk density is used to calculate the solute adsorption, or retardation, factor, </w:t>
      </w:r>
      <w:r>
        <w:rPr>
          <w:i/>
        </w:rPr>
        <w:t>R</w:t>
      </w:r>
      <w:r>
        <w:t xml:space="preserve"> (</w:t>
      </w:r>
      <w:hyperlink w:anchor="_Calculated_Quantities" w:history="1">
        <w:r w:rsidR="00FC62A4">
          <w:rPr>
            <w:rStyle w:val="Hyperlink"/>
          </w:rPr>
          <w:t xml:space="preserve">Section </w:t>
        </w:r>
        <w:r w:rsidR="00CE170C">
          <w:rPr>
            <w:rStyle w:val="Hyperlink"/>
          </w:rPr>
          <w:t>3.16</w:t>
        </w:r>
      </w:hyperlink>
      <w:r>
        <w:t xml:space="preserve">). The retardation, in turn, affects the contaminant velocity. Therefore, the bulk density should not be </w:t>
      </w:r>
      <w:r w:rsidR="00A93F72">
        <w:t xml:space="preserve">varied </w:t>
      </w:r>
      <w:r>
        <w:t xml:space="preserve">in the QD calibration; </w:t>
      </w:r>
      <w:r w:rsidR="00A93F72">
        <w:t xml:space="preserve">the uncertainty in the </w:t>
      </w:r>
      <w:r>
        <w:t xml:space="preserve">velocity </w:t>
      </w:r>
      <w:r w:rsidR="002F7370">
        <w:t>is</w:t>
      </w:r>
      <w:r>
        <w:t xml:space="preserve"> accounted for by varying the hydraulic conductivity (</w:t>
      </w:r>
      <w:hyperlink w:anchor="_Hydraulic_Conductivity" w:history="1">
        <w:r w:rsidR="00FC62A4">
          <w:rPr>
            <w:rStyle w:val="Hyperlink"/>
          </w:rPr>
          <w:t xml:space="preserve">Section </w:t>
        </w:r>
        <w:r w:rsidR="00216F9B">
          <w:rPr>
            <w:rStyle w:val="Hyperlink"/>
          </w:rPr>
          <w:t>3.7</w:t>
        </w:r>
      </w:hyperlink>
      <w:r>
        <w:t>).</w:t>
      </w:r>
    </w:p>
    <w:p w:rsidR="007E0430" w:rsidRDefault="007E0430">
      <w:pPr>
        <w:rPr>
          <w:rFonts w:ascii="Arial" w:hAnsi="Arial" w:cs="Arial"/>
          <w:b/>
          <w:bCs/>
          <w:i/>
          <w:iCs/>
          <w:sz w:val="28"/>
          <w:szCs w:val="28"/>
        </w:rPr>
      </w:pPr>
    </w:p>
    <w:p w:rsidR="007B625E" w:rsidRDefault="007B625E" w:rsidP="004733A6">
      <w:pPr>
        <w:pStyle w:val="Heading2"/>
      </w:pPr>
      <w:bookmarkStart w:id="28" w:name="_Toc381357789"/>
      <w:r>
        <w:t>Organic Carbon Partition Coefficient</w:t>
      </w:r>
      <w:bookmarkEnd w:id="28"/>
    </w:p>
    <w:tbl>
      <w:tblPr>
        <w:tblW w:w="32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1084"/>
        <w:gridCol w:w="1048"/>
        <w:gridCol w:w="890"/>
        <w:gridCol w:w="892"/>
        <w:gridCol w:w="1432"/>
        <w:gridCol w:w="891"/>
      </w:tblGrid>
      <w:tr w:rsidR="00377C7E" w:rsidTr="00064437">
        <w:tc>
          <w:tcPr>
            <w:tcW w:w="828" w:type="pct"/>
            <w:tcBorders>
              <w:bottom w:val="single" w:sz="4" w:space="0" w:color="auto"/>
              <w:right w:val="nil"/>
            </w:tcBorders>
            <w:shd w:val="clear" w:color="auto" w:fill="auto"/>
          </w:tcPr>
          <w:p w:rsidR="00377C7E" w:rsidRPr="006F405C" w:rsidRDefault="00377C7E" w:rsidP="00F66A11">
            <w:pPr>
              <w:rPr>
                <w:b/>
              </w:rPr>
            </w:pPr>
            <w:r w:rsidRPr="006F405C">
              <w:rPr>
                <w:b/>
              </w:rPr>
              <w:t>Symbol:</w:t>
            </w:r>
          </w:p>
        </w:tc>
        <w:tc>
          <w:tcPr>
            <w:tcW w:w="849" w:type="pct"/>
            <w:tcBorders>
              <w:left w:val="nil"/>
              <w:bottom w:val="single" w:sz="4" w:space="0" w:color="auto"/>
            </w:tcBorders>
            <w:shd w:val="clear" w:color="auto" w:fill="auto"/>
          </w:tcPr>
          <w:p w:rsidR="00377C7E" w:rsidRPr="006F405C" w:rsidRDefault="00377C7E" w:rsidP="00F66A11">
            <w:pPr>
              <w:rPr>
                <w:vertAlign w:val="subscript"/>
              </w:rPr>
            </w:pPr>
            <w:proofErr w:type="spellStart"/>
            <w:r w:rsidRPr="006F405C">
              <w:rPr>
                <w:i/>
              </w:rPr>
              <w:t>K</w:t>
            </w:r>
            <w:r w:rsidRPr="006F405C">
              <w:rPr>
                <w:vertAlign w:val="subscript"/>
              </w:rPr>
              <w:t>oc</w:t>
            </w:r>
            <w:proofErr w:type="spellEnd"/>
          </w:p>
        </w:tc>
        <w:tc>
          <w:tcPr>
            <w:tcW w:w="722" w:type="pct"/>
            <w:tcBorders>
              <w:bottom w:val="single" w:sz="4" w:space="0" w:color="auto"/>
              <w:right w:val="nil"/>
            </w:tcBorders>
            <w:shd w:val="clear" w:color="auto" w:fill="auto"/>
          </w:tcPr>
          <w:p w:rsidR="00377C7E" w:rsidRPr="006F405C" w:rsidRDefault="00377C7E" w:rsidP="00F66A11">
            <w:pPr>
              <w:rPr>
                <w:b/>
              </w:rPr>
            </w:pPr>
            <w:r w:rsidRPr="006F405C">
              <w:rPr>
                <w:b/>
              </w:rPr>
              <w:t>Units:</w:t>
            </w:r>
          </w:p>
        </w:tc>
        <w:tc>
          <w:tcPr>
            <w:tcW w:w="723" w:type="pct"/>
            <w:tcBorders>
              <w:left w:val="nil"/>
              <w:bottom w:val="single" w:sz="4" w:space="0" w:color="auto"/>
            </w:tcBorders>
            <w:shd w:val="clear" w:color="auto" w:fill="auto"/>
          </w:tcPr>
          <w:p w:rsidR="00377C7E" w:rsidRDefault="000D33B1" w:rsidP="00F66A11">
            <w:r>
              <w:t>L/kg</w:t>
            </w:r>
          </w:p>
        </w:tc>
        <w:tc>
          <w:tcPr>
            <w:tcW w:w="1156" w:type="pct"/>
            <w:tcBorders>
              <w:bottom w:val="single" w:sz="4" w:space="0" w:color="auto"/>
              <w:right w:val="nil"/>
            </w:tcBorders>
            <w:shd w:val="clear" w:color="auto" w:fill="auto"/>
          </w:tcPr>
          <w:p w:rsidR="00377C7E" w:rsidRPr="006F405C" w:rsidRDefault="00377C7E" w:rsidP="00F66A11">
            <w:pPr>
              <w:rPr>
                <w:b/>
              </w:rPr>
            </w:pPr>
            <w:r w:rsidRPr="006F405C">
              <w:rPr>
                <w:b/>
              </w:rPr>
              <w:t>Sensitivity:</w:t>
            </w:r>
          </w:p>
        </w:tc>
        <w:tc>
          <w:tcPr>
            <w:tcW w:w="723" w:type="pct"/>
            <w:tcBorders>
              <w:left w:val="nil"/>
              <w:bottom w:val="single" w:sz="4" w:space="0" w:color="auto"/>
            </w:tcBorders>
            <w:shd w:val="clear" w:color="auto" w:fill="auto"/>
          </w:tcPr>
          <w:p w:rsidR="00377C7E" w:rsidRDefault="000D33B1" w:rsidP="00F66A11">
            <w:r>
              <w:t>Low</w:t>
            </w:r>
          </w:p>
        </w:tc>
      </w:tr>
    </w:tbl>
    <w:p w:rsidR="007B625E" w:rsidRDefault="007B625E"/>
    <w:p w:rsidR="007B625E" w:rsidRDefault="00EA1F4E">
      <w:r>
        <w:t>The partition coefficient relates the affinity of the dissolved contaminant for organic carbon</w:t>
      </w:r>
      <w:r w:rsidR="00A93F72">
        <w:t xml:space="preserve"> in the soil</w:t>
      </w:r>
      <w:r>
        <w:t xml:space="preserve">. Values are chemical specific. Larger values reflect a greater tendency to adsorb onto the soil. The user should input values found in </w:t>
      </w:r>
      <w:hyperlink w:anchor="_Web_Links" w:history="1">
        <w:r w:rsidRPr="00020628">
          <w:rPr>
            <w:rStyle w:val="Hyperlink"/>
          </w:rPr>
          <w:t>Ch. 250</w:t>
        </w:r>
      </w:hyperlink>
      <w:r>
        <w:t>, Appendix A, Table 5A. Alternative values should be fully justified.</w:t>
      </w:r>
    </w:p>
    <w:p w:rsidR="00EA1F4E" w:rsidRDefault="00EA1F4E"/>
    <w:p w:rsidR="00EA1F4E" w:rsidRPr="00900466" w:rsidRDefault="00EA1F4E">
      <w:r>
        <w:t xml:space="preserve">The organic carbon partition coefficient is used to calculate the solute adsorption, or retardation, factor, </w:t>
      </w:r>
      <w:r>
        <w:rPr>
          <w:i/>
        </w:rPr>
        <w:t>R</w:t>
      </w:r>
      <w:r>
        <w:t xml:space="preserve"> (</w:t>
      </w:r>
      <w:hyperlink w:anchor="_Calculated_Quantities" w:history="1">
        <w:r w:rsidR="00FC62A4">
          <w:rPr>
            <w:rStyle w:val="Hyperlink"/>
          </w:rPr>
          <w:t xml:space="preserve">Section </w:t>
        </w:r>
        <w:r w:rsidR="00DB182F">
          <w:rPr>
            <w:rStyle w:val="Hyperlink"/>
          </w:rPr>
          <w:t>3.16</w:t>
        </w:r>
      </w:hyperlink>
      <w:r>
        <w:t xml:space="preserve">). The retardation, in turn, affects the contaminant velocity. </w:t>
      </w:r>
      <w:proofErr w:type="spellStart"/>
      <w:r>
        <w:rPr>
          <w:i/>
        </w:rPr>
        <w:t>K</w:t>
      </w:r>
      <w:r>
        <w:rPr>
          <w:vertAlign w:val="subscript"/>
        </w:rPr>
        <w:t>oc</w:t>
      </w:r>
      <w:proofErr w:type="spellEnd"/>
      <w:r>
        <w:t xml:space="preserve"> is a </w:t>
      </w:r>
      <w:r w:rsidR="00A93F72">
        <w:t xml:space="preserve">relatively well determined </w:t>
      </w:r>
      <w:r w:rsidR="00D47DD6">
        <w:t>quantity</w:t>
      </w:r>
      <w:r>
        <w:t>, and it should never be treated as a variable when calibrating QD.</w:t>
      </w:r>
      <w:r w:rsidR="00900466">
        <w:t xml:space="preserve"> For inorganic solutes </w:t>
      </w:r>
      <w:proofErr w:type="spellStart"/>
      <w:r w:rsidR="00900466">
        <w:rPr>
          <w:i/>
        </w:rPr>
        <w:t>K</w:t>
      </w:r>
      <w:r w:rsidR="00900466">
        <w:rPr>
          <w:vertAlign w:val="subscript"/>
        </w:rPr>
        <w:t>oc</w:t>
      </w:r>
      <w:proofErr w:type="spellEnd"/>
      <w:r w:rsidR="00900466">
        <w:t xml:space="preserve"> = 0.</w:t>
      </w:r>
    </w:p>
    <w:p w:rsidR="007B625E" w:rsidRDefault="007B625E" w:rsidP="004733A6">
      <w:pPr>
        <w:pStyle w:val="Heading2"/>
      </w:pPr>
      <w:bookmarkStart w:id="29" w:name="_Fraction_of_Organic"/>
      <w:bookmarkStart w:id="30" w:name="_Toc381357790"/>
      <w:bookmarkEnd w:id="29"/>
      <w:r>
        <w:t>Fraction of Organic Carbon</w:t>
      </w:r>
      <w:bookmarkEnd w:id="30"/>
    </w:p>
    <w:tbl>
      <w:tblPr>
        <w:tblW w:w="32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1084"/>
        <w:gridCol w:w="1048"/>
        <w:gridCol w:w="890"/>
        <w:gridCol w:w="892"/>
        <w:gridCol w:w="1432"/>
        <w:gridCol w:w="891"/>
      </w:tblGrid>
      <w:tr w:rsidR="00377C7E" w:rsidTr="00064437">
        <w:tc>
          <w:tcPr>
            <w:tcW w:w="828" w:type="pct"/>
            <w:tcBorders>
              <w:bottom w:val="single" w:sz="4" w:space="0" w:color="auto"/>
              <w:right w:val="nil"/>
            </w:tcBorders>
            <w:shd w:val="clear" w:color="auto" w:fill="auto"/>
          </w:tcPr>
          <w:p w:rsidR="00377C7E" w:rsidRPr="006F405C" w:rsidRDefault="00377C7E" w:rsidP="00F66A11">
            <w:pPr>
              <w:rPr>
                <w:b/>
              </w:rPr>
            </w:pPr>
            <w:r w:rsidRPr="006F405C">
              <w:rPr>
                <w:b/>
              </w:rPr>
              <w:t>Symbol:</w:t>
            </w:r>
          </w:p>
        </w:tc>
        <w:tc>
          <w:tcPr>
            <w:tcW w:w="849" w:type="pct"/>
            <w:tcBorders>
              <w:left w:val="nil"/>
              <w:bottom w:val="single" w:sz="4" w:space="0" w:color="auto"/>
            </w:tcBorders>
            <w:shd w:val="clear" w:color="auto" w:fill="auto"/>
          </w:tcPr>
          <w:p w:rsidR="00377C7E" w:rsidRPr="006F405C" w:rsidRDefault="00377C7E" w:rsidP="00F66A11">
            <w:pPr>
              <w:rPr>
                <w:vertAlign w:val="subscript"/>
              </w:rPr>
            </w:pPr>
            <w:proofErr w:type="spellStart"/>
            <w:r w:rsidRPr="006F405C">
              <w:rPr>
                <w:i/>
              </w:rPr>
              <w:t>f</w:t>
            </w:r>
            <w:r w:rsidRPr="006F405C">
              <w:rPr>
                <w:vertAlign w:val="subscript"/>
              </w:rPr>
              <w:t>oc</w:t>
            </w:r>
            <w:proofErr w:type="spellEnd"/>
          </w:p>
        </w:tc>
        <w:tc>
          <w:tcPr>
            <w:tcW w:w="722" w:type="pct"/>
            <w:tcBorders>
              <w:bottom w:val="single" w:sz="4" w:space="0" w:color="auto"/>
              <w:right w:val="nil"/>
            </w:tcBorders>
            <w:shd w:val="clear" w:color="auto" w:fill="auto"/>
          </w:tcPr>
          <w:p w:rsidR="00377C7E" w:rsidRPr="006F405C" w:rsidRDefault="00377C7E" w:rsidP="00F66A11">
            <w:pPr>
              <w:rPr>
                <w:b/>
              </w:rPr>
            </w:pPr>
            <w:r w:rsidRPr="006F405C">
              <w:rPr>
                <w:b/>
              </w:rPr>
              <w:t>Units:</w:t>
            </w:r>
          </w:p>
        </w:tc>
        <w:tc>
          <w:tcPr>
            <w:tcW w:w="723" w:type="pct"/>
            <w:tcBorders>
              <w:left w:val="nil"/>
              <w:bottom w:val="single" w:sz="4" w:space="0" w:color="auto"/>
            </w:tcBorders>
            <w:shd w:val="clear" w:color="auto" w:fill="auto"/>
          </w:tcPr>
          <w:p w:rsidR="00377C7E" w:rsidRDefault="000D33B1" w:rsidP="00F66A11">
            <w:r>
              <w:t>—</w:t>
            </w:r>
          </w:p>
        </w:tc>
        <w:tc>
          <w:tcPr>
            <w:tcW w:w="1156" w:type="pct"/>
            <w:tcBorders>
              <w:bottom w:val="single" w:sz="4" w:space="0" w:color="auto"/>
              <w:right w:val="nil"/>
            </w:tcBorders>
            <w:shd w:val="clear" w:color="auto" w:fill="auto"/>
          </w:tcPr>
          <w:p w:rsidR="00377C7E" w:rsidRPr="006F405C" w:rsidRDefault="00377C7E" w:rsidP="00F66A11">
            <w:pPr>
              <w:rPr>
                <w:b/>
              </w:rPr>
            </w:pPr>
            <w:r w:rsidRPr="006F405C">
              <w:rPr>
                <w:b/>
              </w:rPr>
              <w:t>Sensitivity:</w:t>
            </w:r>
          </w:p>
        </w:tc>
        <w:tc>
          <w:tcPr>
            <w:tcW w:w="723" w:type="pct"/>
            <w:tcBorders>
              <w:left w:val="nil"/>
              <w:bottom w:val="single" w:sz="4" w:space="0" w:color="auto"/>
            </w:tcBorders>
            <w:shd w:val="clear" w:color="auto" w:fill="auto"/>
          </w:tcPr>
          <w:p w:rsidR="00377C7E" w:rsidRDefault="000D33B1" w:rsidP="00F66A11">
            <w:r>
              <w:t>Low</w:t>
            </w:r>
          </w:p>
        </w:tc>
      </w:tr>
    </w:tbl>
    <w:p w:rsidR="0030449D" w:rsidRDefault="0030449D"/>
    <w:p w:rsidR="007B625E" w:rsidRDefault="00D47DD6">
      <w:r>
        <w:lastRenderedPageBreak/>
        <w:t xml:space="preserve">This is the </w:t>
      </w:r>
      <w:r w:rsidRPr="009B787D">
        <w:t>weight</w:t>
      </w:r>
      <w:r>
        <w:t xml:space="preserve"> fraction of natural organic carbon in the uncontaminated aquifer soil matrix. It determines the organic carbon available for hydrocarbons to adsorb to the solid phase. </w:t>
      </w:r>
      <w:r w:rsidR="00AE7603">
        <w:t>It is desirable t</w:t>
      </w:r>
      <w:r w:rsidR="00216F9B">
        <w:t xml:space="preserve">o measure this quantity in </w:t>
      </w:r>
      <w:r w:rsidR="00AE7603">
        <w:t>sample</w:t>
      </w:r>
      <w:r w:rsidR="00216F9B">
        <w:t>s</w:t>
      </w:r>
      <w:r w:rsidR="00AE7603">
        <w:t xml:space="preserve"> from the site, but it is more commonly estimated. Typical values are 0.0002–0.005. An appropriate default value is 0.002. </w:t>
      </w:r>
      <w:r w:rsidR="0079368F">
        <w:t>A conservative value in some</w:t>
      </w:r>
      <w:r w:rsidR="00AE7603">
        <w:t xml:space="preserve"> bedrock</w:t>
      </w:r>
      <w:r w:rsidR="0079368F">
        <w:t xml:space="preserve"> formations would be</w:t>
      </w:r>
      <w:r w:rsidR="00AE7603">
        <w:t xml:space="preserve"> zero.</w:t>
      </w:r>
    </w:p>
    <w:p w:rsidR="00AE7603" w:rsidRDefault="00AE7603"/>
    <w:p w:rsidR="00AE7603" w:rsidRPr="00AE7603" w:rsidRDefault="00AE7603">
      <w:r>
        <w:t xml:space="preserve">The fraction of organic carbon is used to calculate the solute adsorption, or retardation, factor, </w:t>
      </w:r>
      <w:r>
        <w:rPr>
          <w:i/>
        </w:rPr>
        <w:t>R</w:t>
      </w:r>
      <w:r>
        <w:t xml:space="preserve"> (</w:t>
      </w:r>
      <w:hyperlink w:anchor="_Calculated_Quantities" w:history="1">
        <w:r w:rsidR="00FC62A4">
          <w:rPr>
            <w:rStyle w:val="Hyperlink"/>
          </w:rPr>
          <w:t xml:space="preserve">Section </w:t>
        </w:r>
        <w:r w:rsidR="00DB182F">
          <w:rPr>
            <w:rStyle w:val="Hyperlink"/>
          </w:rPr>
          <w:t>3.16</w:t>
        </w:r>
      </w:hyperlink>
      <w:r>
        <w:t xml:space="preserve">). The retardation, in turn, affects the contaminant velocity. Therefore, the </w:t>
      </w:r>
      <w:proofErr w:type="spellStart"/>
      <w:r>
        <w:rPr>
          <w:i/>
        </w:rPr>
        <w:t>f</w:t>
      </w:r>
      <w:r>
        <w:rPr>
          <w:vertAlign w:val="subscript"/>
        </w:rPr>
        <w:t>oc</w:t>
      </w:r>
      <w:proofErr w:type="spellEnd"/>
      <w:r>
        <w:t xml:space="preserve"> should not be a </w:t>
      </w:r>
      <w:r w:rsidR="00A93F72">
        <w:t>variable</w:t>
      </w:r>
      <w:r>
        <w:t xml:space="preserve"> in the QD calibration; </w:t>
      </w:r>
      <w:r w:rsidR="00A93F72">
        <w:t>the uncertainty in the</w:t>
      </w:r>
      <w:r>
        <w:t xml:space="preserve"> velocity should be accounted for by </w:t>
      </w:r>
      <w:r w:rsidR="00A93F72">
        <w:t xml:space="preserve">adjusting </w:t>
      </w:r>
      <w:r>
        <w:t>the hydraulic conductivity (</w:t>
      </w:r>
      <w:hyperlink w:anchor="_Hydraulic_Conductivity" w:history="1">
        <w:r w:rsidR="00FC62A4">
          <w:rPr>
            <w:rStyle w:val="Hyperlink"/>
          </w:rPr>
          <w:t xml:space="preserve">Section </w:t>
        </w:r>
        <w:r w:rsidR="00216F9B">
          <w:rPr>
            <w:rStyle w:val="Hyperlink"/>
          </w:rPr>
          <w:t>3.7</w:t>
        </w:r>
      </w:hyperlink>
      <w:r>
        <w:t>).</w:t>
      </w:r>
      <w:r w:rsidR="00900466">
        <w:t xml:space="preserve"> For inorganic solutes </w:t>
      </w:r>
      <w:proofErr w:type="spellStart"/>
      <w:r w:rsidR="00900466">
        <w:rPr>
          <w:i/>
        </w:rPr>
        <w:t>f</w:t>
      </w:r>
      <w:r w:rsidR="00900466">
        <w:rPr>
          <w:vertAlign w:val="subscript"/>
        </w:rPr>
        <w:t>oc</w:t>
      </w:r>
      <w:proofErr w:type="spellEnd"/>
      <w:r w:rsidR="00900466">
        <w:t xml:space="preserve"> = 0.</w:t>
      </w:r>
    </w:p>
    <w:p w:rsidR="007B625E" w:rsidRDefault="007B625E" w:rsidP="004733A6">
      <w:pPr>
        <w:pStyle w:val="Heading2"/>
      </w:pPr>
      <w:bookmarkStart w:id="31" w:name="_Retardation_Factor"/>
      <w:bookmarkStart w:id="32" w:name="_Point_Concentration_Location_1"/>
      <w:bookmarkStart w:id="33" w:name="_Toc381357791"/>
      <w:bookmarkEnd w:id="31"/>
      <w:bookmarkEnd w:id="32"/>
      <w:r>
        <w:t>Point Concentration Location</w:t>
      </w:r>
      <w:bookmarkEnd w:id="33"/>
    </w:p>
    <w:tbl>
      <w:tblPr>
        <w:tblW w:w="32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1084"/>
        <w:gridCol w:w="1048"/>
        <w:gridCol w:w="890"/>
        <w:gridCol w:w="892"/>
        <w:gridCol w:w="1432"/>
        <w:gridCol w:w="891"/>
      </w:tblGrid>
      <w:tr w:rsidR="002F7370" w:rsidTr="003B7598">
        <w:tc>
          <w:tcPr>
            <w:tcW w:w="828" w:type="pct"/>
            <w:tcBorders>
              <w:bottom w:val="single" w:sz="4" w:space="0" w:color="auto"/>
              <w:right w:val="nil"/>
            </w:tcBorders>
            <w:shd w:val="clear" w:color="auto" w:fill="auto"/>
          </w:tcPr>
          <w:p w:rsidR="002F7370" w:rsidRPr="006F405C" w:rsidRDefault="002F7370" w:rsidP="003B7598">
            <w:pPr>
              <w:rPr>
                <w:b/>
              </w:rPr>
            </w:pPr>
            <w:r w:rsidRPr="006F405C">
              <w:rPr>
                <w:b/>
              </w:rPr>
              <w:t>Symbol:</w:t>
            </w:r>
          </w:p>
        </w:tc>
        <w:tc>
          <w:tcPr>
            <w:tcW w:w="849" w:type="pct"/>
            <w:tcBorders>
              <w:left w:val="nil"/>
              <w:bottom w:val="single" w:sz="4" w:space="0" w:color="auto"/>
            </w:tcBorders>
            <w:shd w:val="clear" w:color="auto" w:fill="auto"/>
          </w:tcPr>
          <w:p w:rsidR="002F7370" w:rsidRPr="00064437" w:rsidRDefault="002F7370" w:rsidP="003B7598">
            <w:r>
              <w:t>(</w:t>
            </w:r>
            <w:proofErr w:type="spellStart"/>
            <w:r>
              <w:rPr>
                <w:i/>
              </w:rPr>
              <w:t>x</w:t>
            </w:r>
            <w:r>
              <w:rPr>
                <w:vertAlign w:val="subscript"/>
              </w:rPr>
              <w:t>s</w:t>
            </w:r>
            <w:r>
              <w:t>,</w:t>
            </w:r>
            <w:r>
              <w:rPr>
                <w:i/>
              </w:rPr>
              <w:t>y</w:t>
            </w:r>
            <w:r>
              <w:rPr>
                <w:vertAlign w:val="subscript"/>
              </w:rPr>
              <w:t>s</w:t>
            </w:r>
            <w:r>
              <w:t>,</w:t>
            </w:r>
            <w:r>
              <w:rPr>
                <w:i/>
              </w:rPr>
              <w:t>z</w:t>
            </w:r>
            <w:r>
              <w:rPr>
                <w:vertAlign w:val="subscript"/>
              </w:rPr>
              <w:t>s</w:t>
            </w:r>
            <w:proofErr w:type="spellEnd"/>
            <w:r>
              <w:t>)</w:t>
            </w:r>
          </w:p>
        </w:tc>
        <w:tc>
          <w:tcPr>
            <w:tcW w:w="722" w:type="pct"/>
            <w:tcBorders>
              <w:bottom w:val="single" w:sz="4" w:space="0" w:color="auto"/>
              <w:right w:val="nil"/>
            </w:tcBorders>
            <w:shd w:val="clear" w:color="auto" w:fill="auto"/>
          </w:tcPr>
          <w:p w:rsidR="002F7370" w:rsidRPr="006F405C" w:rsidRDefault="002F7370" w:rsidP="003B7598">
            <w:pPr>
              <w:rPr>
                <w:b/>
              </w:rPr>
            </w:pPr>
            <w:r w:rsidRPr="006F405C">
              <w:rPr>
                <w:b/>
              </w:rPr>
              <w:t>Units:</w:t>
            </w:r>
          </w:p>
        </w:tc>
        <w:tc>
          <w:tcPr>
            <w:tcW w:w="723" w:type="pct"/>
            <w:tcBorders>
              <w:left w:val="nil"/>
              <w:bottom w:val="single" w:sz="4" w:space="0" w:color="auto"/>
            </w:tcBorders>
            <w:shd w:val="clear" w:color="auto" w:fill="auto"/>
          </w:tcPr>
          <w:p w:rsidR="002F7370" w:rsidRDefault="002F7370" w:rsidP="003B7598">
            <w:proofErr w:type="spellStart"/>
            <w:r>
              <w:t>ft</w:t>
            </w:r>
            <w:proofErr w:type="spellEnd"/>
          </w:p>
        </w:tc>
        <w:tc>
          <w:tcPr>
            <w:tcW w:w="1156" w:type="pct"/>
            <w:tcBorders>
              <w:bottom w:val="single" w:sz="4" w:space="0" w:color="auto"/>
              <w:right w:val="nil"/>
            </w:tcBorders>
            <w:shd w:val="clear" w:color="auto" w:fill="auto"/>
          </w:tcPr>
          <w:p w:rsidR="002F7370" w:rsidRPr="006F405C" w:rsidRDefault="002F7370" w:rsidP="003B7598">
            <w:pPr>
              <w:rPr>
                <w:b/>
              </w:rPr>
            </w:pPr>
            <w:r w:rsidRPr="006F405C">
              <w:rPr>
                <w:b/>
              </w:rPr>
              <w:t>Sensitivity:</w:t>
            </w:r>
          </w:p>
        </w:tc>
        <w:tc>
          <w:tcPr>
            <w:tcW w:w="723" w:type="pct"/>
            <w:tcBorders>
              <w:left w:val="nil"/>
              <w:bottom w:val="single" w:sz="4" w:space="0" w:color="auto"/>
            </w:tcBorders>
            <w:shd w:val="clear" w:color="auto" w:fill="auto"/>
          </w:tcPr>
          <w:p w:rsidR="002F7370" w:rsidRDefault="002F7370" w:rsidP="003B7598">
            <w:r>
              <w:t>None</w:t>
            </w:r>
          </w:p>
        </w:tc>
      </w:tr>
    </w:tbl>
    <w:p w:rsidR="002F7370" w:rsidRDefault="002F7370" w:rsidP="002F7370"/>
    <w:p w:rsidR="007B625E" w:rsidRPr="00D2410C" w:rsidRDefault="00D2410C">
      <w:r>
        <w:t xml:space="preserve">The user may </w:t>
      </w:r>
      <w:r w:rsidR="001A75C0">
        <w:t xml:space="preserve">calculate a contaminant concentration at </w:t>
      </w:r>
      <w:r>
        <w:t xml:space="preserve">a </w:t>
      </w:r>
      <w:r w:rsidR="00BC4398">
        <w:t xml:space="preserve">solution </w:t>
      </w:r>
      <w:r>
        <w:t xml:space="preserve">point in </w:t>
      </w:r>
      <w:r w:rsidR="00EE7493">
        <w:t xml:space="preserve">the aquifer </w:t>
      </w:r>
      <w:r w:rsidR="001A75C0">
        <w:t>(</w:t>
      </w:r>
      <w:proofErr w:type="spellStart"/>
      <w:r w:rsidR="001A75C0">
        <w:rPr>
          <w:i/>
        </w:rPr>
        <w:t>x</w:t>
      </w:r>
      <w:r w:rsidR="00BC4398">
        <w:rPr>
          <w:vertAlign w:val="subscript"/>
        </w:rPr>
        <w:t>s</w:t>
      </w:r>
      <w:proofErr w:type="spellEnd"/>
      <w:r w:rsidR="001A75C0">
        <w:t>,</w:t>
      </w:r>
      <w:r w:rsidR="001A75C0">
        <w:rPr>
          <w:i/>
        </w:rPr>
        <w:t xml:space="preserve"> </w:t>
      </w:r>
      <w:proofErr w:type="spellStart"/>
      <w:r w:rsidR="001A75C0">
        <w:rPr>
          <w:i/>
        </w:rPr>
        <w:t>y</w:t>
      </w:r>
      <w:r w:rsidR="00BC4398">
        <w:rPr>
          <w:vertAlign w:val="subscript"/>
        </w:rPr>
        <w:t>s</w:t>
      </w:r>
      <w:proofErr w:type="spellEnd"/>
      <w:r w:rsidR="001A75C0">
        <w:t>,</w:t>
      </w:r>
      <w:r w:rsidR="001A75C0">
        <w:rPr>
          <w:i/>
        </w:rPr>
        <w:t xml:space="preserve"> </w:t>
      </w:r>
      <w:proofErr w:type="spellStart"/>
      <w:proofErr w:type="gramStart"/>
      <w:r w:rsidR="001A75C0">
        <w:rPr>
          <w:i/>
        </w:rPr>
        <w:t>z</w:t>
      </w:r>
      <w:r w:rsidR="00BC4398">
        <w:rPr>
          <w:vertAlign w:val="subscript"/>
        </w:rPr>
        <w:t>s</w:t>
      </w:r>
      <w:proofErr w:type="spellEnd"/>
      <w:proofErr w:type="gramEnd"/>
      <w:r w:rsidR="00EE7493">
        <w:t>)</w:t>
      </w:r>
      <w:r>
        <w:t xml:space="preserve">. Maximum surface centerline concentrations are </w:t>
      </w:r>
      <w:r w:rsidR="0079368F">
        <w:t xml:space="preserve">at </w:t>
      </w:r>
      <w:r>
        <w:t>(</w:t>
      </w:r>
      <w:proofErr w:type="spellStart"/>
      <w:r>
        <w:rPr>
          <w:i/>
        </w:rPr>
        <w:t>x</w:t>
      </w:r>
      <w:r w:rsidR="00BC4398">
        <w:rPr>
          <w:vertAlign w:val="subscript"/>
        </w:rPr>
        <w:t>s</w:t>
      </w:r>
      <w:proofErr w:type="spellEnd"/>
      <w:r>
        <w:t xml:space="preserve">, 0, </w:t>
      </w:r>
      <w:proofErr w:type="gramStart"/>
      <w:r>
        <w:t>0</w:t>
      </w:r>
      <w:proofErr w:type="gramEnd"/>
      <w:r>
        <w:t>).</w:t>
      </w:r>
      <w:r w:rsidR="001A75C0">
        <w:t xml:space="preserve"> These coordinates are not model variables and they only affect the output</w:t>
      </w:r>
      <w:r w:rsidR="006E7FB2">
        <w:t xml:space="preserve"> information</w:t>
      </w:r>
      <w:r w:rsidR="001A75C0">
        <w:t>.</w:t>
      </w:r>
    </w:p>
    <w:p w:rsidR="007B625E" w:rsidRDefault="007B625E" w:rsidP="004733A6">
      <w:pPr>
        <w:pStyle w:val="Heading2"/>
      </w:pPr>
      <w:bookmarkStart w:id="34" w:name="_Toc381357792"/>
      <w:r>
        <w:t>Model Calculation Domain</w:t>
      </w:r>
      <w:bookmarkEnd w:id="34"/>
    </w:p>
    <w:tbl>
      <w:tblPr>
        <w:tblW w:w="32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1084"/>
        <w:gridCol w:w="1048"/>
        <w:gridCol w:w="890"/>
        <w:gridCol w:w="892"/>
        <w:gridCol w:w="1432"/>
        <w:gridCol w:w="891"/>
      </w:tblGrid>
      <w:tr w:rsidR="002F7370" w:rsidTr="003B7598">
        <w:tc>
          <w:tcPr>
            <w:tcW w:w="828" w:type="pct"/>
            <w:tcBorders>
              <w:bottom w:val="single" w:sz="4" w:space="0" w:color="auto"/>
              <w:right w:val="nil"/>
            </w:tcBorders>
            <w:shd w:val="clear" w:color="auto" w:fill="auto"/>
          </w:tcPr>
          <w:p w:rsidR="002F7370" w:rsidRPr="006F405C" w:rsidRDefault="002F7370" w:rsidP="003B7598">
            <w:pPr>
              <w:rPr>
                <w:b/>
              </w:rPr>
            </w:pPr>
            <w:r w:rsidRPr="006F405C">
              <w:rPr>
                <w:b/>
              </w:rPr>
              <w:t>Symbol:</w:t>
            </w:r>
          </w:p>
        </w:tc>
        <w:tc>
          <w:tcPr>
            <w:tcW w:w="849" w:type="pct"/>
            <w:tcBorders>
              <w:left w:val="nil"/>
              <w:bottom w:val="single" w:sz="4" w:space="0" w:color="auto"/>
            </w:tcBorders>
            <w:shd w:val="clear" w:color="auto" w:fill="auto"/>
          </w:tcPr>
          <w:p w:rsidR="002F7370" w:rsidRPr="00064437" w:rsidRDefault="002F7370" w:rsidP="003B7598">
            <w:pPr>
              <w:rPr>
                <w:i/>
              </w:rPr>
            </w:pPr>
            <w:r>
              <w:rPr>
                <w:i/>
              </w:rPr>
              <w:t>L</w:t>
            </w:r>
            <w:r>
              <w:t xml:space="preserve">, </w:t>
            </w:r>
            <w:r>
              <w:rPr>
                <w:i/>
              </w:rPr>
              <w:t>W</w:t>
            </w:r>
          </w:p>
        </w:tc>
        <w:tc>
          <w:tcPr>
            <w:tcW w:w="722" w:type="pct"/>
            <w:tcBorders>
              <w:bottom w:val="single" w:sz="4" w:space="0" w:color="auto"/>
              <w:right w:val="nil"/>
            </w:tcBorders>
            <w:shd w:val="clear" w:color="auto" w:fill="auto"/>
          </w:tcPr>
          <w:p w:rsidR="002F7370" w:rsidRPr="006F405C" w:rsidRDefault="002F7370" w:rsidP="003B7598">
            <w:pPr>
              <w:rPr>
                <w:b/>
              </w:rPr>
            </w:pPr>
            <w:r w:rsidRPr="006F405C">
              <w:rPr>
                <w:b/>
              </w:rPr>
              <w:t>Units:</w:t>
            </w:r>
          </w:p>
        </w:tc>
        <w:tc>
          <w:tcPr>
            <w:tcW w:w="723" w:type="pct"/>
            <w:tcBorders>
              <w:left w:val="nil"/>
              <w:bottom w:val="single" w:sz="4" w:space="0" w:color="auto"/>
            </w:tcBorders>
            <w:shd w:val="clear" w:color="auto" w:fill="auto"/>
          </w:tcPr>
          <w:p w:rsidR="002F7370" w:rsidRDefault="002F7370" w:rsidP="003B7598">
            <w:proofErr w:type="spellStart"/>
            <w:r>
              <w:t>ft</w:t>
            </w:r>
            <w:proofErr w:type="spellEnd"/>
          </w:p>
        </w:tc>
        <w:tc>
          <w:tcPr>
            <w:tcW w:w="1156" w:type="pct"/>
            <w:tcBorders>
              <w:bottom w:val="single" w:sz="4" w:space="0" w:color="auto"/>
              <w:right w:val="nil"/>
            </w:tcBorders>
            <w:shd w:val="clear" w:color="auto" w:fill="auto"/>
          </w:tcPr>
          <w:p w:rsidR="002F7370" w:rsidRPr="006F405C" w:rsidRDefault="002F7370" w:rsidP="003B7598">
            <w:pPr>
              <w:rPr>
                <w:b/>
              </w:rPr>
            </w:pPr>
            <w:r w:rsidRPr="006F405C">
              <w:rPr>
                <w:b/>
              </w:rPr>
              <w:t>Sensitivity:</w:t>
            </w:r>
          </w:p>
        </w:tc>
        <w:tc>
          <w:tcPr>
            <w:tcW w:w="723" w:type="pct"/>
            <w:tcBorders>
              <w:left w:val="nil"/>
              <w:bottom w:val="single" w:sz="4" w:space="0" w:color="auto"/>
            </w:tcBorders>
            <w:shd w:val="clear" w:color="auto" w:fill="auto"/>
          </w:tcPr>
          <w:p w:rsidR="002F7370" w:rsidRDefault="002F7370" w:rsidP="003B7598">
            <w:r>
              <w:t>None</w:t>
            </w:r>
          </w:p>
        </w:tc>
      </w:tr>
    </w:tbl>
    <w:p w:rsidR="002F7370" w:rsidRDefault="002F7370" w:rsidP="002F7370"/>
    <w:p w:rsidR="007B625E" w:rsidRDefault="00D2410C">
      <w:r>
        <w:t>The user inputs the length and width of the area where a solution is desired. The length (</w:t>
      </w:r>
      <w:r w:rsidR="00BC4398">
        <w:rPr>
          <w:i/>
        </w:rPr>
        <w:t>L</w:t>
      </w:r>
      <w:r>
        <w:t>) is the distance downgradient from the source. The width (</w:t>
      </w:r>
      <w:r w:rsidR="00BC4398">
        <w:rPr>
          <w:i/>
        </w:rPr>
        <w:t>W</w:t>
      </w:r>
      <w:r>
        <w:t>) is actually the half-width perpendicular to the flow direction</w:t>
      </w:r>
      <w:r w:rsidR="00656BAB">
        <w:t xml:space="preserve"> (the true width is twice the input value). </w:t>
      </w:r>
      <w:r w:rsidR="00BD424B">
        <w:t>The solution is obtained at the same depth (</w:t>
      </w:r>
      <w:proofErr w:type="spellStart"/>
      <w:r w:rsidR="00BD424B">
        <w:rPr>
          <w:i/>
        </w:rPr>
        <w:t>z</w:t>
      </w:r>
      <w:r w:rsidR="00BC4398">
        <w:rPr>
          <w:vertAlign w:val="subscript"/>
        </w:rPr>
        <w:t>s</w:t>
      </w:r>
      <w:proofErr w:type="spellEnd"/>
      <w:r w:rsidR="00BD424B">
        <w:t>) as the point concentration location (</w:t>
      </w:r>
      <w:hyperlink w:anchor="_Point_Concentration_Location_1" w:history="1">
        <w:r w:rsidR="00FC62A4">
          <w:rPr>
            <w:rStyle w:val="Hyperlink"/>
          </w:rPr>
          <w:t xml:space="preserve">Section </w:t>
        </w:r>
        <w:r w:rsidR="00D470EC">
          <w:rPr>
            <w:rStyle w:val="Hyperlink"/>
          </w:rPr>
          <w:t>3.13</w:t>
        </w:r>
      </w:hyperlink>
      <w:r w:rsidR="00BD424B">
        <w:t>).</w:t>
      </w:r>
      <w:r w:rsidR="001A75C0">
        <w:t xml:space="preserve"> These distances are not model variables and they only affect the output</w:t>
      </w:r>
      <w:r w:rsidR="006E7FB2">
        <w:t xml:space="preserve"> information</w:t>
      </w:r>
      <w:r w:rsidR="001A75C0">
        <w:t>.</w:t>
      </w:r>
    </w:p>
    <w:p w:rsidR="007B625E" w:rsidRDefault="007B625E" w:rsidP="004733A6">
      <w:pPr>
        <w:pStyle w:val="Heading2"/>
      </w:pPr>
      <w:bookmarkStart w:id="35" w:name="_Field_Data"/>
      <w:bookmarkStart w:id="36" w:name="_Toc381357793"/>
      <w:bookmarkEnd w:id="35"/>
      <w:r>
        <w:t>Field Data</w:t>
      </w:r>
      <w:bookmarkEnd w:id="36"/>
    </w:p>
    <w:tbl>
      <w:tblPr>
        <w:tblW w:w="32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1085"/>
        <w:gridCol w:w="1048"/>
        <w:gridCol w:w="889"/>
        <w:gridCol w:w="892"/>
        <w:gridCol w:w="1432"/>
        <w:gridCol w:w="891"/>
      </w:tblGrid>
      <w:tr w:rsidR="002F7370" w:rsidTr="004C2236">
        <w:tc>
          <w:tcPr>
            <w:tcW w:w="869" w:type="pct"/>
            <w:tcBorders>
              <w:bottom w:val="single" w:sz="4" w:space="0" w:color="auto"/>
              <w:right w:val="nil"/>
            </w:tcBorders>
            <w:shd w:val="clear" w:color="auto" w:fill="auto"/>
          </w:tcPr>
          <w:p w:rsidR="002F7370" w:rsidRPr="006F405C" w:rsidRDefault="002F7370" w:rsidP="003B7598">
            <w:pPr>
              <w:rPr>
                <w:b/>
              </w:rPr>
            </w:pPr>
            <w:r w:rsidRPr="006F405C">
              <w:rPr>
                <w:b/>
              </w:rPr>
              <w:t>Symbol:</w:t>
            </w:r>
          </w:p>
        </w:tc>
        <w:tc>
          <w:tcPr>
            <w:tcW w:w="840" w:type="pct"/>
            <w:tcBorders>
              <w:left w:val="nil"/>
              <w:bottom w:val="single" w:sz="4" w:space="0" w:color="auto"/>
            </w:tcBorders>
            <w:shd w:val="clear" w:color="auto" w:fill="auto"/>
          </w:tcPr>
          <w:p w:rsidR="002F7370" w:rsidRPr="00064437" w:rsidRDefault="002F7370" w:rsidP="003B7598">
            <w:r>
              <w:rPr>
                <w:i/>
              </w:rPr>
              <w:t>x</w:t>
            </w:r>
            <w:r>
              <w:rPr>
                <w:i/>
                <w:vertAlign w:val="subscript"/>
              </w:rPr>
              <w:t>i</w:t>
            </w:r>
          </w:p>
        </w:tc>
        <w:tc>
          <w:tcPr>
            <w:tcW w:w="713" w:type="pct"/>
            <w:tcBorders>
              <w:bottom w:val="single" w:sz="4" w:space="0" w:color="auto"/>
              <w:right w:val="nil"/>
            </w:tcBorders>
            <w:shd w:val="clear" w:color="auto" w:fill="auto"/>
          </w:tcPr>
          <w:p w:rsidR="002F7370" w:rsidRPr="006F405C" w:rsidRDefault="002F7370" w:rsidP="003B7598">
            <w:pPr>
              <w:rPr>
                <w:b/>
              </w:rPr>
            </w:pPr>
            <w:r w:rsidRPr="006F405C">
              <w:rPr>
                <w:b/>
              </w:rPr>
              <w:t>Units:</w:t>
            </w:r>
          </w:p>
        </w:tc>
        <w:tc>
          <w:tcPr>
            <w:tcW w:w="715" w:type="pct"/>
            <w:tcBorders>
              <w:left w:val="nil"/>
              <w:bottom w:val="single" w:sz="4" w:space="0" w:color="auto"/>
            </w:tcBorders>
            <w:shd w:val="clear" w:color="auto" w:fill="auto"/>
          </w:tcPr>
          <w:p w:rsidR="002F7370" w:rsidRDefault="002F7370" w:rsidP="003B7598">
            <w:proofErr w:type="spellStart"/>
            <w:r>
              <w:t>ft</w:t>
            </w:r>
            <w:proofErr w:type="spellEnd"/>
          </w:p>
        </w:tc>
        <w:tc>
          <w:tcPr>
            <w:tcW w:w="1148" w:type="pct"/>
            <w:tcBorders>
              <w:bottom w:val="single" w:sz="4" w:space="0" w:color="auto"/>
              <w:right w:val="nil"/>
            </w:tcBorders>
            <w:shd w:val="clear" w:color="auto" w:fill="auto"/>
          </w:tcPr>
          <w:p w:rsidR="002F7370" w:rsidRPr="006F405C" w:rsidRDefault="002F7370" w:rsidP="003B7598">
            <w:pPr>
              <w:rPr>
                <w:b/>
              </w:rPr>
            </w:pPr>
            <w:r w:rsidRPr="006F405C">
              <w:rPr>
                <w:b/>
              </w:rPr>
              <w:t>Sensitivity:</w:t>
            </w:r>
          </w:p>
        </w:tc>
        <w:tc>
          <w:tcPr>
            <w:tcW w:w="714" w:type="pct"/>
            <w:tcBorders>
              <w:left w:val="nil"/>
              <w:bottom w:val="single" w:sz="4" w:space="0" w:color="auto"/>
            </w:tcBorders>
            <w:shd w:val="clear" w:color="auto" w:fill="auto"/>
          </w:tcPr>
          <w:p w:rsidR="002F7370" w:rsidRDefault="00D9679A" w:rsidP="003B7598">
            <w:r>
              <w:t>None</w:t>
            </w:r>
          </w:p>
        </w:tc>
      </w:tr>
      <w:tr w:rsidR="004C2236" w:rsidTr="004C2236">
        <w:tc>
          <w:tcPr>
            <w:tcW w:w="869" w:type="pct"/>
            <w:tcBorders>
              <w:top w:val="single" w:sz="4" w:space="0" w:color="auto"/>
              <w:left w:val="single" w:sz="4" w:space="0" w:color="auto"/>
              <w:bottom w:val="single" w:sz="4" w:space="0" w:color="auto"/>
              <w:right w:val="nil"/>
            </w:tcBorders>
            <w:shd w:val="clear" w:color="auto" w:fill="auto"/>
          </w:tcPr>
          <w:p w:rsidR="004C2236" w:rsidRPr="006F405C" w:rsidRDefault="004C2236" w:rsidP="003B7598">
            <w:pPr>
              <w:rPr>
                <w:b/>
              </w:rPr>
            </w:pPr>
            <w:r w:rsidRPr="006F405C">
              <w:rPr>
                <w:b/>
              </w:rPr>
              <w:t>Symbol:</w:t>
            </w:r>
          </w:p>
        </w:tc>
        <w:tc>
          <w:tcPr>
            <w:tcW w:w="840" w:type="pct"/>
            <w:tcBorders>
              <w:top w:val="single" w:sz="4" w:space="0" w:color="auto"/>
              <w:left w:val="nil"/>
              <w:bottom w:val="single" w:sz="4" w:space="0" w:color="auto"/>
              <w:right w:val="single" w:sz="4" w:space="0" w:color="auto"/>
            </w:tcBorders>
            <w:shd w:val="clear" w:color="auto" w:fill="auto"/>
          </w:tcPr>
          <w:p w:rsidR="004C2236" w:rsidRPr="00064437" w:rsidRDefault="004C2236" w:rsidP="003B7598">
            <w:pPr>
              <w:rPr>
                <w:i/>
                <w:vertAlign w:val="subscript"/>
              </w:rPr>
            </w:pPr>
            <w:proofErr w:type="spellStart"/>
            <w:r>
              <w:rPr>
                <w:i/>
              </w:rPr>
              <w:t>C</w:t>
            </w:r>
            <w:r>
              <w:rPr>
                <w:i/>
                <w:vertAlign w:val="subscript"/>
              </w:rPr>
              <w:t>i</w:t>
            </w:r>
            <w:proofErr w:type="spellEnd"/>
          </w:p>
        </w:tc>
        <w:tc>
          <w:tcPr>
            <w:tcW w:w="713" w:type="pct"/>
            <w:tcBorders>
              <w:top w:val="single" w:sz="4" w:space="0" w:color="auto"/>
              <w:left w:val="single" w:sz="4" w:space="0" w:color="auto"/>
              <w:bottom w:val="single" w:sz="4" w:space="0" w:color="auto"/>
              <w:right w:val="nil"/>
            </w:tcBorders>
            <w:shd w:val="clear" w:color="auto" w:fill="auto"/>
          </w:tcPr>
          <w:p w:rsidR="004C2236" w:rsidRPr="006F405C" w:rsidRDefault="004C2236" w:rsidP="003B7598">
            <w:pPr>
              <w:rPr>
                <w:b/>
              </w:rPr>
            </w:pPr>
            <w:r w:rsidRPr="006F405C">
              <w:rPr>
                <w:b/>
              </w:rPr>
              <w:t>Units:</w:t>
            </w:r>
          </w:p>
        </w:tc>
        <w:tc>
          <w:tcPr>
            <w:tcW w:w="715" w:type="pct"/>
            <w:tcBorders>
              <w:top w:val="single" w:sz="4" w:space="0" w:color="auto"/>
              <w:left w:val="nil"/>
              <w:bottom w:val="single" w:sz="4" w:space="0" w:color="auto"/>
              <w:right w:val="single" w:sz="4" w:space="0" w:color="auto"/>
            </w:tcBorders>
            <w:shd w:val="clear" w:color="auto" w:fill="auto"/>
          </w:tcPr>
          <w:p w:rsidR="004C2236" w:rsidRDefault="004C2236" w:rsidP="003B7598">
            <w:r>
              <w:t>mg/L</w:t>
            </w:r>
          </w:p>
        </w:tc>
        <w:tc>
          <w:tcPr>
            <w:tcW w:w="1148" w:type="pct"/>
            <w:tcBorders>
              <w:top w:val="single" w:sz="4" w:space="0" w:color="auto"/>
              <w:left w:val="single" w:sz="4" w:space="0" w:color="auto"/>
              <w:bottom w:val="single" w:sz="4" w:space="0" w:color="auto"/>
              <w:right w:val="nil"/>
            </w:tcBorders>
            <w:shd w:val="clear" w:color="auto" w:fill="auto"/>
          </w:tcPr>
          <w:p w:rsidR="004C2236" w:rsidRPr="006F405C" w:rsidRDefault="004C2236" w:rsidP="003B7598">
            <w:pPr>
              <w:rPr>
                <w:b/>
              </w:rPr>
            </w:pPr>
            <w:r w:rsidRPr="006F405C">
              <w:rPr>
                <w:b/>
              </w:rPr>
              <w:t>Sensitivity:</w:t>
            </w:r>
          </w:p>
        </w:tc>
        <w:tc>
          <w:tcPr>
            <w:tcW w:w="714" w:type="pct"/>
            <w:tcBorders>
              <w:top w:val="single" w:sz="4" w:space="0" w:color="auto"/>
              <w:left w:val="nil"/>
              <w:bottom w:val="single" w:sz="4" w:space="0" w:color="auto"/>
              <w:right w:val="single" w:sz="4" w:space="0" w:color="auto"/>
            </w:tcBorders>
            <w:shd w:val="clear" w:color="auto" w:fill="auto"/>
          </w:tcPr>
          <w:p w:rsidR="004C2236" w:rsidRDefault="00D9679A" w:rsidP="003B7598">
            <w:r>
              <w:t>None</w:t>
            </w:r>
          </w:p>
        </w:tc>
      </w:tr>
    </w:tbl>
    <w:p w:rsidR="002F7370" w:rsidRDefault="002F7370" w:rsidP="002F7370"/>
    <w:p w:rsidR="00365E82" w:rsidRDefault="002303E4">
      <w:r>
        <w:t xml:space="preserve">The user enters analytical data </w:t>
      </w:r>
      <w:r w:rsidR="007E33AF">
        <w:t xml:space="preserve">from one or more downgradient wells </w:t>
      </w:r>
      <w:r w:rsidR="006E7FB2">
        <w:t xml:space="preserve">to calibrate </w:t>
      </w:r>
      <w:r>
        <w:t xml:space="preserve">and </w:t>
      </w:r>
      <w:r w:rsidR="006E7FB2">
        <w:t xml:space="preserve">validate </w:t>
      </w:r>
      <w:r>
        <w:t>the model. The centerline concentration (</w:t>
      </w:r>
      <w:proofErr w:type="spellStart"/>
      <w:r w:rsidR="005B2510">
        <w:rPr>
          <w:i/>
        </w:rPr>
        <w:t>C</w:t>
      </w:r>
      <w:r w:rsidR="005B2510">
        <w:rPr>
          <w:i/>
          <w:vertAlign w:val="subscript"/>
        </w:rPr>
        <w:t>i</w:t>
      </w:r>
      <w:proofErr w:type="spellEnd"/>
      <w:r>
        <w:t xml:space="preserve">) should be from wells on or near the plume centerline. The </w:t>
      </w:r>
      <w:r w:rsidR="006E7FB2">
        <w:t xml:space="preserve">longitudinal </w:t>
      </w:r>
      <w:r>
        <w:t>distance from the source (</w:t>
      </w:r>
      <w:r w:rsidR="005B2510">
        <w:rPr>
          <w:i/>
        </w:rPr>
        <w:t>x</w:t>
      </w:r>
      <w:r w:rsidR="005B2510">
        <w:rPr>
          <w:i/>
          <w:vertAlign w:val="subscript"/>
        </w:rPr>
        <w:t>i</w:t>
      </w:r>
      <w:r>
        <w:t>) is entered for each well. Care must be taken in selecting the data for calibration</w:t>
      </w:r>
      <w:r w:rsidR="007E33AF">
        <w:t>, and we recommend using average concentrations</w:t>
      </w:r>
      <w:r>
        <w:t xml:space="preserve"> (</w:t>
      </w:r>
      <w:hyperlink w:anchor="_Methodology" w:history="1">
        <w:r w:rsidR="00FC62A4">
          <w:rPr>
            <w:rStyle w:val="Hyperlink"/>
          </w:rPr>
          <w:t xml:space="preserve">Section </w:t>
        </w:r>
        <w:r w:rsidRPr="002303E4">
          <w:rPr>
            <w:rStyle w:val="Hyperlink"/>
          </w:rPr>
          <w:t>5.2</w:t>
        </w:r>
      </w:hyperlink>
      <w:r>
        <w:t xml:space="preserve">). </w:t>
      </w:r>
    </w:p>
    <w:p w:rsidR="00D9679A" w:rsidRDefault="00D9679A"/>
    <w:p w:rsidR="00D9679A" w:rsidRDefault="00D9679A">
      <w:r>
        <w:t>The model-calculated solution is not affected by the calibration point data entered in the worksheet. However, the user-calibrated solution is highly sensitive to these values.</w:t>
      </w:r>
    </w:p>
    <w:p w:rsidR="00EA2897" w:rsidRDefault="00EA2897" w:rsidP="004733A6">
      <w:pPr>
        <w:pStyle w:val="Heading2"/>
      </w:pPr>
      <w:bookmarkStart w:id="37" w:name="_Calculated_Quantities"/>
      <w:bookmarkStart w:id="38" w:name="_Toc381357794"/>
      <w:bookmarkEnd w:id="37"/>
      <w:r>
        <w:t>Calculated Quantities</w:t>
      </w:r>
      <w:bookmarkEnd w:id="38"/>
    </w:p>
    <w:p w:rsidR="002303E4" w:rsidRDefault="00EA2897">
      <w:r>
        <w:t xml:space="preserve">The </w:t>
      </w:r>
      <w:r w:rsidRPr="00064437">
        <w:t>groundwater velocity</w:t>
      </w:r>
      <w:r>
        <w:t xml:space="preserve"> and </w:t>
      </w:r>
      <w:r w:rsidRPr="00064437">
        <w:t>retardation factor</w:t>
      </w:r>
      <w:r>
        <w:t xml:space="preserve"> are important parameters that are not input by the user because they are calculated by the model from other variables.</w:t>
      </w:r>
    </w:p>
    <w:p w:rsidR="00EA2897" w:rsidRDefault="00EA2897"/>
    <w:p w:rsidR="00EA2897" w:rsidRDefault="00EA2897" w:rsidP="00EA2897">
      <w:r>
        <w:t xml:space="preserve">The interstitial </w:t>
      </w:r>
      <w:r w:rsidRPr="00064437">
        <w:rPr>
          <w:b/>
        </w:rPr>
        <w:t>groundwater</w:t>
      </w:r>
      <w:r w:rsidR="00DD04C2" w:rsidRPr="00064437">
        <w:rPr>
          <w:b/>
        </w:rPr>
        <w:t xml:space="preserve"> velocity</w:t>
      </w:r>
      <w:r w:rsidR="00A54687">
        <w:t xml:space="preserve"> (</w:t>
      </w:r>
      <w:r w:rsidR="00A54687">
        <w:rPr>
          <w:i/>
        </w:rPr>
        <w:t>v</w:t>
      </w:r>
      <w:r w:rsidR="00A54687">
        <w:t>)</w:t>
      </w:r>
      <w:r>
        <w:t>, or seepage velocity</w:t>
      </w:r>
      <w:r w:rsidR="00DD04C2">
        <w:t>,</w:t>
      </w:r>
      <w:r>
        <w:t xml:space="preserve"> is determined as follows:</w:t>
      </w:r>
    </w:p>
    <w:p w:rsidR="00EA2897" w:rsidRDefault="00EA2897" w:rsidP="00EA2897">
      <w:pPr>
        <w:ind w:firstLine="360"/>
      </w:pPr>
    </w:p>
    <w:p w:rsidR="00EA2897" w:rsidRDefault="00EA2897" w:rsidP="00EA2897">
      <w:pPr>
        <w:ind w:firstLine="360"/>
      </w:pPr>
      <w:r w:rsidRPr="00FF70B0">
        <w:rPr>
          <w:position w:val="-30"/>
        </w:rPr>
        <w:object w:dxaOrig="7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pt;height:34.2pt" o:ole="">
            <v:imagedata r:id="rId15" o:title=""/>
          </v:shape>
          <o:OLEObject Type="Embed" ProgID="Equation.3" ShapeID="_x0000_i1025" DrawAspect="Content" ObjectID="_1456567189" r:id="rId16"/>
        </w:object>
      </w:r>
    </w:p>
    <w:p w:rsidR="00EA2897" w:rsidRDefault="00EA2897" w:rsidP="00EA2897">
      <w:pPr>
        <w:ind w:firstLine="360"/>
      </w:pPr>
      <w:r>
        <w:rPr>
          <w:i/>
        </w:rPr>
        <w:t>K</w:t>
      </w:r>
      <w:r>
        <w:t>: hydraulic conductivity</w:t>
      </w:r>
    </w:p>
    <w:p w:rsidR="00EA2897" w:rsidRDefault="00EA2897" w:rsidP="00EA2897">
      <w:pPr>
        <w:ind w:firstLine="360"/>
      </w:pPr>
      <w:proofErr w:type="gramStart"/>
      <w:r>
        <w:rPr>
          <w:i/>
        </w:rPr>
        <w:t>i</w:t>
      </w:r>
      <w:proofErr w:type="gramEnd"/>
      <w:r>
        <w:t>: hydraulic gradient</w:t>
      </w:r>
    </w:p>
    <w:p w:rsidR="00EA2897" w:rsidRDefault="00EA2897" w:rsidP="00EA2897">
      <w:pPr>
        <w:ind w:firstLine="360"/>
      </w:pPr>
      <w:proofErr w:type="gramStart"/>
      <w:r>
        <w:rPr>
          <w:i/>
        </w:rPr>
        <w:t>n</w:t>
      </w:r>
      <w:r>
        <w:rPr>
          <w:vertAlign w:val="subscript"/>
        </w:rPr>
        <w:t>e</w:t>
      </w:r>
      <w:proofErr w:type="gramEnd"/>
      <w:r>
        <w:t>: effective porosity</w:t>
      </w:r>
    </w:p>
    <w:p w:rsidR="00EA2897" w:rsidRDefault="00EA2897" w:rsidP="00EA2897">
      <w:pPr>
        <w:rPr>
          <w:i/>
        </w:rPr>
      </w:pPr>
    </w:p>
    <w:p w:rsidR="00EA2897" w:rsidRDefault="00EA2897" w:rsidP="00EA2897">
      <w:r>
        <w:t xml:space="preserve">The </w:t>
      </w:r>
      <w:proofErr w:type="spellStart"/>
      <w:r>
        <w:t>Domenico</w:t>
      </w:r>
      <w:proofErr w:type="spellEnd"/>
      <w:r>
        <w:t xml:space="preserve"> solution is a function of the contaminant velocity. This may be less than the groundwater flow velocity owing to solute adsorption. Only one of the parameters in </w:t>
      </w:r>
      <w:r>
        <w:rPr>
          <w:i/>
        </w:rPr>
        <w:t>v</w:t>
      </w:r>
      <w:r>
        <w:t xml:space="preserve"> (typically </w:t>
      </w:r>
      <w:r>
        <w:rPr>
          <w:i/>
        </w:rPr>
        <w:t>K</w:t>
      </w:r>
      <w:r>
        <w:t>) should be used as a calibration variable while best estimates of the others should be selected.</w:t>
      </w:r>
    </w:p>
    <w:p w:rsidR="00EA2897" w:rsidRDefault="00EA2897" w:rsidP="00EA2897"/>
    <w:p w:rsidR="00EA2897" w:rsidRDefault="00EA2897" w:rsidP="00EA2897">
      <w:r>
        <w:t xml:space="preserve">The </w:t>
      </w:r>
      <w:r w:rsidRPr="00064437">
        <w:rPr>
          <w:b/>
        </w:rPr>
        <w:t>retardation factor</w:t>
      </w:r>
      <w:r>
        <w:t xml:space="preserve"> </w:t>
      </w:r>
      <w:r w:rsidR="00A54687">
        <w:t>(</w:t>
      </w:r>
      <w:r w:rsidR="00A54687">
        <w:rPr>
          <w:i/>
        </w:rPr>
        <w:t>R</w:t>
      </w:r>
      <w:r w:rsidR="00A54687">
        <w:t>) is defined as:</w:t>
      </w:r>
    </w:p>
    <w:p w:rsidR="00EA2897" w:rsidRDefault="00EA2897" w:rsidP="00EA2897"/>
    <w:p w:rsidR="00EA2897" w:rsidRDefault="00EA2897" w:rsidP="00EA2897">
      <w:pPr>
        <w:ind w:firstLine="360"/>
      </w:pPr>
      <w:r w:rsidRPr="002B5508">
        <w:rPr>
          <w:position w:val="-30"/>
        </w:rPr>
        <w:object w:dxaOrig="1719" w:dyaOrig="700">
          <v:shape id="_x0000_i1026" type="#_x0000_t75" style="width:85.8pt;height:34.8pt" o:ole="">
            <v:imagedata r:id="rId17" o:title=""/>
          </v:shape>
          <o:OLEObject Type="Embed" ProgID="Equation.3" ShapeID="_x0000_i1026" DrawAspect="Content" ObjectID="_1456567190" r:id="rId18"/>
        </w:object>
      </w:r>
    </w:p>
    <w:p w:rsidR="00EA2897" w:rsidRDefault="00EA2897" w:rsidP="00EA2897">
      <w:pPr>
        <w:ind w:firstLine="360"/>
      </w:pPr>
      <w:proofErr w:type="spellStart"/>
      <w:r w:rsidRPr="00064437">
        <w:rPr>
          <w:i/>
        </w:rPr>
        <w:t>K</w:t>
      </w:r>
      <w:r w:rsidRPr="00E73DA3">
        <w:rPr>
          <w:vertAlign w:val="subscript"/>
        </w:rPr>
        <w:t>oc</w:t>
      </w:r>
      <w:proofErr w:type="spellEnd"/>
      <w:r>
        <w:t>: organic carbon partition coefficient</w:t>
      </w:r>
    </w:p>
    <w:p w:rsidR="00EA2897" w:rsidRDefault="00EA2897" w:rsidP="00EA2897">
      <w:pPr>
        <w:ind w:firstLine="360"/>
      </w:pPr>
      <w:proofErr w:type="spellStart"/>
      <w:proofErr w:type="gramStart"/>
      <w:r>
        <w:rPr>
          <w:i/>
        </w:rPr>
        <w:t>f</w:t>
      </w:r>
      <w:r>
        <w:rPr>
          <w:vertAlign w:val="subscript"/>
        </w:rPr>
        <w:t>oc</w:t>
      </w:r>
      <w:proofErr w:type="spellEnd"/>
      <w:proofErr w:type="gramEnd"/>
      <w:r>
        <w:t>: fraction organic carbon</w:t>
      </w:r>
    </w:p>
    <w:p w:rsidR="00EA2897" w:rsidRPr="0093306E" w:rsidRDefault="00EA2897" w:rsidP="00EA2897">
      <w:pPr>
        <w:ind w:firstLine="360"/>
        <w:rPr>
          <w:rFonts w:ascii="Symbol" w:hAnsi="Symbol"/>
        </w:rPr>
      </w:pPr>
      <w:r>
        <w:rPr>
          <w:rFonts w:ascii="Symbol" w:hAnsi="Symbol"/>
          <w:i/>
        </w:rPr>
        <w:t></w:t>
      </w:r>
      <w:r>
        <w:rPr>
          <w:vertAlign w:val="subscript"/>
        </w:rPr>
        <w:t>b</w:t>
      </w:r>
      <w:r>
        <w:t>: bulk density</w:t>
      </w:r>
    </w:p>
    <w:p w:rsidR="00EA2897" w:rsidRDefault="00EA2897" w:rsidP="00EA2897">
      <w:pPr>
        <w:ind w:firstLine="360"/>
      </w:pPr>
      <w:proofErr w:type="gramStart"/>
      <w:r>
        <w:rPr>
          <w:i/>
        </w:rPr>
        <w:t>n</w:t>
      </w:r>
      <w:r>
        <w:rPr>
          <w:vertAlign w:val="subscript"/>
        </w:rPr>
        <w:t>e</w:t>
      </w:r>
      <w:proofErr w:type="gramEnd"/>
      <w:r>
        <w:t>: effective porosity.</w:t>
      </w:r>
    </w:p>
    <w:p w:rsidR="00EA2897" w:rsidRDefault="00EA2897" w:rsidP="00EA2897"/>
    <w:p w:rsidR="00EA2897" w:rsidRPr="00EA2897" w:rsidRDefault="00EA2897" w:rsidP="00EA2897">
      <w:r>
        <w:t xml:space="preserve">The contaminant velocity </w:t>
      </w:r>
      <w:r w:rsidR="00A54687">
        <w:t>(</w:t>
      </w:r>
      <w:proofErr w:type="spellStart"/>
      <w:r w:rsidR="00A54687">
        <w:rPr>
          <w:i/>
        </w:rPr>
        <w:t>v</w:t>
      </w:r>
      <w:r w:rsidR="00A54687">
        <w:rPr>
          <w:vertAlign w:val="subscript"/>
        </w:rPr>
        <w:t>c</w:t>
      </w:r>
      <w:proofErr w:type="spellEnd"/>
      <w:r w:rsidR="00A54687">
        <w:t xml:space="preserve">) </w:t>
      </w:r>
      <w:r>
        <w:t xml:space="preserve">equals the groundwater </w:t>
      </w:r>
      <w:proofErr w:type="gramStart"/>
      <w:r>
        <w:t>velocity  reduced</w:t>
      </w:r>
      <w:proofErr w:type="gramEnd"/>
      <w:r>
        <w:t xml:space="preserve"> in proportion to the retardation factor: </w:t>
      </w:r>
      <w:proofErr w:type="spellStart"/>
      <w:r>
        <w:rPr>
          <w:i/>
        </w:rPr>
        <w:t>v</w:t>
      </w:r>
      <w:r>
        <w:rPr>
          <w:vertAlign w:val="subscript"/>
        </w:rPr>
        <w:t>c</w:t>
      </w:r>
      <w:proofErr w:type="spellEnd"/>
      <w:r>
        <w:t xml:space="preserve"> = </w:t>
      </w:r>
      <w:r>
        <w:rPr>
          <w:i/>
        </w:rPr>
        <w:t>v</w:t>
      </w:r>
      <w:r>
        <w:t>/</w:t>
      </w:r>
      <w:r>
        <w:rPr>
          <w:i/>
        </w:rPr>
        <w:t>R</w:t>
      </w:r>
      <w:r>
        <w:t>. The retardation factor should equal one for inorganic substances</w:t>
      </w:r>
      <w:r w:rsidR="000E18E9">
        <w:t xml:space="preserve"> (i.e., </w:t>
      </w:r>
      <w:proofErr w:type="spellStart"/>
      <w:r w:rsidR="00424CBD">
        <w:rPr>
          <w:i/>
        </w:rPr>
        <w:t>K</w:t>
      </w:r>
      <w:r w:rsidR="00424CBD">
        <w:rPr>
          <w:vertAlign w:val="subscript"/>
        </w:rPr>
        <w:t>oc</w:t>
      </w:r>
      <w:proofErr w:type="spellEnd"/>
      <w:r w:rsidR="00424CBD">
        <w:t xml:space="preserve"> = </w:t>
      </w:r>
      <w:proofErr w:type="spellStart"/>
      <w:r w:rsidR="000E18E9">
        <w:rPr>
          <w:i/>
        </w:rPr>
        <w:t>f</w:t>
      </w:r>
      <w:r w:rsidR="000E18E9">
        <w:rPr>
          <w:vertAlign w:val="subscript"/>
        </w:rPr>
        <w:t>oc</w:t>
      </w:r>
      <w:proofErr w:type="spellEnd"/>
      <w:r w:rsidR="000E18E9">
        <w:t xml:space="preserve"> = 0)</w:t>
      </w:r>
      <w:r>
        <w:t>.</w:t>
      </w:r>
    </w:p>
    <w:p w:rsidR="00EA2897" w:rsidRDefault="00EA2897" w:rsidP="00EA2897"/>
    <w:p w:rsidR="00EA2897" w:rsidRPr="00EA2897" w:rsidRDefault="00EA2897"/>
    <w:p w:rsidR="000971FB" w:rsidRDefault="000971FB" w:rsidP="000971FB">
      <w:pPr>
        <w:pStyle w:val="Heading1"/>
      </w:pPr>
      <w:r>
        <w:br w:type="page"/>
      </w:r>
      <w:bookmarkStart w:id="39" w:name="_Toc381357795"/>
      <w:r>
        <w:lastRenderedPageBreak/>
        <w:t>QD Model Output</w:t>
      </w:r>
      <w:bookmarkEnd w:id="39"/>
    </w:p>
    <w:p w:rsidR="000971FB" w:rsidRDefault="000971FB"/>
    <w:p w:rsidR="000971FB" w:rsidRDefault="00342BB3">
      <w:r>
        <w:t xml:space="preserve">Quick </w:t>
      </w:r>
      <w:proofErr w:type="spellStart"/>
      <w:r>
        <w:t>Domenico</w:t>
      </w:r>
      <w:proofErr w:type="spellEnd"/>
      <w:r>
        <w:t xml:space="preserve"> displays numerical and graphical output</w:t>
      </w:r>
      <w:r w:rsidR="008D5619">
        <w:t>s</w:t>
      </w:r>
      <w:r>
        <w:t xml:space="preserve"> of the model solution. </w:t>
      </w:r>
    </w:p>
    <w:p w:rsidR="00342BB3" w:rsidRDefault="00342BB3"/>
    <w:p w:rsidR="00342BB3" w:rsidRDefault="00342BB3">
      <w:r>
        <w:t xml:space="preserve">A point concentration (mg/L) is calculated for the coordinates and time </w:t>
      </w:r>
      <w:r w:rsidR="00590640">
        <w:t xml:space="preserve">that were </w:t>
      </w:r>
      <w:r>
        <w:t xml:space="preserve">input. Also, contaminant concentrations (mg/L) are determined on a two-dimensional horizontal grid for the domain specified by the length and width input parameters. The grid has ten columns in the </w:t>
      </w:r>
      <w:r>
        <w:rPr>
          <w:i/>
        </w:rPr>
        <w:t>x</w:t>
      </w:r>
      <w:r>
        <w:t xml:space="preserve"> direction (downgradient) and five rows in the </w:t>
      </w:r>
      <w:r>
        <w:rPr>
          <w:i/>
        </w:rPr>
        <w:t>y</w:t>
      </w:r>
      <w:r>
        <w:t xml:space="preserve"> direction (cross-gradient), including the centerline.</w:t>
      </w:r>
    </w:p>
    <w:p w:rsidR="00342BB3" w:rsidRDefault="00342BB3"/>
    <w:p w:rsidR="00342BB3" w:rsidRPr="00342BB3" w:rsidRDefault="00342BB3">
      <w:r>
        <w:t>Modeled centerline concentrations are plotted with distance from the source. Graphs with linear and logarithmic concentration scales are display</w:t>
      </w:r>
      <w:r w:rsidR="00C6471E">
        <w:t>ed. The centerline field data are</w:t>
      </w:r>
      <w:r>
        <w:t xml:space="preserve"> also plotted for comparison and calibration.</w:t>
      </w:r>
    </w:p>
    <w:p w:rsidR="000971FB" w:rsidRDefault="000971FB"/>
    <w:p w:rsidR="0030449D" w:rsidRDefault="0030449D" w:rsidP="007A01B4">
      <w:pPr>
        <w:pStyle w:val="Heading1"/>
      </w:pPr>
      <w:bookmarkStart w:id="40" w:name="_Calibrating_the_QD"/>
      <w:bookmarkEnd w:id="40"/>
      <w:r>
        <w:br w:type="page"/>
      </w:r>
      <w:r w:rsidR="00257A15">
        <w:lastRenderedPageBreak/>
        <w:t xml:space="preserve"> </w:t>
      </w:r>
      <w:bookmarkStart w:id="41" w:name="_Toc381357796"/>
      <w:r>
        <w:t>Calibrating the QD Model</w:t>
      </w:r>
      <w:bookmarkEnd w:id="41"/>
    </w:p>
    <w:p w:rsidR="0030449D" w:rsidRDefault="006C2954" w:rsidP="004733A6">
      <w:pPr>
        <w:pStyle w:val="Heading2"/>
      </w:pPr>
      <w:bookmarkStart w:id="42" w:name="_Objective"/>
      <w:bookmarkStart w:id="43" w:name="_Toc381357797"/>
      <w:bookmarkEnd w:id="42"/>
      <w:r>
        <w:t>Objective</w:t>
      </w:r>
      <w:bookmarkEnd w:id="43"/>
    </w:p>
    <w:p w:rsidR="005A28DA" w:rsidRDefault="005A28DA" w:rsidP="005A28DA">
      <w:r>
        <w:t xml:space="preserve">Calibration is a </w:t>
      </w:r>
      <w:r w:rsidR="00652233">
        <w:t xml:space="preserve">crucial </w:t>
      </w:r>
      <w:r>
        <w:t xml:space="preserve">part of fate-and-transport modeling. It allows the user to refine the parameter values by matching </w:t>
      </w:r>
      <w:r w:rsidR="003B7598">
        <w:t xml:space="preserve">the simulation to </w:t>
      </w:r>
      <w:r>
        <w:t xml:space="preserve">field data. </w:t>
      </w:r>
      <w:r w:rsidR="008D5619">
        <w:t xml:space="preserve">If successful, calibration </w:t>
      </w:r>
      <w:r>
        <w:t xml:space="preserve">demonstrates that the model can reproduce actual measurements, and it gives us some </w:t>
      </w:r>
      <w:r w:rsidR="00652233">
        <w:t xml:space="preserve">confidence </w:t>
      </w:r>
      <w:r>
        <w:t>that it can therefore be used to predict plume concentrations at other locations and times. The objective is to constrain the parameter values to improve the accuracy of the model.</w:t>
      </w:r>
    </w:p>
    <w:p w:rsidR="00F307A8" w:rsidRDefault="00F307A8" w:rsidP="005A28DA"/>
    <w:p w:rsidR="00F307A8" w:rsidRDefault="003B7598" w:rsidP="005A28DA">
      <w:r>
        <w:t>Fate-and-</w:t>
      </w:r>
      <w:r w:rsidR="00F307A8">
        <w:t xml:space="preserve">transport model calibrations are not unique because there are several poorly determined </w:t>
      </w:r>
      <w:r w:rsidR="00652233">
        <w:t xml:space="preserve">sensitive </w:t>
      </w:r>
      <w:r w:rsidR="00F307A8">
        <w:t xml:space="preserve">variables (namely the first-order decay rate, the hydraulic conductivity, and the </w:t>
      </w:r>
      <w:proofErr w:type="spellStart"/>
      <w:r w:rsidR="00F307A8">
        <w:t>dispersivities</w:t>
      </w:r>
      <w:proofErr w:type="spellEnd"/>
      <w:r w:rsidR="00F307A8">
        <w:t xml:space="preserve">).  A successful calibration does not guarantee that the model will accurately predict conditions </w:t>
      </w:r>
      <w:r>
        <w:t>throughout the plume</w:t>
      </w:r>
      <w:r w:rsidR="00F307A8">
        <w:t xml:space="preserve"> or in the future.</w:t>
      </w:r>
    </w:p>
    <w:p w:rsidR="005A28DA" w:rsidRDefault="005A28DA" w:rsidP="005A28DA"/>
    <w:p w:rsidR="006C2954" w:rsidRDefault="00A57259">
      <w:r>
        <w:t xml:space="preserve">Although we always recommend use of calibration points, in </w:t>
      </w:r>
      <w:r w:rsidR="005A28DA">
        <w:t xml:space="preserve">some </w:t>
      </w:r>
      <w:r w:rsidR="00EF5320">
        <w:t>cases</w:t>
      </w:r>
      <w:r w:rsidR="005A28DA">
        <w:t xml:space="preserve"> it may be acceptable to </w:t>
      </w:r>
      <w:r w:rsidR="0034651B">
        <w:t>use QD without a calibration</w:t>
      </w:r>
      <w:r w:rsidR="005A28DA">
        <w:t xml:space="preserve">. </w:t>
      </w:r>
      <w:r>
        <w:t>It</w:t>
      </w:r>
      <w:r w:rsidR="005A28DA">
        <w:t xml:space="preserve"> is not </w:t>
      </w:r>
      <w:r>
        <w:t xml:space="preserve">always </w:t>
      </w:r>
      <w:r w:rsidR="005A28DA">
        <w:t>feasible to install calibration wells at the site</w:t>
      </w:r>
      <w:r>
        <w:t>, and</w:t>
      </w:r>
      <w:r w:rsidR="0034651B">
        <w:t xml:space="preserve"> an uncertainty analysis </w:t>
      </w:r>
      <w:r>
        <w:t xml:space="preserve">may </w:t>
      </w:r>
      <w:r w:rsidR="0034651B">
        <w:t>demonstrate that conservativ</w:t>
      </w:r>
      <w:r w:rsidR="00973536">
        <w:t xml:space="preserve">e parameter values result in a satisfactory </w:t>
      </w:r>
      <w:r w:rsidR="0034651B">
        <w:t>outcome</w:t>
      </w:r>
      <w:r w:rsidR="002E44DE">
        <w:t xml:space="preserve">. </w:t>
      </w:r>
      <w:r w:rsidR="0034651B">
        <w:t xml:space="preserve">In general, without a calibration the model must be </w:t>
      </w:r>
      <w:r>
        <w:t xml:space="preserve">run with very </w:t>
      </w:r>
      <w:r w:rsidR="0034651B">
        <w:t>conservative</w:t>
      </w:r>
      <w:r>
        <w:t xml:space="preserve"> inputs</w:t>
      </w:r>
      <w:r w:rsidR="0034651B">
        <w:t xml:space="preserve">, and the parameter choices must be fully justified (e.g., see </w:t>
      </w:r>
      <w:hyperlink w:anchor="App2" w:history="1">
        <w:r w:rsidR="0034651B" w:rsidRPr="002009B0">
          <w:rPr>
            <w:rStyle w:val="Hyperlink"/>
          </w:rPr>
          <w:t>Appendix 2</w:t>
        </w:r>
      </w:hyperlink>
      <w:r w:rsidR="0034651B">
        <w:t xml:space="preserve"> and </w:t>
      </w:r>
      <w:hyperlink w:anchor="App3" w:history="1">
        <w:r w:rsidR="0034651B" w:rsidRPr="002009B0">
          <w:rPr>
            <w:rStyle w:val="Hyperlink"/>
          </w:rPr>
          <w:t>Appendix 3</w:t>
        </w:r>
      </w:hyperlink>
      <w:r w:rsidR="0034651B">
        <w:t xml:space="preserve">). The </w:t>
      </w:r>
      <w:r>
        <w:t xml:space="preserve">licensed </w:t>
      </w:r>
      <w:r w:rsidR="0034651B">
        <w:t xml:space="preserve">professional geologist submitting the report is responsible for defending the analysis with or without a calibration. </w:t>
      </w:r>
    </w:p>
    <w:p w:rsidR="006C2954" w:rsidRDefault="006C2954" w:rsidP="004733A6">
      <w:pPr>
        <w:pStyle w:val="Heading2"/>
      </w:pPr>
      <w:bookmarkStart w:id="44" w:name="_Methodology"/>
      <w:bookmarkStart w:id="45" w:name="_Toc381357798"/>
      <w:bookmarkEnd w:id="44"/>
      <w:r>
        <w:t>Methodology</w:t>
      </w:r>
      <w:bookmarkEnd w:id="45"/>
    </w:p>
    <w:p w:rsidR="006C2954" w:rsidRDefault="00652233">
      <w:r>
        <w:t>DEP</w:t>
      </w:r>
      <w:r w:rsidR="0024551F">
        <w:t xml:space="preserve"> </w:t>
      </w:r>
      <w:r w:rsidR="003A6901">
        <w:t>advocate</w:t>
      </w:r>
      <w:r w:rsidR="00144468">
        <w:t>s</w:t>
      </w:r>
      <w:r w:rsidR="0024551F">
        <w:t xml:space="preserve"> a systematic approach</w:t>
      </w:r>
      <w:r w:rsidR="00144468">
        <w:t xml:space="preserve"> to model calibration</w:t>
      </w:r>
      <w:r w:rsidR="0024551F">
        <w:t>.</w:t>
      </w:r>
      <w:r w:rsidR="009A3708">
        <w:t xml:space="preserve"> </w:t>
      </w:r>
      <w:r w:rsidR="00C70F05">
        <w:t>T</w:t>
      </w:r>
      <w:r w:rsidR="00B83F1F">
        <w:t xml:space="preserve">his manual </w:t>
      </w:r>
      <w:r w:rsidR="003A6901">
        <w:t xml:space="preserve">describes </w:t>
      </w:r>
      <w:r w:rsidR="00B83F1F">
        <w:t xml:space="preserve">calibration with only three significant </w:t>
      </w:r>
      <w:r w:rsidR="00143857">
        <w:t>variables</w:t>
      </w:r>
      <w:r w:rsidR="00B83F1F">
        <w:t>: hydraulic conductivity (</w:t>
      </w:r>
      <w:r w:rsidR="00B83F1F">
        <w:rPr>
          <w:i/>
        </w:rPr>
        <w:t>K</w:t>
      </w:r>
      <w:r w:rsidR="00B83F1F">
        <w:t xml:space="preserve">), longitudinal </w:t>
      </w:r>
      <w:proofErr w:type="spellStart"/>
      <w:r w:rsidR="00B83F1F">
        <w:t>dispersivity</w:t>
      </w:r>
      <w:proofErr w:type="spellEnd"/>
      <w:r w:rsidR="00B83F1F">
        <w:t xml:space="preserve"> (</w:t>
      </w:r>
      <w:r w:rsidR="00B83F1F">
        <w:rPr>
          <w:rFonts w:ascii="Symbol" w:hAnsi="Symbol"/>
          <w:i/>
        </w:rPr>
        <w:t></w:t>
      </w:r>
      <w:r w:rsidR="00B83F1F">
        <w:rPr>
          <w:i/>
          <w:vertAlign w:val="subscript"/>
        </w:rPr>
        <w:t>x</w:t>
      </w:r>
      <w:r w:rsidR="00B83F1F">
        <w:t>), and decay rate (</w:t>
      </w:r>
      <w:r w:rsidR="00B83F1F">
        <w:rPr>
          <w:rFonts w:ascii="Symbol" w:hAnsi="Symbol"/>
          <w:i/>
        </w:rPr>
        <w:t></w:t>
      </w:r>
      <w:r w:rsidR="00B83F1F">
        <w:t>). It is important to evaluate the sensitivity of the model to different combinations of these parameter values to find the most conservative result.</w:t>
      </w:r>
    </w:p>
    <w:p w:rsidR="00CB7B1F" w:rsidRDefault="00CB7B1F"/>
    <w:p w:rsidR="00CB7B1F" w:rsidRDefault="00CB7B1F">
      <w:r>
        <w:t xml:space="preserve">The user must </w:t>
      </w:r>
      <w:r w:rsidR="003B7598">
        <w:t xml:space="preserve">consider </w:t>
      </w:r>
      <w:r>
        <w:t xml:space="preserve">whether or not a well with </w:t>
      </w:r>
      <w:proofErr w:type="spellStart"/>
      <w:r>
        <w:t>nondetect</w:t>
      </w:r>
      <w:proofErr w:type="spellEnd"/>
      <w:r>
        <w:t xml:space="preserve"> results is a suitable calibration point. If the plume is in steady state, and the well is truly </w:t>
      </w:r>
      <w:r w:rsidR="00EB50E7">
        <w:t xml:space="preserve">directly </w:t>
      </w:r>
      <w:r>
        <w:t xml:space="preserve">downgradient of the source, we know that contamination has not and presumably will not extend that far. However, calibrating to </w:t>
      </w:r>
      <w:proofErr w:type="spellStart"/>
      <w:r>
        <w:t>nondetect</w:t>
      </w:r>
      <w:proofErr w:type="spellEnd"/>
      <w:r>
        <w:t xml:space="preserve"> field data </w:t>
      </w:r>
      <w:r w:rsidR="00652233">
        <w:t xml:space="preserve">will </w:t>
      </w:r>
      <w:r w:rsidR="00143857">
        <w:t>usually give only a lower bound on</w:t>
      </w:r>
      <w:r w:rsidR="00652233">
        <w:t xml:space="preserve"> </w:t>
      </w:r>
      <w:r>
        <w:t xml:space="preserve">the transport decay rate. </w:t>
      </w:r>
    </w:p>
    <w:p w:rsidR="00A11A3A" w:rsidRDefault="00A11A3A"/>
    <w:p w:rsidR="00A11A3A" w:rsidRPr="00B83F1F" w:rsidRDefault="00A11A3A">
      <w:pPr>
        <w:rPr>
          <w:rFonts w:ascii="Symbol" w:hAnsi="Symbol"/>
        </w:rPr>
      </w:pPr>
      <w:r>
        <w:t>We recommend the following steps to calibrate QD models.</w:t>
      </w:r>
    </w:p>
    <w:p w:rsidR="0024551F" w:rsidRDefault="0024551F"/>
    <w:p w:rsidR="0024551F" w:rsidRDefault="00817D16" w:rsidP="00817D16">
      <w:pPr>
        <w:numPr>
          <w:ilvl w:val="0"/>
          <w:numId w:val="23"/>
        </w:numPr>
        <w:spacing w:after="240"/>
      </w:pPr>
      <w:r>
        <w:rPr>
          <w:b/>
        </w:rPr>
        <w:t xml:space="preserve">Select the calibration well(s). </w:t>
      </w:r>
      <w:r>
        <w:t xml:space="preserve">Normally modeling is conducted after monitoring wells </w:t>
      </w:r>
      <w:r w:rsidR="00C70F05">
        <w:t>have been installed and data have</w:t>
      </w:r>
      <w:r>
        <w:t xml:space="preserve"> been collected. The wells chosen for calibration </w:t>
      </w:r>
      <w:r w:rsidR="00DD128D">
        <w:t xml:space="preserve">must </w:t>
      </w:r>
      <w:r>
        <w:t>be downgradient of the source and close to the centerline. Off-centerline wells might be suitable if they are close enough, relative to the source width,</w:t>
      </w:r>
      <w:r w:rsidR="0078710A">
        <w:t xml:space="preserve"> such</w:t>
      </w:r>
      <w:r>
        <w:t xml:space="preserve"> that the contaminant concentrations are </w:t>
      </w:r>
      <w:r w:rsidR="003B7598">
        <w:t xml:space="preserve">fairly </w:t>
      </w:r>
      <w:r>
        <w:t xml:space="preserve">uniform across the plume. If not, then </w:t>
      </w:r>
      <w:r w:rsidR="003B7598">
        <w:t>you</w:t>
      </w:r>
      <w:r w:rsidR="00D70D95">
        <w:t xml:space="preserve"> </w:t>
      </w:r>
      <w:r w:rsidR="003B7598">
        <w:t>could</w:t>
      </w:r>
      <w:r w:rsidR="00D70D95">
        <w:t xml:space="preserve"> attempt</w:t>
      </w:r>
      <w:r>
        <w:t xml:space="preserve"> to calculate the concentration at the off-centerline location (i.e., </w:t>
      </w:r>
      <w:r>
        <w:rPr>
          <w:i/>
        </w:rPr>
        <w:t>y</w:t>
      </w:r>
      <w:r>
        <w:t xml:space="preserve"> ≠ 0).</w:t>
      </w:r>
      <w:r w:rsidR="003B7598">
        <w:t xml:space="preserve"> If no existing wells will serve as calibration points, then one or more new wells may need to be installed.</w:t>
      </w:r>
      <w:r>
        <w:t xml:space="preserve"> </w:t>
      </w:r>
      <w:r w:rsidR="00F307A8">
        <w:t xml:space="preserve">Generally, when there are </w:t>
      </w:r>
      <w:r>
        <w:t>more wells available for calibration</w:t>
      </w:r>
      <w:r w:rsidR="00F307A8">
        <w:t xml:space="preserve"> the model will be better constrained</w:t>
      </w:r>
      <w:r w:rsidR="003B7598">
        <w:t>, though</w:t>
      </w:r>
      <w:r w:rsidR="00F307A8">
        <w:t xml:space="preserve"> in some instances no solution will match the field data from all of the calibration wells. In this </w:t>
      </w:r>
      <w:r w:rsidR="00F307A8">
        <w:lastRenderedPageBreak/>
        <w:t xml:space="preserve">situation </w:t>
      </w:r>
      <w:r w:rsidR="007F1E6C">
        <w:t>you</w:t>
      </w:r>
      <w:r w:rsidR="00F307A8">
        <w:t xml:space="preserve"> must exercise </w:t>
      </w:r>
      <w:r w:rsidR="007F1E6C">
        <w:t>you</w:t>
      </w:r>
      <w:r w:rsidR="003A6901">
        <w:t>r</w:t>
      </w:r>
      <w:r w:rsidR="00F307A8">
        <w:t xml:space="preserve"> judgment to fit the model</w:t>
      </w:r>
      <w:r w:rsidR="00CB7B1F">
        <w:t xml:space="preserve"> and decide which wells best represent the contaminant distribution. </w:t>
      </w:r>
      <w:r>
        <w:t xml:space="preserve"> </w:t>
      </w:r>
    </w:p>
    <w:p w:rsidR="00085003" w:rsidRDefault="00085003" w:rsidP="00817D16">
      <w:pPr>
        <w:numPr>
          <w:ilvl w:val="0"/>
          <w:numId w:val="23"/>
        </w:numPr>
        <w:spacing w:after="240"/>
      </w:pPr>
      <w:r>
        <w:rPr>
          <w:b/>
        </w:rPr>
        <w:t>Measure the distance of the well(s) from the source.</w:t>
      </w:r>
      <w:r>
        <w:t xml:space="preserve"> This should be done with </w:t>
      </w:r>
      <w:r w:rsidR="003A6901">
        <w:t xml:space="preserve">proper </w:t>
      </w:r>
      <w:r>
        <w:t>accuracy.</w:t>
      </w:r>
    </w:p>
    <w:p w:rsidR="00817D16" w:rsidRDefault="00F33941" w:rsidP="00817D16">
      <w:pPr>
        <w:numPr>
          <w:ilvl w:val="0"/>
          <w:numId w:val="23"/>
        </w:numPr>
        <w:spacing w:after="240"/>
      </w:pPr>
      <w:r>
        <w:rPr>
          <w:b/>
        </w:rPr>
        <w:t xml:space="preserve">Determine the calibration values. </w:t>
      </w:r>
      <w:r>
        <w:t xml:space="preserve">Concentration data </w:t>
      </w:r>
      <w:r w:rsidR="004B7330">
        <w:t>should</w:t>
      </w:r>
      <w:r>
        <w:t xml:space="preserve"> be available </w:t>
      </w:r>
      <w:r w:rsidR="00650DB1">
        <w:t>for the wells</w:t>
      </w:r>
      <w:r>
        <w:t xml:space="preserve"> in </w:t>
      </w:r>
      <w:r w:rsidR="004B7330">
        <w:t>at least four consecutive</w:t>
      </w:r>
      <w:r>
        <w:t xml:space="preserve"> quarters</w:t>
      </w:r>
      <w:r w:rsidR="00D70D95">
        <w:t xml:space="preserve"> for the final model</w:t>
      </w:r>
      <w:r>
        <w:t>. Concentrations may vary significantly from quarter to quarter</w:t>
      </w:r>
      <w:r w:rsidR="006A381B">
        <w:t xml:space="preserve">, and the </w:t>
      </w:r>
      <w:r w:rsidR="003A6901">
        <w:t>calibration</w:t>
      </w:r>
      <w:r w:rsidR="006A381B">
        <w:t xml:space="preserve"> can be very sensitive to the value used</w:t>
      </w:r>
      <w:r>
        <w:t>. Picking a si</w:t>
      </w:r>
      <w:r w:rsidR="00590640">
        <w:t>ngle measurement to calibrate the model</w:t>
      </w:r>
      <w:r>
        <w:t xml:space="preserve"> may bias the </w:t>
      </w:r>
      <w:r w:rsidR="00590640">
        <w:t>results</w:t>
      </w:r>
      <w:r>
        <w:t xml:space="preserve"> if it is not representative of the typical concentrations in that area at that time. For this reason </w:t>
      </w:r>
      <w:r w:rsidR="007F1E6C">
        <w:t>you</w:t>
      </w:r>
      <w:r>
        <w:t xml:space="preserve"> should average a few quarters of data at each well. </w:t>
      </w:r>
      <w:r w:rsidR="00590640">
        <w:t xml:space="preserve">Alternatively, </w:t>
      </w:r>
      <w:r w:rsidR="007F1E6C">
        <w:t xml:space="preserve">you </w:t>
      </w:r>
      <w:r w:rsidR="00590640">
        <w:t xml:space="preserve">can calibrate the model to </w:t>
      </w:r>
      <w:proofErr w:type="gramStart"/>
      <w:r w:rsidR="00590640">
        <w:t xml:space="preserve">the </w:t>
      </w:r>
      <w:r w:rsidR="00EB50E7">
        <w:t xml:space="preserve"> highest</w:t>
      </w:r>
      <w:proofErr w:type="gramEnd"/>
      <w:r w:rsidR="00EB50E7">
        <w:t xml:space="preserve"> observed value to be conservative</w:t>
      </w:r>
      <w:r w:rsidR="00590640">
        <w:t xml:space="preserve">. </w:t>
      </w:r>
      <w:r>
        <w:t>These steps must be taken for each contaminant of concern at each calibration well.</w:t>
      </w:r>
    </w:p>
    <w:p w:rsidR="00F33941" w:rsidRDefault="00B556B9" w:rsidP="00817D16">
      <w:pPr>
        <w:numPr>
          <w:ilvl w:val="0"/>
          <w:numId w:val="23"/>
        </w:numPr>
        <w:spacing w:after="240"/>
      </w:pPr>
      <w:r>
        <w:rPr>
          <w:b/>
        </w:rPr>
        <w:t xml:space="preserve">Determine the calibration time. </w:t>
      </w:r>
      <w:r>
        <w:t xml:space="preserve">This is the time since the release, whether known or estimated. It </w:t>
      </w:r>
      <w:r w:rsidR="003B7598">
        <w:t xml:space="preserve">should not be </w:t>
      </w:r>
      <w:r>
        <w:t xml:space="preserve">the time since the source concentration </w:t>
      </w:r>
      <w:r w:rsidR="006A381B">
        <w:t>(</w:t>
      </w:r>
      <w:r>
        <w:rPr>
          <w:i/>
        </w:rPr>
        <w:t>C</w:t>
      </w:r>
      <w:r>
        <w:rPr>
          <w:vertAlign w:val="subscript"/>
        </w:rPr>
        <w:t>0</w:t>
      </w:r>
      <w:r w:rsidR="006A381B">
        <w:t>)</w:t>
      </w:r>
      <w:r>
        <w:t xml:space="preserve"> was measured in a well</w:t>
      </w:r>
      <w:r w:rsidR="006A381B">
        <w:t xml:space="preserve"> because QD presumes a constant source over time</w:t>
      </w:r>
      <w:r>
        <w:t xml:space="preserve">. The model </w:t>
      </w:r>
      <w:r w:rsidR="006A381B">
        <w:t xml:space="preserve">will </w:t>
      </w:r>
      <w:r>
        <w:t>be sensitive to this time if it isn’t in steady state.</w:t>
      </w:r>
    </w:p>
    <w:p w:rsidR="00B556B9" w:rsidRDefault="00680D4D" w:rsidP="00817D16">
      <w:pPr>
        <w:numPr>
          <w:ilvl w:val="0"/>
          <w:numId w:val="23"/>
        </w:numPr>
        <w:spacing w:after="240"/>
      </w:pPr>
      <w:r>
        <w:rPr>
          <w:b/>
        </w:rPr>
        <w:t xml:space="preserve">Choose the “known” parameter values. </w:t>
      </w:r>
      <w:r>
        <w:t xml:space="preserve">Of the three key parameters, only hydraulic conductivity is likely to </w:t>
      </w:r>
      <w:r w:rsidR="0078710A">
        <w:t>be constrained</w:t>
      </w:r>
      <w:r>
        <w:t xml:space="preserve"> based on well testing or knowledge of </w:t>
      </w:r>
      <w:proofErr w:type="gramStart"/>
      <w:r>
        <w:t xml:space="preserve">the  </w:t>
      </w:r>
      <w:r w:rsidR="003B7598">
        <w:t>soil</w:t>
      </w:r>
      <w:proofErr w:type="gramEnd"/>
      <w:r w:rsidR="003B7598">
        <w:t xml:space="preserve"> type or </w:t>
      </w:r>
      <w:r>
        <w:t xml:space="preserve">lithology </w:t>
      </w:r>
      <w:r w:rsidR="003B7598">
        <w:t xml:space="preserve">of the aquifer </w:t>
      </w:r>
      <w:r>
        <w:t>(</w:t>
      </w:r>
      <w:hyperlink w:anchor="App2" w:history="1">
        <w:r w:rsidRPr="00680D4D">
          <w:rPr>
            <w:rStyle w:val="Hyperlink"/>
          </w:rPr>
          <w:t>Appendix 2</w:t>
        </w:r>
      </w:hyperlink>
      <w:r>
        <w:t xml:space="preserve">). The starting values of the other parameters, longitudinal </w:t>
      </w:r>
      <w:proofErr w:type="spellStart"/>
      <w:r>
        <w:t>dispersivity</w:t>
      </w:r>
      <w:proofErr w:type="spellEnd"/>
      <w:r>
        <w:t xml:space="preserve"> and decay rate, can be estimated using standard quantities (e.g., one-tenth the calibration distance for </w:t>
      </w:r>
      <w:r>
        <w:rPr>
          <w:rFonts w:ascii="Symbol" w:hAnsi="Symbol"/>
          <w:i/>
        </w:rPr>
        <w:t></w:t>
      </w:r>
      <w:r>
        <w:rPr>
          <w:i/>
          <w:vertAlign w:val="subscript"/>
        </w:rPr>
        <w:t>x</w:t>
      </w:r>
      <w:r>
        <w:t xml:space="preserve"> and </w:t>
      </w:r>
      <w:hyperlink w:anchor="_Web_Links" w:history="1">
        <w:r w:rsidRPr="00C77280">
          <w:rPr>
            <w:rStyle w:val="Hyperlink"/>
          </w:rPr>
          <w:t>Ch. 250</w:t>
        </w:r>
      </w:hyperlink>
      <w:r w:rsidRPr="00C77280">
        <w:t xml:space="preserve"> Table 5A</w:t>
      </w:r>
      <w:r>
        <w:t xml:space="preserve"> values for </w:t>
      </w:r>
      <w:r>
        <w:rPr>
          <w:rFonts w:ascii="Symbol" w:hAnsi="Symbol"/>
          <w:i/>
        </w:rPr>
        <w:t></w:t>
      </w:r>
      <w:r>
        <w:t>).</w:t>
      </w:r>
      <w:r w:rsidR="00DD128D">
        <w:t xml:space="preserve"> These values will need to be varied in the calibration.</w:t>
      </w:r>
    </w:p>
    <w:p w:rsidR="005E4B36" w:rsidRDefault="005E4B36" w:rsidP="00817D16">
      <w:pPr>
        <w:numPr>
          <w:ilvl w:val="0"/>
          <w:numId w:val="23"/>
        </w:numPr>
        <w:spacing w:after="240"/>
      </w:pPr>
      <w:r>
        <w:rPr>
          <w:b/>
        </w:rPr>
        <w:t>Assess acceptable ranges for the parameters.</w:t>
      </w:r>
      <w:r>
        <w:t xml:space="preserve"> No values are known with certainty, and they </w:t>
      </w:r>
      <w:r w:rsidR="00143857">
        <w:t xml:space="preserve">typically </w:t>
      </w:r>
      <w:r>
        <w:t>vary spatially and/or with changing subsurface con</w:t>
      </w:r>
      <w:r w:rsidR="006E2384">
        <w:t>ditions. Therefore, even a site</w:t>
      </w:r>
      <w:r>
        <w:t xml:space="preserve"> </w:t>
      </w:r>
      <w:r w:rsidR="006E2384">
        <w:t>measurement</w:t>
      </w:r>
      <w:r>
        <w:t xml:space="preserve"> of hydraulic conductivity will</w:t>
      </w:r>
      <w:r w:rsidR="007F1E6C">
        <w:t xml:space="preserve"> not</w:t>
      </w:r>
      <w:r>
        <w:t xml:space="preserve"> be </w:t>
      </w:r>
      <w:r w:rsidR="007F1E6C">
        <w:t>a unique model input</w:t>
      </w:r>
      <w:r>
        <w:t>. Decide what reasonable ranges of the parameter values are. This will normally be one or two orders of magnitude (</w:t>
      </w:r>
      <w:hyperlink w:anchor="App2" w:history="1">
        <w:r w:rsidRPr="00650DB1">
          <w:rPr>
            <w:rStyle w:val="Hyperlink"/>
          </w:rPr>
          <w:t>Appendi</w:t>
        </w:r>
        <w:r w:rsidR="00650DB1" w:rsidRPr="00650DB1">
          <w:rPr>
            <w:rStyle w:val="Hyperlink"/>
          </w:rPr>
          <w:t>x</w:t>
        </w:r>
        <w:r w:rsidRPr="00650DB1">
          <w:rPr>
            <w:rStyle w:val="Hyperlink"/>
          </w:rPr>
          <w:t xml:space="preserve"> 2</w:t>
        </w:r>
      </w:hyperlink>
      <w:r>
        <w:t xml:space="preserve"> and </w:t>
      </w:r>
      <w:hyperlink w:anchor="App3" w:history="1">
        <w:r w:rsidR="00650DB1" w:rsidRPr="00650DB1">
          <w:rPr>
            <w:rStyle w:val="Hyperlink"/>
          </w:rPr>
          <w:t xml:space="preserve">Appendix </w:t>
        </w:r>
        <w:r w:rsidRPr="00650DB1">
          <w:rPr>
            <w:rStyle w:val="Hyperlink"/>
          </w:rPr>
          <w:t>3</w:t>
        </w:r>
      </w:hyperlink>
      <w:r>
        <w:t>).</w:t>
      </w:r>
    </w:p>
    <w:p w:rsidR="00626C69" w:rsidRDefault="00626C69" w:rsidP="00817D16">
      <w:pPr>
        <w:numPr>
          <w:ilvl w:val="0"/>
          <w:numId w:val="23"/>
        </w:numPr>
        <w:spacing w:after="240"/>
      </w:pPr>
      <w:r>
        <w:rPr>
          <w:b/>
        </w:rPr>
        <w:t xml:space="preserve">Choose a parameter to vary. </w:t>
      </w:r>
      <w:r>
        <w:t>Only one of the unknown parameters (</w:t>
      </w:r>
      <w:r>
        <w:rPr>
          <w:i/>
        </w:rPr>
        <w:t>K</w:t>
      </w:r>
      <w:r>
        <w:t xml:space="preserve">, </w:t>
      </w:r>
      <w:r>
        <w:rPr>
          <w:rFonts w:ascii="Symbol" w:hAnsi="Symbol"/>
          <w:i/>
        </w:rPr>
        <w:t></w:t>
      </w:r>
      <w:r>
        <w:rPr>
          <w:i/>
          <w:vertAlign w:val="subscript"/>
        </w:rPr>
        <w:t>x</w:t>
      </w:r>
      <w:r>
        <w:t xml:space="preserve">, or </w:t>
      </w:r>
      <w:r>
        <w:rPr>
          <w:rFonts w:ascii="Symbol" w:hAnsi="Symbol"/>
          <w:i/>
        </w:rPr>
        <w:t></w:t>
      </w:r>
      <w:r>
        <w:t xml:space="preserve">) will be varied at a time. </w:t>
      </w:r>
      <w:r w:rsidR="00502F81">
        <w:t xml:space="preserve">The other parameters are initially assigned estimated or preferred values. </w:t>
      </w:r>
      <w:r>
        <w:t xml:space="preserve">Change </w:t>
      </w:r>
      <w:r w:rsidR="00D70D95">
        <w:t xml:space="preserve">this </w:t>
      </w:r>
      <w:r w:rsidR="00502F81">
        <w:t>parameter</w:t>
      </w:r>
      <w:r w:rsidR="00D70D95">
        <w:t>’s</w:t>
      </w:r>
      <w:r>
        <w:t xml:space="preserve"> value</w:t>
      </w:r>
      <w:r w:rsidR="00502F81">
        <w:t xml:space="preserve"> within the acceptable range</w:t>
      </w:r>
      <w:r>
        <w:t xml:space="preserve"> until you obtain the best fit to the calibration data.</w:t>
      </w:r>
      <w:r w:rsidR="005E4B36">
        <w:t xml:space="preserve"> </w:t>
      </w:r>
      <w:r>
        <w:t xml:space="preserve"> If the fit is not satisfactory, explore changes to the other parameters to improve the match.</w:t>
      </w:r>
      <w:r w:rsidR="00502F81">
        <w:t xml:space="preserve"> You may need to reassess the acceptable ranges or other parameters if the solution still </w:t>
      </w:r>
      <w:r w:rsidR="00D70D95">
        <w:t xml:space="preserve">doesn’t </w:t>
      </w:r>
      <w:r w:rsidR="00502F81">
        <w:t>agree with the field data.</w:t>
      </w:r>
    </w:p>
    <w:p w:rsidR="005E4B36" w:rsidRDefault="005E4B36" w:rsidP="00817D16">
      <w:pPr>
        <w:numPr>
          <w:ilvl w:val="0"/>
          <w:numId w:val="23"/>
        </w:numPr>
        <w:spacing w:after="240"/>
      </w:pPr>
      <w:r>
        <w:rPr>
          <w:b/>
        </w:rPr>
        <w:t xml:space="preserve">Vary each of the other </w:t>
      </w:r>
      <w:r w:rsidR="00D70D95">
        <w:rPr>
          <w:b/>
        </w:rPr>
        <w:t xml:space="preserve">calibration </w:t>
      </w:r>
      <w:r>
        <w:rPr>
          <w:b/>
        </w:rPr>
        <w:t>parameters.</w:t>
      </w:r>
      <w:r>
        <w:t xml:space="preserve"> With three significant parameters there will be multiple possible solutions. </w:t>
      </w:r>
      <w:r w:rsidR="00090FC4">
        <w:t>You</w:t>
      </w:r>
      <w:r>
        <w:t xml:space="preserve"> will need to </w:t>
      </w:r>
      <w:r w:rsidR="00FC46B2">
        <w:t xml:space="preserve">systematically </w:t>
      </w:r>
      <w:r>
        <w:t xml:space="preserve">vary each </w:t>
      </w:r>
      <w:r w:rsidR="00A840D0">
        <w:t xml:space="preserve">parameter </w:t>
      </w:r>
      <w:r w:rsidR="00502F81">
        <w:t xml:space="preserve">within the acceptable range </w:t>
      </w:r>
      <w:r w:rsidR="00FC46B2">
        <w:t xml:space="preserve">to obtain </w:t>
      </w:r>
      <w:r w:rsidR="00590640">
        <w:t>a suite of</w:t>
      </w:r>
      <w:r w:rsidR="00FC46B2">
        <w:t xml:space="preserve"> solutions. Obviously this method could result in </w:t>
      </w:r>
      <w:r w:rsidR="0084380C">
        <w:t>numerous</w:t>
      </w:r>
      <w:r w:rsidR="00FC46B2">
        <w:t xml:space="preserve"> model runs and different </w:t>
      </w:r>
      <w:r w:rsidR="008D7600">
        <w:t>results</w:t>
      </w:r>
      <w:r w:rsidR="00FC46B2">
        <w:t xml:space="preserve">. In practice, though, </w:t>
      </w:r>
      <w:r w:rsidR="00090FC4">
        <w:t>you</w:t>
      </w:r>
      <w:r w:rsidR="00FC46B2">
        <w:t xml:space="preserve"> </w:t>
      </w:r>
      <w:r w:rsidR="00090FC4">
        <w:t xml:space="preserve">can </w:t>
      </w:r>
      <w:r w:rsidR="00FC46B2">
        <w:t>focus on the cons</w:t>
      </w:r>
      <w:r w:rsidR="008D7600">
        <w:t xml:space="preserve">ervative parameter </w:t>
      </w:r>
      <w:r w:rsidR="00090FC4">
        <w:t xml:space="preserve">values </w:t>
      </w:r>
      <w:r w:rsidR="00FC46B2">
        <w:t xml:space="preserve">and </w:t>
      </w:r>
      <w:r w:rsidR="00A840D0">
        <w:t>some</w:t>
      </w:r>
      <w:r w:rsidR="00FC46B2">
        <w:t xml:space="preserve"> combinations will be rejected because they </w:t>
      </w:r>
      <w:r w:rsidR="00090FC4">
        <w:t xml:space="preserve">don’t </w:t>
      </w:r>
      <w:r w:rsidR="00FC46B2">
        <w:t>reproduce the calibration data.</w:t>
      </w:r>
      <w:r w:rsidR="006E2384">
        <w:t xml:space="preserve"> Many solutions will look alike because the steady state </w:t>
      </w:r>
      <w:proofErr w:type="spellStart"/>
      <w:r w:rsidR="006E2384">
        <w:t>Domenico</w:t>
      </w:r>
      <w:proofErr w:type="spellEnd"/>
      <w:r w:rsidR="006E2384">
        <w:t xml:space="preserve"> curves have the same shape.</w:t>
      </w:r>
    </w:p>
    <w:p w:rsidR="007E0430" w:rsidRDefault="009A3708" w:rsidP="00D70D95">
      <w:pPr>
        <w:numPr>
          <w:ilvl w:val="0"/>
          <w:numId w:val="23"/>
        </w:numPr>
        <w:spacing w:after="240"/>
      </w:pPr>
      <w:r>
        <w:rPr>
          <w:b/>
        </w:rPr>
        <w:lastRenderedPageBreak/>
        <w:t xml:space="preserve">Compile the successful parameter combinations. </w:t>
      </w:r>
      <w:r>
        <w:t>Record the combinations of parameter values that g</w:t>
      </w:r>
      <w:r w:rsidR="008D7600">
        <w:t>i</w:t>
      </w:r>
      <w:r>
        <w:t>ve models matching the calibration data. These will serve as the basis for the predictive models.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firstRow="1" w:lastRow="1" w:firstColumn="1" w:lastColumn="1" w:noHBand="0" w:noVBand="0"/>
      </w:tblPr>
      <w:tblGrid>
        <w:gridCol w:w="9576"/>
      </w:tblGrid>
      <w:tr w:rsidR="006E2384" w:rsidRPr="006F405C" w:rsidTr="006F405C">
        <w:tc>
          <w:tcPr>
            <w:tcW w:w="0" w:type="auto"/>
            <w:tcBorders>
              <w:bottom w:val="single" w:sz="4" w:space="0" w:color="auto"/>
            </w:tcBorders>
            <w:shd w:val="clear" w:color="auto" w:fill="CCFFFF"/>
          </w:tcPr>
          <w:p w:rsidR="006E2384" w:rsidRDefault="006E2384" w:rsidP="00064437">
            <w:pPr>
              <w:spacing w:before="120"/>
            </w:pPr>
            <w:r w:rsidRPr="006F405C">
              <w:rPr>
                <w:b/>
                <w:i/>
              </w:rPr>
              <w:t xml:space="preserve">Example. </w:t>
            </w:r>
            <w:r>
              <w:t xml:space="preserve">Suppose repeated slug tests at multiple wells at the site yielded an average hydraulic conductivity of </w:t>
            </w:r>
            <w:r w:rsidRPr="006F405C">
              <w:rPr>
                <w:i/>
              </w:rPr>
              <w:t>K</w:t>
            </w:r>
            <w:r>
              <w:t xml:space="preserve"> = 1.4 </w:t>
            </w:r>
            <w:proofErr w:type="spellStart"/>
            <w:r>
              <w:t>ft</w:t>
            </w:r>
            <w:proofErr w:type="spellEnd"/>
            <w:r>
              <w:t xml:space="preserve">/day. The distance from the source to the nearest calibration point is 100 </w:t>
            </w:r>
            <w:proofErr w:type="spellStart"/>
            <w:r>
              <w:t>ft</w:t>
            </w:r>
            <w:proofErr w:type="spellEnd"/>
            <w:r>
              <w:t xml:space="preserve">, so we select one-tenth of this distance for the estimated longitudinal </w:t>
            </w:r>
            <w:proofErr w:type="spellStart"/>
            <w:r>
              <w:t>dispersivity</w:t>
            </w:r>
            <w:proofErr w:type="spellEnd"/>
            <w:r>
              <w:t xml:space="preserve">, </w:t>
            </w:r>
            <w:r w:rsidRPr="006F405C">
              <w:rPr>
                <w:rFonts w:ascii="Symbol" w:hAnsi="Symbol"/>
                <w:i/>
              </w:rPr>
              <w:t></w:t>
            </w:r>
            <w:r w:rsidRPr="006F405C">
              <w:rPr>
                <w:i/>
                <w:vertAlign w:val="subscript"/>
              </w:rPr>
              <w:t>x</w:t>
            </w:r>
            <w:r>
              <w:t xml:space="preserve"> = 10 ft. The contaminant of concern is benzene, and DEP’s Ch. 250 Table 5A degradation coefficient is </w:t>
            </w:r>
            <w:r w:rsidRPr="006F405C">
              <w:rPr>
                <w:rFonts w:ascii="Symbol" w:hAnsi="Symbol"/>
                <w:i/>
              </w:rPr>
              <w:t></w:t>
            </w:r>
            <w:r>
              <w:t xml:space="preserve"> = 9.6 x 10</w:t>
            </w:r>
            <w:r w:rsidRPr="006F405C">
              <w:rPr>
                <w:vertAlign w:val="superscript"/>
              </w:rPr>
              <w:t>–4</w:t>
            </w:r>
            <w:r>
              <w:t xml:space="preserve"> day</w:t>
            </w:r>
            <w:r w:rsidRPr="006F405C">
              <w:rPr>
                <w:vertAlign w:val="superscript"/>
              </w:rPr>
              <w:t>–1</w:t>
            </w:r>
            <w:r>
              <w:t xml:space="preserve">. These are the starting values of each of these parameters. We </w:t>
            </w:r>
            <w:r w:rsidR="007228AF">
              <w:t>assume an</w:t>
            </w:r>
            <w:r>
              <w:t xml:space="preserve"> uncertainty in both </w:t>
            </w:r>
            <w:r w:rsidRPr="006F405C">
              <w:rPr>
                <w:i/>
              </w:rPr>
              <w:t>K</w:t>
            </w:r>
            <w:r>
              <w:t xml:space="preserve"> and </w:t>
            </w:r>
            <w:r w:rsidRPr="006F405C">
              <w:rPr>
                <w:rFonts w:ascii="Symbol" w:hAnsi="Symbol"/>
                <w:i/>
              </w:rPr>
              <w:t></w:t>
            </w:r>
            <w:r w:rsidRPr="006F405C">
              <w:rPr>
                <w:i/>
                <w:vertAlign w:val="subscript"/>
              </w:rPr>
              <w:t>x</w:t>
            </w:r>
            <w:r>
              <w:t xml:space="preserve"> </w:t>
            </w:r>
            <w:r w:rsidR="007228AF">
              <w:t xml:space="preserve">of </w:t>
            </w:r>
            <w:r>
              <w:t xml:space="preserve">a factor of ten, and the uncertainty in </w:t>
            </w:r>
            <w:r w:rsidRPr="006F405C">
              <w:rPr>
                <w:rFonts w:ascii="Symbol" w:hAnsi="Symbol"/>
                <w:i/>
              </w:rPr>
              <w:t></w:t>
            </w:r>
            <w:r w:rsidR="00D976F7">
              <w:t xml:space="preserve"> could be greater than that</w:t>
            </w:r>
            <w:r>
              <w:t xml:space="preserve">. Therefore, the </w:t>
            </w:r>
            <w:r w:rsidR="007228AF">
              <w:t xml:space="preserve">calibration </w:t>
            </w:r>
            <w:r>
              <w:t xml:space="preserve">ranges are </w:t>
            </w:r>
            <w:r w:rsidRPr="006F405C">
              <w:rPr>
                <w:i/>
              </w:rPr>
              <w:t xml:space="preserve">K </w:t>
            </w:r>
            <w:r>
              <w:t xml:space="preserve">= 0.14–14 </w:t>
            </w:r>
            <w:proofErr w:type="spellStart"/>
            <w:r>
              <w:t>ft</w:t>
            </w:r>
            <w:proofErr w:type="spellEnd"/>
            <w:r>
              <w:t xml:space="preserve">/day and </w:t>
            </w:r>
            <w:r w:rsidRPr="006F405C">
              <w:rPr>
                <w:rFonts w:ascii="Symbol" w:hAnsi="Symbol"/>
                <w:i/>
              </w:rPr>
              <w:t></w:t>
            </w:r>
            <w:r w:rsidRPr="006F405C">
              <w:rPr>
                <w:i/>
                <w:vertAlign w:val="subscript"/>
              </w:rPr>
              <w:t>x</w:t>
            </w:r>
            <w:r>
              <w:t xml:space="preserve"> = 1–100 </w:t>
            </w:r>
            <w:proofErr w:type="spellStart"/>
            <w:r>
              <w:t>ft</w:t>
            </w:r>
            <w:proofErr w:type="spellEnd"/>
            <w:r>
              <w:t xml:space="preserve">, and </w:t>
            </w:r>
            <w:r w:rsidRPr="006F405C">
              <w:rPr>
                <w:rFonts w:ascii="Symbol" w:hAnsi="Symbol"/>
                <w:i/>
              </w:rPr>
              <w:t></w:t>
            </w:r>
            <w:r>
              <w:t xml:space="preserve"> is an entirely free parameter</w:t>
            </w:r>
            <w:r w:rsidR="003B7598">
              <w:t xml:space="preserve"> (that is, it can have any value greater than or equal to zero)</w:t>
            </w:r>
            <w:r>
              <w:t xml:space="preserve">. </w:t>
            </w:r>
          </w:p>
          <w:p w:rsidR="006E2384" w:rsidRDefault="006E2384" w:rsidP="006E2384"/>
          <w:p w:rsidR="006E2384" w:rsidRDefault="006E2384" w:rsidP="006E2384">
            <w:r>
              <w:t xml:space="preserve">We run a sequence of models, systematically changing </w:t>
            </w:r>
            <w:r w:rsidRPr="006F405C">
              <w:rPr>
                <w:i/>
              </w:rPr>
              <w:t>K</w:t>
            </w:r>
            <w:r>
              <w:t xml:space="preserve"> and </w:t>
            </w:r>
            <w:r w:rsidRPr="006F405C">
              <w:rPr>
                <w:rFonts w:ascii="Symbol" w:hAnsi="Symbol"/>
                <w:i/>
              </w:rPr>
              <w:t></w:t>
            </w:r>
            <w:r w:rsidRPr="006F405C">
              <w:rPr>
                <w:i/>
                <w:vertAlign w:val="subscript"/>
              </w:rPr>
              <w:t>x</w:t>
            </w:r>
            <w:r>
              <w:t xml:space="preserve"> within their ranges and varying </w:t>
            </w:r>
            <w:r w:rsidRPr="006F405C">
              <w:rPr>
                <w:rFonts w:ascii="Symbol" w:hAnsi="Symbol"/>
                <w:i/>
              </w:rPr>
              <w:t></w:t>
            </w:r>
            <w:r>
              <w:t xml:space="preserve"> as necessary in each run until the solution fits the calibration data. The model</w:t>
            </w:r>
            <w:r w:rsidR="007228AF">
              <w:t xml:space="preserve"> inputs</w:t>
            </w:r>
            <w:r>
              <w:t xml:space="preserve"> would be as follows:</w:t>
            </w:r>
          </w:p>
          <w:tbl>
            <w:tblPr>
              <w:tblW w:w="0" w:type="auto"/>
              <w:tblBorders>
                <w:top w:val="single" w:sz="4" w:space="0" w:color="auto"/>
                <w:bottom w:val="single" w:sz="4" w:space="0" w:color="auto"/>
              </w:tblBorders>
              <w:tblLook w:val="01E0" w:firstRow="1" w:lastRow="1" w:firstColumn="1" w:lastColumn="1" w:noHBand="0" w:noVBand="0"/>
            </w:tblPr>
            <w:tblGrid>
              <w:gridCol w:w="870"/>
              <w:gridCol w:w="1196"/>
              <w:gridCol w:w="828"/>
            </w:tblGrid>
            <w:tr w:rsidR="00143857" w:rsidRPr="006F405C" w:rsidTr="00DE4662">
              <w:tc>
                <w:tcPr>
                  <w:tcW w:w="0" w:type="auto"/>
                  <w:tcBorders>
                    <w:bottom w:val="single" w:sz="4" w:space="0" w:color="auto"/>
                  </w:tcBorders>
                  <w:shd w:val="clear" w:color="auto" w:fill="F2F2F2" w:themeFill="background1" w:themeFillShade="F2"/>
                </w:tcPr>
                <w:p w:rsidR="00143857" w:rsidRPr="006F405C" w:rsidRDefault="00143857" w:rsidP="00DE4662">
                  <w:pPr>
                    <w:jc w:val="center"/>
                    <w:rPr>
                      <w:b/>
                    </w:rPr>
                  </w:pPr>
                  <w:r w:rsidRPr="006F405C">
                    <w:rPr>
                      <w:b/>
                    </w:rPr>
                    <w:t>Model</w:t>
                  </w:r>
                </w:p>
              </w:tc>
              <w:tc>
                <w:tcPr>
                  <w:tcW w:w="0" w:type="auto"/>
                  <w:tcBorders>
                    <w:bottom w:val="single" w:sz="4" w:space="0" w:color="auto"/>
                  </w:tcBorders>
                  <w:shd w:val="clear" w:color="auto" w:fill="F2F2F2" w:themeFill="background1" w:themeFillShade="F2"/>
                </w:tcPr>
                <w:p w:rsidR="00143857" w:rsidRPr="006F405C" w:rsidRDefault="00143857" w:rsidP="00DE4662">
                  <w:pPr>
                    <w:jc w:val="center"/>
                    <w:rPr>
                      <w:b/>
                    </w:rPr>
                  </w:pPr>
                  <w:r w:rsidRPr="006F405C">
                    <w:rPr>
                      <w:b/>
                      <w:i/>
                    </w:rPr>
                    <w:t>K</w:t>
                  </w:r>
                  <w:r w:rsidRPr="006F405C">
                    <w:rPr>
                      <w:b/>
                    </w:rPr>
                    <w:t xml:space="preserve"> (</w:t>
                  </w:r>
                  <w:proofErr w:type="spellStart"/>
                  <w:r w:rsidRPr="006F405C">
                    <w:rPr>
                      <w:b/>
                    </w:rPr>
                    <w:t>ft</w:t>
                  </w:r>
                  <w:proofErr w:type="spellEnd"/>
                  <w:r w:rsidRPr="006F405C">
                    <w:rPr>
                      <w:b/>
                    </w:rPr>
                    <w:t>/day)</w:t>
                  </w:r>
                </w:p>
              </w:tc>
              <w:tc>
                <w:tcPr>
                  <w:tcW w:w="0" w:type="auto"/>
                  <w:tcBorders>
                    <w:bottom w:val="single" w:sz="4" w:space="0" w:color="auto"/>
                  </w:tcBorders>
                  <w:shd w:val="clear" w:color="auto" w:fill="F2F2F2" w:themeFill="background1" w:themeFillShade="F2"/>
                </w:tcPr>
                <w:p w:rsidR="00143857" w:rsidRPr="006F405C" w:rsidRDefault="00143857" w:rsidP="00DE4662">
                  <w:pPr>
                    <w:jc w:val="center"/>
                    <w:rPr>
                      <w:rFonts w:ascii="Symbol" w:hAnsi="Symbol"/>
                      <w:b/>
                    </w:rPr>
                  </w:pPr>
                  <w:r w:rsidRPr="006F405C">
                    <w:rPr>
                      <w:rFonts w:ascii="Symbol" w:hAnsi="Symbol"/>
                      <w:b/>
                      <w:i/>
                    </w:rPr>
                    <w:t></w:t>
                  </w:r>
                  <w:r w:rsidRPr="006F405C">
                    <w:rPr>
                      <w:b/>
                      <w:i/>
                      <w:vertAlign w:val="subscript"/>
                    </w:rPr>
                    <w:t>x</w:t>
                  </w:r>
                  <w:r w:rsidRPr="006F405C">
                    <w:rPr>
                      <w:b/>
                    </w:rPr>
                    <w:t xml:space="preserve"> (</w:t>
                  </w:r>
                  <w:proofErr w:type="spellStart"/>
                  <w:r w:rsidRPr="006F405C">
                    <w:rPr>
                      <w:b/>
                    </w:rPr>
                    <w:t>ft</w:t>
                  </w:r>
                  <w:proofErr w:type="spellEnd"/>
                  <w:r w:rsidRPr="006F405C">
                    <w:rPr>
                      <w:b/>
                    </w:rPr>
                    <w:t>)</w:t>
                  </w:r>
                </w:p>
              </w:tc>
            </w:tr>
            <w:tr w:rsidR="00143857" w:rsidRPr="00551B0B" w:rsidTr="00DE4662">
              <w:tc>
                <w:tcPr>
                  <w:tcW w:w="0" w:type="auto"/>
                  <w:shd w:val="clear" w:color="auto" w:fill="FDE9D9" w:themeFill="accent6" w:themeFillTint="33"/>
                </w:tcPr>
                <w:p w:rsidR="00143857" w:rsidRPr="00551B0B" w:rsidRDefault="00143857" w:rsidP="00DE4662">
                  <w:pPr>
                    <w:jc w:val="center"/>
                  </w:pPr>
                  <w:r>
                    <w:t>1</w:t>
                  </w:r>
                </w:p>
              </w:tc>
              <w:tc>
                <w:tcPr>
                  <w:tcW w:w="0" w:type="auto"/>
                  <w:shd w:val="clear" w:color="auto" w:fill="FDE9D9" w:themeFill="accent6" w:themeFillTint="33"/>
                </w:tcPr>
                <w:p w:rsidR="00143857" w:rsidRPr="00551B0B" w:rsidRDefault="00143857" w:rsidP="00DE4662">
                  <w:pPr>
                    <w:tabs>
                      <w:tab w:val="decimal" w:pos="426"/>
                    </w:tabs>
                  </w:pPr>
                  <w:r>
                    <w:t>1.4</w:t>
                  </w:r>
                </w:p>
              </w:tc>
              <w:tc>
                <w:tcPr>
                  <w:tcW w:w="0" w:type="auto"/>
                  <w:shd w:val="clear" w:color="auto" w:fill="FDE9D9" w:themeFill="accent6" w:themeFillTint="33"/>
                </w:tcPr>
                <w:p w:rsidR="00143857" w:rsidRPr="00551B0B" w:rsidRDefault="00143857" w:rsidP="00DE4662">
                  <w:pPr>
                    <w:tabs>
                      <w:tab w:val="decimal" w:pos="436"/>
                    </w:tabs>
                  </w:pPr>
                  <w:r>
                    <w:t>10</w:t>
                  </w:r>
                </w:p>
              </w:tc>
            </w:tr>
            <w:tr w:rsidR="00143857" w:rsidRPr="00551B0B" w:rsidTr="00DE4662">
              <w:tc>
                <w:tcPr>
                  <w:tcW w:w="0" w:type="auto"/>
                  <w:shd w:val="clear" w:color="auto" w:fill="FFFFFF" w:themeFill="background1"/>
                </w:tcPr>
                <w:p w:rsidR="00143857" w:rsidRPr="00551B0B" w:rsidRDefault="00143857" w:rsidP="00DE4662">
                  <w:pPr>
                    <w:jc w:val="center"/>
                  </w:pPr>
                  <w:r>
                    <w:t>2</w:t>
                  </w:r>
                </w:p>
              </w:tc>
              <w:tc>
                <w:tcPr>
                  <w:tcW w:w="0" w:type="auto"/>
                  <w:shd w:val="clear" w:color="auto" w:fill="FFFFFF" w:themeFill="background1"/>
                </w:tcPr>
                <w:p w:rsidR="00143857" w:rsidRPr="00551B0B" w:rsidRDefault="00143857" w:rsidP="00DE4662">
                  <w:pPr>
                    <w:tabs>
                      <w:tab w:val="decimal" w:pos="426"/>
                    </w:tabs>
                  </w:pPr>
                  <w:r>
                    <w:t>1.4</w:t>
                  </w:r>
                </w:p>
              </w:tc>
              <w:tc>
                <w:tcPr>
                  <w:tcW w:w="0" w:type="auto"/>
                  <w:shd w:val="clear" w:color="auto" w:fill="FFFFFF" w:themeFill="background1"/>
                </w:tcPr>
                <w:p w:rsidR="00143857" w:rsidRPr="00551B0B" w:rsidRDefault="00143857" w:rsidP="00DE4662">
                  <w:pPr>
                    <w:tabs>
                      <w:tab w:val="decimal" w:pos="436"/>
                    </w:tabs>
                  </w:pPr>
                  <w:r>
                    <w:t>1</w:t>
                  </w:r>
                </w:p>
              </w:tc>
            </w:tr>
            <w:tr w:rsidR="00143857" w:rsidRPr="00551B0B" w:rsidTr="00DE4662">
              <w:tc>
                <w:tcPr>
                  <w:tcW w:w="0" w:type="auto"/>
                  <w:shd w:val="clear" w:color="auto" w:fill="FFFFFF" w:themeFill="background1"/>
                </w:tcPr>
                <w:p w:rsidR="00143857" w:rsidRPr="00551B0B" w:rsidRDefault="00143857" w:rsidP="00DE4662">
                  <w:pPr>
                    <w:jc w:val="center"/>
                  </w:pPr>
                  <w:r>
                    <w:t>3</w:t>
                  </w:r>
                </w:p>
              </w:tc>
              <w:tc>
                <w:tcPr>
                  <w:tcW w:w="0" w:type="auto"/>
                  <w:shd w:val="clear" w:color="auto" w:fill="FFFFFF" w:themeFill="background1"/>
                </w:tcPr>
                <w:p w:rsidR="00143857" w:rsidRPr="00551B0B" w:rsidRDefault="00143857" w:rsidP="00DE4662">
                  <w:pPr>
                    <w:tabs>
                      <w:tab w:val="decimal" w:pos="426"/>
                    </w:tabs>
                  </w:pPr>
                  <w:r>
                    <w:t>1.4</w:t>
                  </w:r>
                </w:p>
              </w:tc>
              <w:tc>
                <w:tcPr>
                  <w:tcW w:w="0" w:type="auto"/>
                  <w:shd w:val="clear" w:color="auto" w:fill="FFFFFF" w:themeFill="background1"/>
                </w:tcPr>
                <w:p w:rsidR="00143857" w:rsidRPr="00551B0B" w:rsidRDefault="00143857" w:rsidP="00DE4662">
                  <w:pPr>
                    <w:tabs>
                      <w:tab w:val="decimal" w:pos="436"/>
                    </w:tabs>
                  </w:pPr>
                  <w:r>
                    <w:t>100</w:t>
                  </w:r>
                </w:p>
              </w:tc>
            </w:tr>
            <w:tr w:rsidR="00143857" w:rsidRPr="00551B0B" w:rsidTr="00DE4662">
              <w:tc>
                <w:tcPr>
                  <w:tcW w:w="0" w:type="auto"/>
                  <w:shd w:val="clear" w:color="auto" w:fill="FFFFFF" w:themeFill="background1"/>
                </w:tcPr>
                <w:p w:rsidR="00143857" w:rsidRPr="00551B0B" w:rsidRDefault="00143857" w:rsidP="00DE4662">
                  <w:pPr>
                    <w:jc w:val="center"/>
                  </w:pPr>
                  <w:r>
                    <w:t>4</w:t>
                  </w:r>
                </w:p>
              </w:tc>
              <w:tc>
                <w:tcPr>
                  <w:tcW w:w="0" w:type="auto"/>
                  <w:shd w:val="clear" w:color="auto" w:fill="FFFFFF" w:themeFill="background1"/>
                </w:tcPr>
                <w:p w:rsidR="00143857" w:rsidRPr="00551B0B" w:rsidRDefault="00143857" w:rsidP="00DE4662">
                  <w:pPr>
                    <w:tabs>
                      <w:tab w:val="decimal" w:pos="426"/>
                    </w:tabs>
                  </w:pPr>
                  <w:r>
                    <w:t>0.14</w:t>
                  </w:r>
                </w:p>
              </w:tc>
              <w:tc>
                <w:tcPr>
                  <w:tcW w:w="0" w:type="auto"/>
                  <w:shd w:val="clear" w:color="auto" w:fill="FFFFFF" w:themeFill="background1"/>
                </w:tcPr>
                <w:p w:rsidR="00143857" w:rsidRPr="00551B0B" w:rsidRDefault="00143857" w:rsidP="00DE4662">
                  <w:pPr>
                    <w:tabs>
                      <w:tab w:val="decimal" w:pos="436"/>
                    </w:tabs>
                  </w:pPr>
                  <w:r>
                    <w:t>10</w:t>
                  </w:r>
                </w:p>
              </w:tc>
            </w:tr>
            <w:tr w:rsidR="00143857" w:rsidRPr="00551B0B" w:rsidTr="00DE4662">
              <w:tc>
                <w:tcPr>
                  <w:tcW w:w="0" w:type="auto"/>
                  <w:shd w:val="clear" w:color="auto" w:fill="FFFFFF" w:themeFill="background1"/>
                </w:tcPr>
                <w:p w:rsidR="00143857" w:rsidRPr="00551B0B" w:rsidRDefault="00143857" w:rsidP="00DE4662">
                  <w:pPr>
                    <w:jc w:val="center"/>
                  </w:pPr>
                  <w:r>
                    <w:t>5</w:t>
                  </w:r>
                </w:p>
              </w:tc>
              <w:tc>
                <w:tcPr>
                  <w:tcW w:w="0" w:type="auto"/>
                  <w:shd w:val="clear" w:color="auto" w:fill="FFFFFF" w:themeFill="background1"/>
                </w:tcPr>
                <w:p w:rsidR="00143857" w:rsidRPr="00551B0B" w:rsidRDefault="00143857" w:rsidP="00DE4662">
                  <w:pPr>
                    <w:tabs>
                      <w:tab w:val="decimal" w:pos="426"/>
                    </w:tabs>
                  </w:pPr>
                  <w:r>
                    <w:t>0.14</w:t>
                  </w:r>
                </w:p>
              </w:tc>
              <w:tc>
                <w:tcPr>
                  <w:tcW w:w="0" w:type="auto"/>
                  <w:shd w:val="clear" w:color="auto" w:fill="FFFFFF" w:themeFill="background1"/>
                </w:tcPr>
                <w:p w:rsidR="00143857" w:rsidRPr="00551B0B" w:rsidRDefault="00143857" w:rsidP="00DE4662">
                  <w:pPr>
                    <w:tabs>
                      <w:tab w:val="decimal" w:pos="436"/>
                    </w:tabs>
                  </w:pPr>
                  <w:r>
                    <w:t>1</w:t>
                  </w:r>
                </w:p>
              </w:tc>
            </w:tr>
            <w:tr w:rsidR="00143857" w:rsidRPr="00551B0B" w:rsidTr="00DE4662">
              <w:tc>
                <w:tcPr>
                  <w:tcW w:w="0" w:type="auto"/>
                  <w:shd w:val="clear" w:color="auto" w:fill="FFFFFF" w:themeFill="background1"/>
                </w:tcPr>
                <w:p w:rsidR="00143857" w:rsidRPr="00551B0B" w:rsidRDefault="00143857" w:rsidP="00DE4662">
                  <w:pPr>
                    <w:jc w:val="center"/>
                  </w:pPr>
                  <w:r>
                    <w:t>6</w:t>
                  </w:r>
                </w:p>
              </w:tc>
              <w:tc>
                <w:tcPr>
                  <w:tcW w:w="0" w:type="auto"/>
                  <w:shd w:val="clear" w:color="auto" w:fill="FFFFFF" w:themeFill="background1"/>
                </w:tcPr>
                <w:p w:rsidR="00143857" w:rsidRPr="00551B0B" w:rsidRDefault="00143857" w:rsidP="00DE4662">
                  <w:pPr>
                    <w:tabs>
                      <w:tab w:val="decimal" w:pos="426"/>
                    </w:tabs>
                  </w:pPr>
                  <w:r>
                    <w:t>0.14</w:t>
                  </w:r>
                </w:p>
              </w:tc>
              <w:tc>
                <w:tcPr>
                  <w:tcW w:w="0" w:type="auto"/>
                  <w:shd w:val="clear" w:color="auto" w:fill="FFFFFF" w:themeFill="background1"/>
                </w:tcPr>
                <w:p w:rsidR="00143857" w:rsidRPr="00551B0B" w:rsidRDefault="00143857" w:rsidP="00DE4662">
                  <w:pPr>
                    <w:tabs>
                      <w:tab w:val="decimal" w:pos="436"/>
                    </w:tabs>
                  </w:pPr>
                  <w:r>
                    <w:t>100</w:t>
                  </w:r>
                </w:p>
              </w:tc>
            </w:tr>
            <w:tr w:rsidR="00143857" w:rsidRPr="00551B0B" w:rsidTr="00DE4662">
              <w:tc>
                <w:tcPr>
                  <w:tcW w:w="0" w:type="auto"/>
                  <w:shd w:val="clear" w:color="auto" w:fill="FFFFFF" w:themeFill="background1"/>
                </w:tcPr>
                <w:p w:rsidR="00143857" w:rsidRPr="00551B0B" w:rsidRDefault="00143857" w:rsidP="00DE4662">
                  <w:pPr>
                    <w:jc w:val="center"/>
                  </w:pPr>
                  <w:r>
                    <w:t>7</w:t>
                  </w:r>
                </w:p>
              </w:tc>
              <w:tc>
                <w:tcPr>
                  <w:tcW w:w="0" w:type="auto"/>
                  <w:shd w:val="clear" w:color="auto" w:fill="FFFFFF" w:themeFill="background1"/>
                </w:tcPr>
                <w:p w:rsidR="00143857" w:rsidRPr="00551B0B" w:rsidRDefault="00143857" w:rsidP="00DE4662">
                  <w:pPr>
                    <w:tabs>
                      <w:tab w:val="decimal" w:pos="426"/>
                    </w:tabs>
                  </w:pPr>
                  <w:r>
                    <w:t>14</w:t>
                  </w:r>
                </w:p>
              </w:tc>
              <w:tc>
                <w:tcPr>
                  <w:tcW w:w="0" w:type="auto"/>
                  <w:shd w:val="clear" w:color="auto" w:fill="FFFFFF" w:themeFill="background1"/>
                </w:tcPr>
                <w:p w:rsidR="00143857" w:rsidRPr="00551B0B" w:rsidRDefault="00143857" w:rsidP="00DE4662">
                  <w:pPr>
                    <w:tabs>
                      <w:tab w:val="decimal" w:pos="436"/>
                    </w:tabs>
                  </w:pPr>
                  <w:r>
                    <w:t>10</w:t>
                  </w:r>
                </w:p>
              </w:tc>
            </w:tr>
            <w:tr w:rsidR="00143857" w:rsidRPr="00551B0B" w:rsidTr="00DE4662">
              <w:tc>
                <w:tcPr>
                  <w:tcW w:w="0" w:type="auto"/>
                  <w:shd w:val="clear" w:color="auto" w:fill="FFFFFF" w:themeFill="background1"/>
                </w:tcPr>
                <w:p w:rsidR="00143857" w:rsidRPr="00551B0B" w:rsidRDefault="00143857" w:rsidP="00DE4662">
                  <w:pPr>
                    <w:jc w:val="center"/>
                  </w:pPr>
                  <w:r>
                    <w:t>8</w:t>
                  </w:r>
                </w:p>
              </w:tc>
              <w:tc>
                <w:tcPr>
                  <w:tcW w:w="0" w:type="auto"/>
                  <w:shd w:val="clear" w:color="auto" w:fill="FFFFFF" w:themeFill="background1"/>
                </w:tcPr>
                <w:p w:rsidR="00143857" w:rsidRPr="00551B0B" w:rsidRDefault="00143857" w:rsidP="00DE4662">
                  <w:pPr>
                    <w:tabs>
                      <w:tab w:val="decimal" w:pos="426"/>
                    </w:tabs>
                  </w:pPr>
                  <w:r>
                    <w:t>14</w:t>
                  </w:r>
                </w:p>
              </w:tc>
              <w:tc>
                <w:tcPr>
                  <w:tcW w:w="0" w:type="auto"/>
                  <w:shd w:val="clear" w:color="auto" w:fill="FFFFFF" w:themeFill="background1"/>
                </w:tcPr>
                <w:p w:rsidR="00143857" w:rsidRPr="00551B0B" w:rsidRDefault="00143857" w:rsidP="00DE4662">
                  <w:pPr>
                    <w:tabs>
                      <w:tab w:val="decimal" w:pos="436"/>
                    </w:tabs>
                  </w:pPr>
                  <w:r>
                    <w:t>1</w:t>
                  </w:r>
                </w:p>
              </w:tc>
            </w:tr>
            <w:tr w:rsidR="00143857" w:rsidRPr="00551B0B" w:rsidTr="00DE4662">
              <w:tc>
                <w:tcPr>
                  <w:tcW w:w="0" w:type="auto"/>
                  <w:shd w:val="clear" w:color="auto" w:fill="FFFFFF" w:themeFill="background1"/>
                </w:tcPr>
                <w:p w:rsidR="00143857" w:rsidRPr="00551B0B" w:rsidRDefault="00143857" w:rsidP="00DE4662">
                  <w:pPr>
                    <w:jc w:val="center"/>
                  </w:pPr>
                  <w:r>
                    <w:t>9</w:t>
                  </w:r>
                </w:p>
              </w:tc>
              <w:tc>
                <w:tcPr>
                  <w:tcW w:w="0" w:type="auto"/>
                  <w:shd w:val="clear" w:color="auto" w:fill="FFFFFF" w:themeFill="background1"/>
                </w:tcPr>
                <w:p w:rsidR="00143857" w:rsidRPr="00551B0B" w:rsidRDefault="00143857" w:rsidP="00DE4662">
                  <w:pPr>
                    <w:tabs>
                      <w:tab w:val="decimal" w:pos="426"/>
                    </w:tabs>
                  </w:pPr>
                  <w:r>
                    <w:t>14</w:t>
                  </w:r>
                </w:p>
              </w:tc>
              <w:tc>
                <w:tcPr>
                  <w:tcW w:w="0" w:type="auto"/>
                  <w:shd w:val="clear" w:color="auto" w:fill="FFFFFF" w:themeFill="background1"/>
                </w:tcPr>
                <w:p w:rsidR="00143857" w:rsidRPr="00551B0B" w:rsidRDefault="00143857" w:rsidP="00DE4662">
                  <w:pPr>
                    <w:tabs>
                      <w:tab w:val="decimal" w:pos="436"/>
                    </w:tabs>
                  </w:pPr>
                  <w:r>
                    <w:t>100</w:t>
                  </w:r>
                </w:p>
              </w:tc>
            </w:tr>
          </w:tbl>
          <w:p w:rsidR="006E2384" w:rsidRPr="00143857" w:rsidRDefault="00143857" w:rsidP="006E2384">
            <w:pPr>
              <w:rPr>
                <w:color w:val="CCFFFF"/>
              </w:rPr>
            </w:pPr>
            <w:r w:rsidRPr="00143857">
              <w:rPr>
                <w:color w:val="CCFFFF"/>
                <w:sz w:val="12"/>
              </w:rPr>
              <w:t>x</w:t>
            </w:r>
          </w:p>
        </w:tc>
      </w:tr>
    </w:tbl>
    <w:p w:rsidR="008D7600" w:rsidRDefault="008D7600"/>
    <w:p w:rsidR="008D7600" w:rsidRPr="00027A76" w:rsidRDefault="008D7600">
      <w:pPr>
        <w:rPr>
          <w:rFonts w:ascii="Symbol" w:hAnsi="Symbol"/>
        </w:rPr>
      </w:pPr>
      <w:r>
        <w:t xml:space="preserve">Also see </w:t>
      </w:r>
      <w:hyperlink w:anchor="App5" w:history="1">
        <w:r w:rsidRPr="008D7600">
          <w:rPr>
            <w:rStyle w:val="Hyperlink"/>
          </w:rPr>
          <w:t>Example</w:t>
        </w:r>
        <w:r w:rsidR="00CE3FF2">
          <w:rPr>
            <w:rStyle w:val="Hyperlink"/>
          </w:rPr>
          <w:t>s</w:t>
        </w:r>
        <w:r w:rsidRPr="008D7600">
          <w:rPr>
            <w:rStyle w:val="Hyperlink"/>
          </w:rPr>
          <w:t xml:space="preserve"> </w:t>
        </w:r>
        <w:r w:rsidR="0020546F">
          <w:rPr>
            <w:rStyle w:val="Hyperlink"/>
          </w:rPr>
          <w:t>A4</w:t>
        </w:r>
        <w:r w:rsidRPr="008D7600">
          <w:rPr>
            <w:rStyle w:val="Hyperlink"/>
          </w:rPr>
          <w:t xml:space="preserve">.1 and </w:t>
        </w:r>
        <w:r w:rsidR="0020546F">
          <w:rPr>
            <w:rStyle w:val="Hyperlink"/>
          </w:rPr>
          <w:t>A4</w:t>
        </w:r>
        <w:r w:rsidRPr="008D7600">
          <w:rPr>
            <w:rStyle w:val="Hyperlink"/>
          </w:rPr>
          <w:t>.2</w:t>
        </w:r>
      </w:hyperlink>
      <w:r>
        <w:t>.</w:t>
      </w:r>
    </w:p>
    <w:p w:rsidR="00832678" w:rsidRDefault="00832678" w:rsidP="004733A6">
      <w:pPr>
        <w:pStyle w:val="Heading2"/>
      </w:pPr>
      <w:bookmarkStart w:id="46" w:name="_Toc381357799"/>
      <w:r>
        <w:t>Model Validation</w:t>
      </w:r>
      <w:bookmarkEnd w:id="46"/>
    </w:p>
    <w:p w:rsidR="003B2A01" w:rsidRDefault="00027A76">
      <w:r>
        <w:t>Th</w:t>
      </w:r>
      <w:r w:rsidR="008D7600">
        <w:t>e calibration</w:t>
      </w:r>
      <w:r w:rsidR="00FB04A6">
        <w:t xml:space="preserve"> </w:t>
      </w:r>
      <w:r w:rsidR="00747623">
        <w:t xml:space="preserve">will </w:t>
      </w:r>
      <w:r w:rsidR="00FB04A6">
        <w:t>result</w:t>
      </w:r>
      <w:r>
        <w:t xml:space="preserve"> in multiple possible models that explore the range of likely parameter values and that match the </w:t>
      </w:r>
      <w:r w:rsidR="00372742">
        <w:t xml:space="preserve">field data at one point in time. Whenever possible, these models should be validated by obtaining solutions at other times and comparing the resulting concentrations to the </w:t>
      </w:r>
      <w:r w:rsidR="00A840D0">
        <w:t>field data</w:t>
      </w:r>
      <w:r w:rsidR="00372742">
        <w:t xml:space="preserve"> at those times. (This is also known as “history matching” or verifying the model.) If a solution cannot reproduce the data at other times, then it can be rejected. This process allows the user to refine the number of acceptable models.</w:t>
      </w:r>
      <w:r w:rsidR="001611BE">
        <w:t xml:space="preserve"> If the data indicate</w:t>
      </w:r>
      <w:r w:rsidR="00FB04A6">
        <w:t xml:space="preserve"> that</w:t>
      </w:r>
      <w:r w:rsidR="008D7600">
        <w:t xml:space="preserve"> the plume is in steady state, then the user might not be able to validate the model in this way.</w:t>
      </w:r>
      <w:r w:rsidR="00747623">
        <w:t xml:space="preserve"> If calibration well concentrations are decreasing, then that implies source decay, and QD is not an appropriate model; the user should consider </w:t>
      </w:r>
      <w:hyperlink w:anchor="_Web_Links" w:history="1">
        <w:proofErr w:type="spellStart"/>
        <w:r w:rsidR="00747623" w:rsidRPr="007D26CE">
          <w:rPr>
            <w:rStyle w:val="Hyperlink"/>
          </w:rPr>
          <w:t>Bioscreen</w:t>
        </w:r>
        <w:proofErr w:type="spellEnd"/>
      </w:hyperlink>
      <w:r w:rsidR="00747623">
        <w:t xml:space="preserve"> or </w:t>
      </w:r>
      <w:hyperlink w:anchor="_Web_Links" w:history="1">
        <w:proofErr w:type="spellStart"/>
        <w:r w:rsidR="00747623" w:rsidRPr="007D26CE">
          <w:rPr>
            <w:rStyle w:val="Hyperlink"/>
          </w:rPr>
          <w:t>Bioscreen</w:t>
        </w:r>
        <w:proofErr w:type="spellEnd"/>
        <w:r w:rsidR="00747623" w:rsidRPr="007D26CE">
          <w:rPr>
            <w:rStyle w:val="Hyperlink"/>
          </w:rPr>
          <w:t>-AT</w:t>
        </w:r>
      </w:hyperlink>
      <w:r w:rsidR="00747623">
        <w:t>.</w:t>
      </w:r>
    </w:p>
    <w:p w:rsidR="00372742" w:rsidRDefault="00372742"/>
    <w:p w:rsidR="0030449D" w:rsidRDefault="0030449D" w:rsidP="007A01B4">
      <w:pPr>
        <w:pStyle w:val="Heading1"/>
      </w:pPr>
      <w:bookmarkStart w:id="47" w:name="_Running_a_Predictive"/>
      <w:bookmarkEnd w:id="47"/>
      <w:r>
        <w:br w:type="page"/>
      </w:r>
      <w:bookmarkStart w:id="48" w:name="_Toc381357800"/>
      <w:r>
        <w:lastRenderedPageBreak/>
        <w:t>Running a Predictive Model</w:t>
      </w:r>
      <w:bookmarkEnd w:id="48"/>
    </w:p>
    <w:p w:rsidR="0030449D" w:rsidRDefault="0038580B" w:rsidP="004733A6">
      <w:pPr>
        <w:pStyle w:val="Heading2"/>
      </w:pPr>
      <w:bookmarkStart w:id="49" w:name="_Methodology_1"/>
      <w:bookmarkStart w:id="50" w:name="_Toc381357801"/>
      <w:bookmarkEnd w:id="49"/>
      <w:r>
        <w:t>Methodology</w:t>
      </w:r>
      <w:bookmarkEnd w:id="50"/>
    </w:p>
    <w:p w:rsidR="00960E5D" w:rsidRDefault="001F7D61">
      <w:r>
        <w:t xml:space="preserve">Having </w:t>
      </w:r>
      <w:r w:rsidR="00E007B8">
        <w:t>defined a range of</w:t>
      </w:r>
      <w:r>
        <w:t xml:space="preserve"> parameter combinations that can reproduce the field measurements, the user can </w:t>
      </w:r>
      <w:r w:rsidR="00E007B8">
        <w:t xml:space="preserve">next </w:t>
      </w:r>
      <w:r>
        <w:t xml:space="preserve">run predictive models. These models will estimate the contaminant concentrations at other locations and times to </w:t>
      </w:r>
      <w:r w:rsidR="003B7598">
        <w:t>estimate</w:t>
      </w:r>
      <w:r>
        <w:t xml:space="preserve"> plume lengths</w:t>
      </w:r>
      <w:r w:rsidR="003B7598">
        <w:t xml:space="preserve"> and widths</w:t>
      </w:r>
      <w:r>
        <w:t xml:space="preserve">, potential impacts </w:t>
      </w:r>
      <w:r w:rsidR="003B7598">
        <w:t xml:space="preserve">at downgradient </w:t>
      </w:r>
      <w:r w:rsidR="006D60A1">
        <w:t xml:space="preserve">potable </w:t>
      </w:r>
      <w:r>
        <w:t xml:space="preserve">wells and streams, etc. </w:t>
      </w:r>
    </w:p>
    <w:p w:rsidR="00960E5D" w:rsidRDefault="00960E5D"/>
    <w:p w:rsidR="0038580B" w:rsidRDefault="001F7D61">
      <w:r>
        <w:t>Because the calibration procedure likely yielded multiple plausible models (</w:t>
      </w:r>
      <w:hyperlink w:anchor="_Methodology" w:history="1">
        <w:r w:rsidR="00FC62A4">
          <w:rPr>
            <w:rStyle w:val="Hyperlink"/>
          </w:rPr>
          <w:t xml:space="preserve">Section </w:t>
        </w:r>
        <w:r w:rsidRPr="00324581">
          <w:rPr>
            <w:rStyle w:val="Hyperlink"/>
          </w:rPr>
          <w:t>5.2</w:t>
        </w:r>
      </w:hyperlink>
      <w:r>
        <w:t xml:space="preserve">), </w:t>
      </w:r>
      <w:r w:rsidR="00960E5D">
        <w:t>each of these will be run as a predictive model. For the example at the end of Section 5.2, up to nine</w:t>
      </w:r>
      <w:r w:rsidR="001F4D1F">
        <w:t xml:space="preserve"> </w:t>
      </w:r>
      <w:r w:rsidR="00960E5D">
        <w:t xml:space="preserve">calibrated models </w:t>
      </w:r>
      <w:r w:rsidR="003B7598">
        <w:t xml:space="preserve">would </w:t>
      </w:r>
      <w:r w:rsidR="00960E5D">
        <w:t xml:space="preserve">be run to </w:t>
      </w:r>
      <w:r w:rsidR="003B7598">
        <w:t>simulate the plume</w:t>
      </w:r>
      <w:r w:rsidR="00960E5D">
        <w:t xml:space="preserve">. The user will select the most conservative result for each </w:t>
      </w:r>
      <w:r w:rsidR="003B7598">
        <w:t>contaminant</w:t>
      </w:r>
      <w:r w:rsidR="00960E5D">
        <w:t xml:space="preserve"> (e.g., the longest benzene</w:t>
      </w:r>
      <w:r w:rsidR="00B024E6">
        <w:t xml:space="preserve"> plume</w:t>
      </w:r>
      <w:r w:rsidR="00960E5D">
        <w:t>).</w:t>
      </w:r>
    </w:p>
    <w:p w:rsidR="004D52AA" w:rsidRDefault="004D52AA"/>
    <w:p w:rsidR="004D52AA" w:rsidRDefault="004D52AA">
      <w:r>
        <w:t xml:space="preserve">Keep in mind that for QD the concentration at a given distance from the source only increases with time until the model reaches steady state. </w:t>
      </w:r>
      <w:r w:rsidR="00DD30E0">
        <w:t>DEP</w:t>
      </w:r>
      <w:r>
        <w:t xml:space="preserve"> </w:t>
      </w:r>
      <w:r w:rsidR="008D7600">
        <w:t>recommends evaluating</w:t>
      </w:r>
      <w:r>
        <w:t xml:space="preserve"> the results at 30 </w:t>
      </w:r>
      <w:proofErr w:type="spellStart"/>
      <w:r>
        <w:t>yr</w:t>
      </w:r>
      <w:proofErr w:type="spellEnd"/>
      <w:r>
        <w:t xml:space="preserve">, </w:t>
      </w:r>
      <w:r w:rsidR="00E007B8">
        <w:t>but the user should verify that the model is</w:t>
      </w:r>
      <w:r>
        <w:t xml:space="preserve"> in steady state by then. </w:t>
      </w:r>
      <w:r w:rsidR="00E007B8">
        <w:t>S</w:t>
      </w:r>
      <w:r>
        <w:t xml:space="preserve">teady state may be </w:t>
      </w:r>
      <w:r w:rsidR="001F4D1F">
        <w:t xml:space="preserve">much </w:t>
      </w:r>
      <w:r>
        <w:t xml:space="preserve">earlier (e.g., if </w:t>
      </w:r>
      <w:r>
        <w:rPr>
          <w:i/>
        </w:rPr>
        <w:t>K</w:t>
      </w:r>
      <w:r>
        <w:t xml:space="preserve"> is relatively high), and the calibrated solution may already be at steady state.</w:t>
      </w:r>
      <w:r w:rsidR="008D7600">
        <w:t xml:space="preserve"> In this case the results at 30 </w:t>
      </w:r>
      <w:proofErr w:type="spellStart"/>
      <w:r w:rsidR="008D7600">
        <w:t>yr</w:t>
      </w:r>
      <w:proofErr w:type="spellEnd"/>
      <w:r w:rsidR="008D7600">
        <w:t xml:space="preserve"> would be</w:t>
      </w:r>
      <w:r w:rsidR="00097545">
        <w:t xml:space="preserve"> unchanged from</w:t>
      </w:r>
      <w:r w:rsidR="001F4D1F">
        <w:t xml:space="preserve"> the calibration time</w:t>
      </w:r>
      <w:r w:rsidR="008D7600">
        <w:t>.</w:t>
      </w:r>
      <w:r>
        <w:t xml:space="preserve"> SWLOAD </w:t>
      </w:r>
      <w:r w:rsidR="008D7600">
        <w:t>calculates a solution</w:t>
      </w:r>
      <w:r>
        <w:t xml:space="preserve"> at infinite time (10</w:t>
      </w:r>
      <w:r>
        <w:rPr>
          <w:vertAlign w:val="superscript"/>
        </w:rPr>
        <w:t>99</w:t>
      </w:r>
      <w:r>
        <w:t xml:space="preserve"> days). </w:t>
      </w:r>
    </w:p>
    <w:p w:rsidR="004D52AA" w:rsidRDefault="004D52AA"/>
    <w:p w:rsidR="004D52AA" w:rsidRPr="004D52AA" w:rsidRDefault="004D52AA">
      <w:r>
        <w:t xml:space="preserve">It’s important to recognize that if the source is decaying, then the concentration at a given distance will initially increase and then decrease with time. There is no steady state. The model time is critical to </w:t>
      </w:r>
      <w:r w:rsidR="00097545">
        <w:t xml:space="preserve">a non–steady state </w:t>
      </w:r>
      <w:r>
        <w:t xml:space="preserve">solution, and the worst case (maximum concentrations or longest plume) may be at </w:t>
      </w:r>
      <w:r w:rsidR="00DA5005">
        <w:t xml:space="preserve">the </w:t>
      </w:r>
      <w:r>
        <w:t>present</w:t>
      </w:r>
      <w:r w:rsidR="008D7600">
        <w:t>, not in the future</w:t>
      </w:r>
      <w:r>
        <w:t xml:space="preserve">. </w:t>
      </w:r>
      <w:proofErr w:type="gramStart"/>
      <w:r w:rsidR="008D7600">
        <w:t xml:space="preserve">(See </w:t>
      </w:r>
      <w:hyperlink w:anchor="App5" w:history="1">
        <w:r w:rsidR="008D7600" w:rsidRPr="008D7600">
          <w:rPr>
            <w:rStyle w:val="Hyperlink"/>
          </w:rPr>
          <w:t xml:space="preserve">Example </w:t>
        </w:r>
        <w:r w:rsidR="0020546F">
          <w:rPr>
            <w:rStyle w:val="Hyperlink"/>
          </w:rPr>
          <w:t>A4</w:t>
        </w:r>
        <w:r w:rsidR="008D7600" w:rsidRPr="008D7600">
          <w:rPr>
            <w:rStyle w:val="Hyperlink"/>
          </w:rPr>
          <w:t>.2</w:t>
        </w:r>
      </w:hyperlink>
      <w:r w:rsidR="008D7600">
        <w:t>.)</w:t>
      </w:r>
      <w:proofErr w:type="gramEnd"/>
    </w:p>
    <w:p w:rsidR="0038580B" w:rsidRDefault="00960E5D" w:rsidP="004733A6">
      <w:pPr>
        <w:pStyle w:val="Heading2"/>
      </w:pPr>
      <w:bookmarkStart w:id="51" w:name="_Sensitivity_Tests"/>
      <w:bookmarkStart w:id="52" w:name="_Results"/>
      <w:bookmarkStart w:id="53" w:name="_Toc381357802"/>
      <w:bookmarkEnd w:id="51"/>
      <w:bookmarkEnd w:id="52"/>
      <w:r>
        <w:t>Results</w:t>
      </w:r>
      <w:bookmarkEnd w:id="53"/>
    </w:p>
    <w:p w:rsidR="00960E5D" w:rsidRDefault="00960E5D" w:rsidP="00324581">
      <w:pPr>
        <w:pStyle w:val="Heading3"/>
      </w:pPr>
      <w:r>
        <w:t>Point of Compliance</w:t>
      </w:r>
    </w:p>
    <w:p w:rsidR="00960E5D" w:rsidRDefault="00324581">
      <w:r>
        <w:t xml:space="preserve">Concentrations are calculated at the centerline distance to the </w:t>
      </w:r>
      <w:r w:rsidR="00097545">
        <w:t>point of compliance</w:t>
      </w:r>
      <w:r>
        <w:t xml:space="preserve">. The model with the highest concentration is selected for evaluating </w:t>
      </w:r>
      <w:r w:rsidR="006D60A1">
        <w:t xml:space="preserve">potential </w:t>
      </w:r>
      <w:proofErr w:type="spellStart"/>
      <w:r w:rsidR="006D60A1">
        <w:t>exceedences</w:t>
      </w:r>
      <w:proofErr w:type="spellEnd"/>
      <w:r>
        <w:t>.</w:t>
      </w:r>
    </w:p>
    <w:p w:rsidR="0038580B" w:rsidRDefault="00960E5D" w:rsidP="00324581">
      <w:pPr>
        <w:pStyle w:val="Heading3"/>
      </w:pPr>
      <w:r>
        <w:t>Plume Morphology</w:t>
      </w:r>
    </w:p>
    <w:p w:rsidR="00960E5D" w:rsidRDefault="00324581">
      <w:r>
        <w:t xml:space="preserve">QD is a valuable model for mapping the </w:t>
      </w:r>
      <w:proofErr w:type="spellStart"/>
      <w:r>
        <w:t>planform</w:t>
      </w:r>
      <w:proofErr w:type="spellEnd"/>
      <w:r>
        <w:t xml:space="preserve"> shape of the plume to determine </w:t>
      </w:r>
      <w:r w:rsidR="003B7598">
        <w:t xml:space="preserve">where it exceeds </w:t>
      </w:r>
      <w:proofErr w:type="gramStart"/>
      <w:r w:rsidR="003B7598">
        <w:t>Statewide</w:t>
      </w:r>
      <w:proofErr w:type="gramEnd"/>
      <w:r w:rsidR="003B7598">
        <w:t xml:space="preserve"> health standard (SHS) medium-specific concentrations (MSCs) and/or practical quantitation limits (PQLs)</w:t>
      </w:r>
      <w:r>
        <w:t xml:space="preserve">. This must be known for preparing post-remediation care plans and environmental covenants. The predictive models are run iteratively by varying </w:t>
      </w:r>
      <w:r w:rsidR="008C7A48">
        <w:t>the point concentration solution location (</w:t>
      </w:r>
      <w:proofErr w:type="spellStart"/>
      <w:r w:rsidR="008C7A48">
        <w:rPr>
          <w:i/>
        </w:rPr>
        <w:t>x</w:t>
      </w:r>
      <w:r w:rsidR="008C7A48">
        <w:rPr>
          <w:vertAlign w:val="subscript"/>
        </w:rPr>
        <w:t>s</w:t>
      </w:r>
      <w:proofErr w:type="spellEnd"/>
      <w:r w:rsidR="008C7A48">
        <w:t xml:space="preserve">) </w:t>
      </w:r>
      <w:r>
        <w:t xml:space="preserve">to </w:t>
      </w:r>
      <w:r w:rsidR="00DA5005">
        <w:t>determine</w:t>
      </w:r>
      <w:r>
        <w:t xml:space="preserve"> the centerline distance to </w:t>
      </w:r>
      <w:r w:rsidR="008C7A48">
        <w:t>each</w:t>
      </w:r>
      <w:r>
        <w:t xml:space="preserve"> </w:t>
      </w:r>
      <w:r w:rsidR="00DA5005">
        <w:t xml:space="preserve">MSC </w:t>
      </w:r>
      <w:r>
        <w:t>or PQL. The model</w:t>
      </w:r>
      <w:r w:rsidR="008C7A48">
        <w:t>s</w:t>
      </w:r>
      <w:r>
        <w:t xml:space="preserve"> with the longest distance</w:t>
      </w:r>
      <w:r w:rsidR="008C7A48">
        <w:t>s</w:t>
      </w:r>
      <w:r>
        <w:t xml:space="preserve"> </w:t>
      </w:r>
      <w:r w:rsidR="008C7A48">
        <w:t xml:space="preserve">are </w:t>
      </w:r>
      <w:r>
        <w:t>selected</w:t>
      </w:r>
      <w:r w:rsidR="008C7A48">
        <w:t xml:space="preserve"> as the most conservative</w:t>
      </w:r>
      <w:r>
        <w:t xml:space="preserve">. The plume morphology will depend on the downgradient transport distance relative to the source width. Typically the plume width will be approximately equal to the source width because transverse </w:t>
      </w:r>
      <w:proofErr w:type="spellStart"/>
      <w:r>
        <w:t>dispersivity</w:t>
      </w:r>
      <w:proofErr w:type="spellEnd"/>
      <w:r>
        <w:t xml:space="preserve"> is relatively low. </w:t>
      </w:r>
    </w:p>
    <w:p w:rsidR="0052096C" w:rsidRDefault="0052096C" w:rsidP="00324581">
      <w:pPr>
        <w:pStyle w:val="Heading3"/>
      </w:pPr>
      <w:r>
        <w:lastRenderedPageBreak/>
        <w:t>Downgradient Impacts</w:t>
      </w:r>
    </w:p>
    <w:p w:rsidR="00960E5D" w:rsidRDefault="004F6F50">
      <w:r>
        <w:t>If the concentration at a specific point (</w:t>
      </w:r>
      <w:proofErr w:type="spellStart"/>
      <w:r>
        <w:rPr>
          <w:i/>
        </w:rPr>
        <w:t>x</w:t>
      </w:r>
      <w:r w:rsidR="008C7A48">
        <w:rPr>
          <w:vertAlign w:val="subscript"/>
        </w:rPr>
        <w:t>s</w:t>
      </w:r>
      <w:proofErr w:type="spellEnd"/>
      <w:r>
        <w:t>,</w:t>
      </w:r>
      <w:r>
        <w:rPr>
          <w:i/>
        </w:rPr>
        <w:t xml:space="preserve"> </w:t>
      </w:r>
      <w:proofErr w:type="spellStart"/>
      <w:r>
        <w:rPr>
          <w:i/>
        </w:rPr>
        <w:t>y</w:t>
      </w:r>
      <w:r w:rsidR="008C7A48">
        <w:rPr>
          <w:vertAlign w:val="subscript"/>
        </w:rPr>
        <w:t>s</w:t>
      </w:r>
      <w:proofErr w:type="spellEnd"/>
      <w:r>
        <w:t xml:space="preserve">) needs to be </w:t>
      </w:r>
      <w:r w:rsidR="006D60A1">
        <w:t>estimated</w:t>
      </w:r>
      <w:r>
        <w:t xml:space="preserve">, for instance at a drinking water or public supply well, </w:t>
      </w:r>
      <w:r w:rsidR="00097545">
        <w:t xml:space="preserve">then </w:t>
      </w:r>
      <w:r>
        <w:t xml:space="preserve">the </w:t>
      </w:r>
      <w:r w:rsidR="006D60A1">
        <w:t xml:space="preserve">user runs </w:t>
      </w:r>
      <w:r>
        <w:t>models for that location. The model with the highest concentration is selected.</w:t>
      </w:r>
    </w:p>
    <w:p w:rsidR="00960E5D" w:rsidRDefault="00960E5D" w:rsidP="00324581">
      <w:pPr>
        <w:pStyle w:val="Heading3"/>
      </w:pPr>
      <w:r>
        <w:t>Stream Loading</w:t>
      </w:r>
    </w:p>
    <w:p w:rsidR="005D7E01" w:rsidRDefault="004F6F50">
      <w:r>
        <w:t xml:space="preserve">To evaluate loading of the plume to a surface water body, </w:t>
      </w:r>
      <w:r w:rsidR="008C7A48">
        <w:t xml:space="preserve">the user </w:t>
      </w:r>
      <w:r>
        <w:t>transfer</w:t>
      </w:r>
      <w:r w:rsidR="008C7A48">
        <w:t>s</w:t>
      </w:r>
      <w:r>
        <w:t xml:space="preserve"> the calibration model parameters to SWLOAD. SWLOAD </w:t>
      </w:r>
      <w:r w:rsidR="008C7A48">
        <w:t xml:space="preserve">is run </w:t>
      </w:r>
      <w:r>
        <w:t xml:space="preserve">for each parameter combination to determine the average concentration and groundwater influx rate to the stream. (See the Act 2 </w:t>
      </w:r>
      <w:hyperlink w:anchor="_Web_Links" w:history="1">
        <w:r w:rsidRPr="004F6F50">
          <w:rPr>
            <w:rStyle w:val="Hyperlink"/>
            <w:i/>
          </w:rPr>
          <w:t>Technical Guidance Manual</w:t>
        </w:r>
      </w:hyperlink>
      <w:r>
        <w:t>, Section IV.A.3.)</w:t>
      </w:r>
      <w:r w:rsidR="004D52AA">
        <w:t xml:space="preserve"> The model with the highest average concentration is selected.</w:t>
      </w:r>
    </w:p>
    <w:p w:rsidR="001601D0" w:rsidRDefault="001601D0" w:rsidP="004733A6">
      <w:pPr>
        <w:pStyle w:val="Heading2"/>
      </w:pPr>
      <w:bookmarkStart w:id="54" w:name="_Toc381357803"/>
      <w:r>
        <w:t>Report Contents</w:t>
      </w:r>
      <w:bookmarkEnd w:id="54"/>
    </w:p>
    <w:p w:rsidR="001601D0" w:rsidRDefault="00F44278">
      <w:r>
        <w:t xml:space="preserve">The Quick </w:t>
      </w:r>
      <w:proofErr w:type="spellStart"/>
      <w:r>
        <w:t>Domenico</w:t>
      </w:r>
      <w:proofErr w:type="spellEnd"/>
      <w:r>
        <w:t xml:space="preserve"> model analysis should be fully documented in the submitted report. </w:t>
      </w:r>
      <w:r w:rsidR="00DB2439">
        <w:t>The fate-and-transport content of the report</w:t>
      </w:r>
      <w:r>
        <w:t xml:space="preserve"> should </w:t>
      </w:r>
      <w:r w:rsidR="006D60A1">
        <w:t>generally</w:t>
      </w:r>
      <w:r>
        <w:t xml:space="preserve"> include the following elements</w:t>
      </w:r>
      <w:r w:rsidR="00DB2439">
        <w:t>, depending on the complexity of the modeling</w:t>
      </w:r>
      <w:r>
        <w:t>.</w:t>
      </w:r>
      <w:r w:rsidR="00097545">
        <w:t xml:space="preserve"> (Refer also to the </w:t>
      </w:r>
      <w:hyperlink w:anchor="_Web_Links" w:history="1">
        <w:r w:rsidR="00097545" w:rsidRPr="00064437">
          <w:rPr>
            <w:rStyle w:val="Hyperlink"/>
            <w:i/>
          </w:rPr>
          <w:t>Technical Guidance Manual</w:t>
        </w:r>
      </w:hyperlink>
      <w:r w:rsidR="00097545">
        <w:t>, Section IV.A.2.h.)</w:t>
      </w:r>
    </w:p>
    <w:p w:rsidR="00BF4125" w:rsidRDefault="00BF4125"/>
    <w:p w:rsidR="00CC017F" w:rsidRDefault="00F44278" w:rsidP="00064437">
      <w:pPr>
        <w:spacing w:after="240"/>
        <w:ind w:left="360" w:hanging="360"/>
      </w:pPr>
      <w:r>
        <w:t>•</w:t>
      </w:r>
      <w:r>
        <w:tab/>
      </w:r>
      <w:r w:rsidR="00CC017F">
        <w:t>A discussion of why application of QD is appropriate in the context of the conceptual site model (</w:t>
      </w:r>
      <w:hyperlink w:anchor="_QD_LimitationsApplicability" w:history="1">
        <w:r w:rsidR="00CC017F" w:rsidRPr="00CC017F">
          <w:rPr>
            <w:rStyle w:val="Hyperlink"/>
          </w:rPr>
          <w:t>Section 2</w:t>
        </w:r>
      </w:hyperlink>
      <w:r w:rsidR="00CC017F">
        <w:t>).</w:t>
      </w:r>
    </w:p>
    <w:p w:rsidR="00F44278" w:rsidRDefault="00CC017F" w:rsidP="00064437">
      <w:pPr>
        <w:spacing w:after="240"/>
        <w:ind w:left="360" w:hanging="360"/>
      </w:pPr>
      <w:r>
        <w:t>•</w:t>
      </w:r>
      <w:r>
        <w:tab/>
      </w:r>
      <w:r w:rsidR="00F44278">
        <w:t>A table of all initial and final parameter values</w:t>
      </w:r>
      <w:r w:rsidR="00DC3FAB">
        <w:t>, including parameter ranges</w:t>
      </w:r>
      <w:r w:rsidR="00BF4125">
        <w:t xml:space="preserve"> (</w:t>
      </w:r>
      <w:hyperlink w:anchor="_QD_Model_Input_1" w:history="1">
        <w:r w:rsidR="00BF4125" w:rsidRPr="00BF4125">
          <w:rPr>
            <w:rStyle w:val="Hyperlink"/>
          </w:rPr>
          <w:t>Section 3</w:t>
        </w:r>
      </w:hyperlink>
      <w:r w:rsidR="00BF4125">
        <w:t>)</w:t>
      </w:r>
      <w:r w:rsidR="00F44278">
        <w:t>.</w:t>
      </w:r>
    </w:p>
    <w:p w:rsidR="00F44278" w:rsidRDefault="00F44278" w:rsidP="00064437">
      <w:pPr>
        <w:spacing w:after="240"/>
        <w:ind w:left="360" w:hanging="360"/>
      </w:pPr>
      <w:r>
        <w:t>•</w:t>
      </w:r>
      <w:r>
        <w:tab/>
        <w:t xml:space="preserve">A </w:t>
      </w:r>
      <w:r w:rsidR="00DC475E">
        <w:t xml:space="preserve">complete </w:t>
      </w:r>
      <w:r>
        <w:t>explanation of the</w:t>
      </w:r>
      <w:r w:rsidR="00BF4125">
        <w:t xml:space="preserve"> input</w:t>
      </w:r>
      <w:r>
        <w:t xml:space="preserve"> values used.</w:t>
      </w:r>
    </w:p>
    <w:p w:rsidR="006302F9" w:rsidRDefault="006302F9" w:rsidP="00064437">
      <w:pPr>
        <w:spacing w:after="240"/>
        <w:ind w:left="360" w:hanging="360"/>
      </w:pPr>
      <w:r>
        <w:t>•</w:t>
      </w:r>
      <w:r>
        <w:tab/>
        <w:t>Specification of the calibration wells and field data values.</w:t>
      </w:r>
    </w:p>
    <w:p w:rsidR="00F44278" w:rsidRDefault="00F44278" w:rsidP="00064437">
      <w:pPr>
        <w:spacing w:after="240"/>
        <w:ind w:left="360" w:hanging="360"/>
      </w:pPr>
      <w:r>
        <w:t>•</w:t>
      </w:r>
      <w:r>
        <w:tab/>
      </w:r>
      <w:r w:rsidR="006302F9">
        <w:t>A description of the uncertainty or sensitivity analysis and calibration (</w:t>
      </w:r>
      <w:hyperlink w:anchor="_Objective" w:history="1">
        <w:r w:rsidR="006302F9" w:rsidRPr="006302F9">
          <w:rPr>
            <w:rStyle w:val="Hyperlink"/>
          </w:rPr>
          <w:t>Section 5</w:t>
        </w:r>
      </w:hyperlink>
      <w:r w:rsidR="006302F9">
        <w:t>).</w:t>
      </w:r>
    </w:p>
    <w:p w:rsidR="006302F9" w:rsidRDefault="006302F9" w:rsidP="00064437">
      <w:pPr>
        <w:spacing w:after="240"/>
        <w:ind w:left="360" w:hanging="360"/>
      </w:pPr>
      <w:r>
        <w:t>•</w:t>
      </w:r>
      <w:r>
        <w:tab/>
      </w:r>
      <w:r w:rsidR="00BF4125">
        <w:t>Predictive model conditions and results (</w:t>
      </w:r>
      <w:hyperlink w:anchor="_Methodology_1" w:history="1">
        <w:r w:rsidR="00BF4125" w:rsidRPr="00BF4125">
          <w:rPr>
            <w:rStyle w:val="Hyperlink"/>
          </w:rPr>
          <w:t>Section 6</w:t>
        </w:r>
      </w:hyperlink>
      <w:r w:rsidR="00BF4125">
        <w:t>).</w:t>
      </w:r>
    </w:p>
    <w:p w:rsidR="00BF4125" w:rsidRDefault="00BF4125" w:rsidP="00064437">
      <w:pPr>
        <w:spacing w:after="240"/>
        <w:ind w:left="360" w:hanging="360"/>
      </w:pPr>
      <w:r>
        <w:t>•</w:t>
      </w:r>
      <w:r>
        <w:tab/>
        <w:t>Figures showing the source location</w:t>
      </w:r>
      <w:r w:rsidR="006D60A1">
        <w:t xml:space="preserve">, </w:t>
      </w:r>
      <w:r w:rsidR="005407E4">
        <w:t xml:space="preserve">source and calibration wells, </w:t>
      </w:r>
      <w:r w:rsidR="006D60A1">
        <w:t>plume centerline,</w:t>
      </w:r>
      <w:r>
        <w:t xml:space="preserve"> and the </w:t>
      </w:r>
      <w:proofErr w:type="spellStart"/>
      <w:r>
        <w:t>planform</w:t>
      </w:r>
      <w:proofErr w:type="spellEnd"/>
      <w:r>
        <w:t xml:space="preserve"> shape of each contaminant of concern at the site.</w:t>
      </w:r>
    </w:p>
    <w:p w:rsidR="00BF4125" w:rsidRDefault="00BF4125" w:rsidP="00064437">
      <w:pPr>
        <w:spacing w:after="240"/>
        <w:ind w:left="360" w:hanging="360"/>
      </w:pPr>
      <w:r>
        <w:t>•</w:t>
      </w:r>
      <w:r>
        <w:tab/>
        <w:t xml:space="preserve">Appendices with QD worksheet printouts for calibration and predictive model </w:t>
      </w:r>
      <w:proofErr w:type="gramStart"/>
      <w:r>
        <w:t>runs</w:t>
      </w:r>
      <w:proofErr w:type="gramEnd"/>
      <w:r>
        <w:t xml:space="preserve"> for each contaminant of concern.</w:t>
      </w:r>
    </w:p>
    <w:p w:rsidR="00072DDF" w:rsidRDefault="00072DDF">
      <w:pPr>
        <w:rPr>
          <w:rFonts w:ascii="Arial" w:hAnsi="Arial" w:cs="Arial"/>
          <w:b/>
          <w:bCs/>
          <w:kern w:val="32"/>
          <w:sz w:val="32"/>
          <w:szCs w:val="32"/>
        </w:rPr>
      </w:pPr>
      <w:r>
        <w:br w:type="page"/>
      </w:r>
    </w:p>
    <w:p w:rsidR="0030449D" w:rsidRDefault="0030449D" w:rsidP="00B92D8C">
      <w:pPr>
        <w:pStyle w:val="Heading1"/>
        <w:numPr>
          <w:ilvl w:val="0"/>
          <w:numId w:val="0"/>
        </w:numPr>
      </w:pPr>
      <w:bookmarkStart w:id="55" w:name="_Toc381357804"/>
      <w:r>
        <w:lastRenderedPageBreak/>
        <w:t>References</w:t>
      </w:r>
      <w:bookmarkEnd w:id="55"/>
    </w:p>
    <w:p w:rsidR="0030449D" w:rsidRDefault="0030449D" w:rsidP="00227D24">
      <w:pPr>
        <w:ind w:left="360" w:hanging="360"/>
      </w:pPr>
    </w:p>
    <w:p w:rsidR="00A93C35" w:rsidRPr="00A93C35" w:rsidRDefault="00A93C35" w:rsidP="008264CB">
      <w:pPr>
        <w:spacing w:after="120"/>
        <w:ind w:left="360" w:hanging="360"/>
      </w:pPr>
      <w:proofErr w:type="spellStart"/>
      <w:r>
        <w:t>Bouwer</w:t>
      </w:r>
      <w:proofErr w:type="spellEnd"/>
      <w:r>
        <w:t xml:space="preserve">, H., </w:t>
      </w:r>
      <w:hyperlink r:id="rId19" w:history="1">
        <w:r w:rsidRPr="00A93C35">
          <w:rPr>
            <w:rStyle w:val="Hyperlink"/>
          </w:rPr>
          <w:t xml:space="preserve">The </w:t>
        </w:r>
        <w:proofErr w:type="spellStart"/>
        <w:r w:rsidRPr="00A93C35">
          <w:rPr>
            <w:rStyle w:val="Hyperlink"/>
          </w:rPr>
          <w:t>Bouwer</w:t>
        </w:r>
        <w:proofErr w:type="spellEnd"/>
        <w:r w:rsidRPr="00A93C35">
          <w:rPr>
            <w:rStyle w:val="Hyperlink"/>
          </w:rPr>
          <w:t xml:space="preserve"> and Rice slug test—</w:t>
        </w:r>
        <w:proofErr w:type="gramStart"/>
        <w:r w:rsidRPr="00A93C35">
          <w:rPr>
            <w:rStyle w:val="Hyperlink"/>
          </w:rPr>
          <w:t>An</w:t>
        </w:r>
        <w:proofErr w:type="gramEnd"/>
        <w:r w:rsidRPr="00A93C35">
          <w:rPr>
            <w:rStyle w:val="Hyperlink"/>
          </w:rPr>
          <w:t xml:space="preserve"> update</w:t>
        </w:r>
      </w:hyperlink>
      <w:r>
        <w:t xml:space="preserve">; </w:t>
      </w:r>
      <w:r>
        <w:rPr>
          <w:i/>
        </w:rPr>
        <w:t>Ground Water</w:t>
      </w:r>
      <w:r>
        <w:t>,</w:t>
      </w:r>
      <w:r>
        <w:rPr>
          <w:i/>
        </w:rPr>
        <w:t xml:space="preserve"> 27</w:t>
      </w:r>
      <w:r>
        <w:t>, 304–309, 1989.</w:t>
      </w:r>
    </w:p>
    <w:p w:rsidR="00565613" w:rsidRDefault="00227D24" w:rsidP="008264CB">
      <w:pPr>
        <w:spacing w:after="120"/>
        <w:ind w:left="360" w:hanging="360"/>
      </w:pPr>
      <w:proofErr w:type="spellStart"/>
      <w:r>
        <w:t>Domenico</w:t>
      </w:r>
      <w:proofErr w:type="spellEnd"/>
      <w:r>
        <w:t xml:space="preserve">, P. A., </w:t>
      </w:r>
      <w:hyperlink r:id="rId20" w:history="1">
        <w:r w:rsidRPr="00702589">
          <w:rPr>
            <w:rStyle w:val="Hyperlink"/>
          </w:rPr>
          <w:t>An analytical model for multidimensional transport of a decaying contaminant species</w:t>
        </w:r>
      </w:hyperlink>
      <w:r>
        <w:t xml:space="preserve">, </w:t>
      </w:r>
      <w:r>
        <w:rPr>
          <w:i/>
        </w:rPr>
        <w:t>Journal of Hydrology</w:t>
      </w:r>
      <w:r>
        <w:t>,</w:t>
      </w:r>
      <w:r w:rsidRPr="001E41B1">
        <w:rPr>
          <w:i/>
        </w:rPr>
        <w:t xml:space="preserve"> 91</w:t>
      </w:r>
      <w:r>
        <w:t>, 49–58, 1987.</w:t>
      </w:r>
    </w:p>
    <w:p w:rsidR="00565613" w:rsidRPr="00F81508" w:rsidRDefault="00565613" w:rsidP="008264CB">
      <w:pPr>
        <w:spacing w:after="120"/>
        <w:ind w:left="360" w:hanging="360"/>
      </w:pPr>
      <w:proofErr w:type="spellStart"/>
      <w:r w:rsidRPr="00F81508">
        <w:t>Domenico</w:t>
      </w:r>
      <w:proofErr w:type="spellEnd"/>
      <w:r w:rsidR="00F81508">
        <w:t>, P. A., and F. W.</w:t>
      </w:r>
      <w:r w:rsidRPr="00F81508">
        <w:t xml:space="preserve"> Schwartz, </w:t>
      </w:r>
      <w:r w:rsidRPr="00F81508">
        <w:rPr>
          <w:i/>
        </w:rPr>
        <w:t>Physical and Chemical Hydrogeology</w:t>
      </w:r>
      <w:r w:rsidRPr="00F81508">
        <w:t>,</w:t>
      </w:r>
      <w:r w:rsidR="00F81508">
        <w:t xml:space="preserve"> 2</w:t>
      </w:r>
      <w:r w:rsidR="00F81508" w:rsidRPr="00F81508">
        <w:rPr>
          <w:vertAlign w:val="superscript"/>
        </w:rPr>
        <w:t>nd</w:t>
      </w:r>
      <w:r w:rsidR="00F81508">
        <w:t xml:space="preserve"> ed., New York: John Wiley, 506 pp.,</w:t>
      </w:r>
      <w:r w:rsidRPr="00F81508">
        <w:t xml:space="preserve"> 1998.</w:t>
      </w:r>
    </w:p>
    <w:p w:rsidR="00AC72DB" w:rsidRPr="008264CB" w:rsidRDefault="008264CB" w:rsidP="008264CB">
      <w:pPr>
        <w:spacing w:after="120"/>
        <w:ind w:left="360" w:hanging="360"/>
      </w:pPr>
      <w:proofErr w:type="spellStart"/>
      <w:r>
        <w:t>Halford</w:t>
      </w:r>
      <w:proofErr w:type="spellEnd"/>
      <w:r>
        <w:t>, K.</w:t>
      </w:r>
      <w:r w:rsidR="00F81508">
        <w:t xml:space="preserve"> </w:t>
      </w:r>
      <w:r>
        <w:t>J., and E.</w:t>
      </w:r>
      <w:r w:rsidR="00F81508">
        <w:t xml:space="preserve"> </w:t>
      </w:r>
      <w:r>
        <w:t xml:space="preserve">L. </w:t>
      </w:r>
      <w:proofErr w:type="spellStart"/>
      <w:r>
        <w:t>Kuniansky</w:t>
      </w:r>
      <w:proofErr w:type="spellEnd"/>
      <w:r>
        <w:t xml:space="preserve">, </w:t>
      </w:r>
      <w:hyperlink r:id="rId21" w:history="1">
        <w:r w:rsidRPr="001952EB">
          <w:rPr>
            <w:rStyle w:val="Hyperlink"/>
            <w:i/>
          </w:rPr>
          <w:t>Documentation of Spreadsheets for the Analysis of Aquifer-Test and Slug-Test Data</w:t>
        </w:r>
      </w:hyperlink>
      <w:r>
        <w:t>, Open-File Report 02-197, 51 pp., USGS, Carson City, NV, 2002.</w:t>
      </w:r>
    </w:p>
    <w:p w:rsidR="00AC72DB" w:rsidRDefault="00AC72DB" w:rsidP="008264CB">
      <w:pPr>
        <w:spacing w:after="120"/>
        <w:ind w:left="360" w:hanging="360"/>
      </w:pPr>
      <w:r w:rsidRPr="00400B46">
        <w:t xml:space="preserve">Howard, </w:t>
      </w:r>
      <w:r w:rsidR="00400B46" w:rsidRPr="00400B46">
        <w:t>P.</w:t>
      </w:r>
      <w:r w:rsidR="00F81508">
        <w:t xml:space="preserve"> </w:t>
      </w:r>
      <w:r w:rsidR="00400B46" w:rsidRPr="00400B46">
        <w:t>H., R.</w:t>
      </w:r>
      <w:r w:rsidR="00F81508">
        <w:t xml:space="preserve"> </w:t>
      </w:r>
      <w:r w:rsidR="00400B46" w:rsidRPr="00400B46">
        <w:t xml:space="preserve">S. </w:t>
      </w:r>
      <w:proofErr w:type="spellStart"/>
      <w:r w:rsidR="00400B46" w:rsidRPr="00400B46">
        <w:t>Boethling</w:t>
      </w:r>
      <w:proofErr w:type="spellEnd"/>
      <w:r w:rsidR="00400B46" w:rsidRPr="00400B46">
        <w:t xml:space="preserve">, W.F. Jarvis, W.M. </w:t>
      </w:r>
      <w:proofErr w:type="spellStart"/>
      <w:r w:rsidR="00400B46" w:rsidRPr="00400B46">
        <w:t>Meylan</w:t>
      </w:r>
      <w:proofErr w:type="spellEnd"/>
      <w:r w:rsidR="00400B46" w:rsidRPr="00400B46">
        <w:t xml:space="preserve">, and E.M. </w:t>
      </w:r>
      <w:proofErr w:type="spellStart"/>
      <w:r w:rsidR="00400B46" w:rsidRPr="00400B46">
        <w:t>Michalenko</w:t>
      </w:r>
      <w:proofErr w:type="spellEnd"/>
      <w:r w:rsidRPr="00400B46">
        <w:t xml:space="preserve">, </w:t>
      </w:r>
      <w:r w:rsidRPr="00400B46">
        <w:rPr>
          <w:i/>
        </w:rPr>
        <w:t>Handbook of Environmental Degradation Rates</w:t>
      </w:r>
      <w:r w:rsidRPr="00400B46">
        <w:t xml:space="preserve">, </w:t>
      </w:r>
      <w:r w:rsidR="00400B46" w:rsidRPr="00400B46">
        <w:t>725</w:t>
      </w:r>
      <w:r w:rsidRPr="00400B46">
        <w:t xml:space="preserve"> pp., Boca Raton, Lewis Publishers, 1991.</w:t>
      </w:r>
    </w:p>
    <w:p w:rsidR="004405B7" w:rsidRPr="00326CDB" w:rsidRDefault="004405B7" w:rsidP="008264CB">
      <w:pPr>
        <w:spacing w:after="120"/>
        <w:ind w:left="360" w:hanging="360"/>
        <w:rPr>
          <w:i/>
        </w:rPr>
      </w:pPr>
      <w:proofErr w:type="spellStart"/>
      <w:r>
        <w:t>Konikow</w:t>
      </w:r>
      <w:proofErr w:type="spellEnd"/>
      <w:r>
        <w:t>, L.</w:t>
      </w:r>
      <w:r w:rsidR="00F81508">
        <w:t xml:space="preserve"> </w:t>
      </w:r>
      <w:r>
        <w:t xml:space="preserve">F., </w:t>
      </w:r>
      <w:hyperlink r:id="rId22" w:history="1">
        <w:r w:rsidRPr="00702589">
          <w:rPr>
            <w:rStyle w:val="Hyperlink"/>
          </w:rPr>
          <w:t>The secret to successful solute-transport modeling</w:t>
        </w:r>
      </w:hyperlink>
      <w:r>
        <w:t xml:space="preserve">, </w:t>
      </w:r>
      <w:r>
        <w:rPr>
          <w:i/>
        </w:rPr>
        <w:t>Ground Water</w:t>
      </w:r>
      <w:r>
        <w:t>,</w:t>
      </w:r>
      <w:r w:rsidRPr="004405B7">
        <w:t xml:space="preserve"> </w:t>
      </w:r>
      <w:r w:rsidR="00452ACE">
        <w:rPr>
          <w:i/>
        </w:rPr>
        <w:t>49</w:t>
      </w:r>
      <w:r w:rsidR="00452ACE">
        <w:t>, 144–159</w:t>
      </w:r>
      <w:r w:rsidR="00452ACE">
        <w:rPr>
          <w:color w:val="000000"/>
          <w:lang w:val="en"/>
        </w:rPr>
        <w:t>, 2011</w:t>
      </w:r>
      <w:r w:rsidRPr="004405B7">
        <w:rPr>
          <w:color w:val="000000"/>
          <w:lang w:val="en"/>
        </w:rPr>
        <w:t>.</w:t>
      </w:r>
    </w:p>
    <w:p w:rsidR="00227D24" w:rsidRDefault="00AA65F3" w:rsidP="008264CB">
      <w:pPr>
        <w:spacing w:after="120"/>
        <w:ind w:left="360" w:hanging="360"/>
      </w:pPr>
      <w:proofErr w:type="spellStart"/>
      <w:r>
        <w:t>Kruseman</w:t>
      </w:r>
      <w:proofErr w:type="spellEnd"/>
      <w:r>
        <w:t>, G.</w:t>
      </w:r>
      <w:r w:rsidR="00F81508">
        <w:t xml:space="preserve"> </w:t>
      </w:r>
      <w:r>
        <w:t xml:space="preserve">P., and N. A. de </w:t>
      </w:r>
      <w:proofErr w:type="spellStart"/>
      <w:r>
        <w:t>Ridder</w:t>
      </w:r>
      <w:proofErr w:type="spellEnd"/>
      <w:r>
        <w:t xml:space="preserve">, </w:t>
      </w:r>
      <w:r>
        <w:rPr>
          <w:i/>
        </w:rPr>
        <w:t>Analysis and Evaluation of Pumping Test Data</w:t>
      </w:r>
      <w:r>
        <w:t>, 2</w:t>
      </w:r>
      <w:r w:rsidRPr="00AA65F3">
        <w:rPr>
          <w:vertAlign w:val="superscript"/>
        </w:rPr>
        <w:t>nd</w:t>
      </w:r>
      <w:r>
        <w:t xml:space="preserve"> edition, Publication No. 47, 377 pp., </w:t>
      </w:r>
      <w:proofErr w:type="spellStart"/>
      <w:r>
        <w:t>Wageningen</w:t>
      </w:r>
      <w:proofErr w:type="spellEnd"/>
      <w:r>
        <w:t>, The Netherlands, International Institute for Land Reclamation and Improvement, 1990.</w:t>
      </w:r>
    </w:p>
    <w:p w:rsidR="00F973AB" w:rsidRDefault="00DE0C09" w:rsidP="008264CB">
      <w:pPr>
        <w:spacing w:after="120"/>
        <w:ind w:left="360" w:hanging="360"/>
      </w:pPr>
      <w:r>
        <w:t>Low, D.</w:t>
      </w:r>
      <w:r w:rsidR="00F81508">
        <w:t xml:space="preserve"> </w:t>
      </w:r>
      <w:r>
        <w:t>J., D.</w:t>
      </w:r>
      <w:r w:rsidR="00F81508">
        <w:t xml:space="preserve"> </w:t>
      </w:r>
      <w:r>
        <w:t xml:space="preserve">J. </w:t>
      </w:r>
      <w:proofErr w:type="spellStart"/>
      <w:r>
        <w:t>Hippe</w:t>
      </w:r>
      <w:proofErr w:type="spellEnd"/>
      <w:r>
        <w:t xml:space="preserve">, and D. </w:t>
      </w:r>
      <w:proofErr w:type="spellStart"/>
      <w:r>
        <w:t>Yannacci</w:t>
      </w:r>
      <w:proofErr w:type="spellEnd"/>
      <w:r>
        <w:t xml:space="preserve">, </w:t>
      </w:r>
      <w:hyperlink r:id="rId23" w:history="1">
        <w:r w:rsidRPr="008F46FB">
          <w:rPr>
            <w:rStyle w:val="Hyperlink"/>
            <w:i/>
          </w:rPr>
          <w:t>Geohydrology of Southeastern Pennsylvania</w:t>
        </w:r>
      </w:hyperlink>
      <w:r>
        <w:t>, Water-Resources Investigations Report 00-4166, 347 pp., USGS, New Cumberland, PA, 2002.</w:t>
      </w:r>
    </w:p>
    <w:p w:rsidR="00B527D8" w:rsidRDefault="00F973AB" w:rsidP="008264CB">
      <w:pPr>
        <w:spacing w:after="120"/>
        <w:ind w:left="360" w:hanging="360"/>
      </w:pPr>
      <w:proofErr w:type="spellStart"/>
      <w:r>
        <w:t>Neuman</w:t>
      </w:r>
      <w:proofErr w:type="spellEnd"/>
      <w:r>
        <w:t xml:space="preserve">, S. P., </w:t>
      </w:r>
      <w:hyperlink r:id="rId24" w:history="1">
        <w:proofErr w:type="gramStart"/>
        <w:r w:rsidRPr="00BF6DE5">
          <w:rPr>
            <w:rStyle w:val="Hyperlink"/>
          </w:rPr>
          <w:t>On</w:t>
        </w:r>
        <w:proofErr w:type="gramEnd"/>
        <w:r w:rsidRPr="00BF6DE5">
          <w:rPr>
            <w:rStyle w:val="Hyperlink"/>
          </w:rPr>
          <w:t xml:space="preserve"> </w:t>
        </w:r>
        <w:proofErr w:type="spellStart"/>
        <w:r w:rsidRPr="00BF6DE5">
          <w:rPr>
            <w:rStyle w:val="Hyperlink"/>
          </w:rPr>
          <w:t>advective</w:t>
        </w:r>
        <w:proofErr w:type="spellEnd"/>
        <w:r w:rsidRPr="00BF6DE5">
          <w:rPr>
            <w:rStyle w:val="Hyperlink"/>
          </w:rPr>
          <w:t xml:space="preserve"> transport in fractal permeability and velocity fields</w:t>
        </w:r>
      </w:hyperlink>
      <w:r>
        <w:t xml:space="preserve">, </w:t>
      </w:r>
      <w:r>
        <w:rPr>
          <w:i/>
        </w:rPr>
        <w:t>Water Resources Research</w:t>
      </w:r>
      <w:r>
        <w:t>,</w:t>
      </w:r>
      <w:r w:rsidRPr="001E41B1">
        <w:rPr>
          <w:i/>
        </w:rPr>
        <w:t xml:space="preserve"> 31</w:t>
      </w:r>
      <w:r>
        <w:t>, 6, 1455–1460, 1995.</w:t>
      </w:r>
    </w:p>
    <w:p w:rsidR="00A36922" w:rsidRDefault="00A36922" w:rsidP="008264CB">
      <w:pPr>
        <w:spacing w:after="120"/>
        <w:ind w:left="360" w:hanging="360"/>
      </w:pPr>
      <w:r>
        <w:t xml:space="preserve">Newell, C. J., H. S. </w:t>
      </w:r>
      <w:proofErr w:type="spellStart"/>
      <w:r>
        <w:t>Rifai</w:t>
      </w:r>
      <w:proofErr w:type="spellEnd"/>
      <w:r>
        <w:t xml:space="preserve">, J. T. Wilson, J. A. Connor, J. A. Aziz, and M. P. Suarez, Ground Water Issue: </w:t>
      </w:r>
      <w:hyperlink r:id="rId25" w:history="1">
        <w:r w:rsidRPr="00C224FC">
          <w:rPr>
            <w:rStyle w:val="Hyperlink"/>
          </w:rPr>
          <w:t>Calculation and use of first-order rate constants for monitored natural attenuation studies</w:t>
        </w:r>
      </w:hyperlink>
      <w:r>
        <w:t xml:space="preserve">, EPA/540/S-02/500, </w:t>
      </w:r>
      <w:r w:rsidR="00165476">
        <w:t xml:space="preserve">U.S. EPA, Cincinnati, OH, </w:t>
      </w:r>
      <w:r>
        <w:t>2002.</w:t>
      </w:r>
    </w:p>
    <w:p w:rsidR="00F973AB" w:rsidRPr="00F973AB" w:rsidRDefault="00F973AB" w:rsidP="008264CB">
      <w:pPr>
        <w:spacing w:after="120"/>
        <w:ind w:left="360" w:hanging="360"/>
      </w:pPr>
      <w:proofErr w:type="spellStart"/>
      <w:proofErr w:type="gramStart"/>
      <w:r>
        <w:t>Schultze-Makuch</w:t>
      </w:r>
      <w:proofErr w:type="spellEnd"/>
      <w:r>
        <w:t xml:space="preserve">, D., </w:t>
      </w:r>
      <w:hyperlink r:id="rId26" w:history="1">
        <w:r w:rsidRPr="00411E57">
          <w:rPr>
            <w:rStyle w:val="Hyperlink"/>
          </w:rPr>
          <w:t xml:space="preserve">Longitudinal </w:t>
        </w:r>
        <w:proofErr w:type="spellStart"/>
        <w:r w:rsidRPr="00411E57">
          <w:rPr>
            <w:rStyle w:val="Hyperlink"/>
          </w:rPr>
          <w:t>dispersivity</w:t>
        </w:r>
        <w:proofErr w:type="spellEnd"/>
        <w:r w:rsidRPr="00411E57">
          <w:rPr>
            <w:rStyle w:val="Hyperlink"/>
          </w:rPr>
          <w:t xml:space="preserve"> data and implications for scaling behavior</w:t>
        </w:r>
      </w:hyperlink>
      <w:r>
        <w:t xml:space="preserve">, </w:t>
      </w:r>
      <w:r>
        <w:rPr>
          <w:i/>
        </w:rPr>
        <w:t>Ground Water</w:t>
      </w:r>
      <w:r>
        <w:t>,</w:t>
      </w:r>
      <w:r w:rsidRPr="001E41B1">
        <w:rPr>
          <w:i/>
        </w:rPr>
        <w:t xml:space="preserve"> 43</w:t>
      </w:r>
      <w:r w:rsidR="001E41B1">
        <w:t>,</w:t>
      </w:r>
      <w:r>
        <w:t xml:space="preserve"> 443–456, 2005.</w:t>
      </w:r>
      <w:proofErr w:type="gramEnd"/>
    </w:p>
    <w:p w:rsidR="0050151B" w:rsidRDefault="00B527D8" w:rsidP="008264CB">
      <w:pPr>
        <w:spacing w:after="120"/>
        <w:ind w:left="360" w:hanging="360"/>
      </w:pPr>
      <w:r>
        <w:t xml:space="preserve">Srinivasan, V., T. P. Clement, and K. K. Lee, </w:t>
      </w:r>
      <w:hyperlink r:id="rId27" w:history="1">
        <w:proofErr w:type="spellStart"/>
        <w:r w:rsidRPr="001E41B1">
          <w:rPr>
            <w:rStyle w:val="Hyperlink"/>
          </w:rPr>
          <w:t>Domenico</w:t>
        </w:r>
        <w:proofErr w:type="spellEnd"/>
        <w:r w:rsidRPr="001E41B1">
          <w:rPr>
            <w:rStyle w:val="Hyperlink"/>
          </w:rPr>
          <w:t xml:space="preserve"> solution—</w:t>
        </w:r>
        <w:proofErr w:type="gramStart"/>
        <w:r w:rsidRPr="001E41B1">
          <w:rPr>
            <w:rStyle w:val="Hyperlink"/>
          </w:rPr>
          <w:t>Is</w:t>
        </w:r>
        <w:proofErr w:type="gramEnd"/>
        <w:r w:rsidRPr="001E41B1">
          <w:rPr>
            <w:rStyle w:val="Hyperlink"/>
          </w:rPr>
          <w:t xml:space="preserve"> it valid?</w:t>
        </w:r>
      </w:hyperlink>
      <w:r>
        <w:t xml:space="preserve">, </w:t>
      </w:r>
      <w:r>
        <w:rPr>
          <w:i/>
        </w:rPr>
        <w:t>Ground Water</w:t>
      </w:r>
      <w:r>
        <w:t>,</w:t>
      </w:r>
      <w:r w:rsidRPr="001E41B1">
        <w:rPr>
          <w:i/>
        </w:rPr>
        <w:t xml:space="preserve"> 45</w:t>
      </w:r>
      <w:r>
        <w:t>, 136–146, 2007.</w:t>
      </w:r>
    </w:p>
    <w:p w:rsidR="0050151B" w:rsidRDefault="0050151B" w:rsidP="008264CB">
      <w:pPr>
        <w:spacing w:after="120"/>
        <w:ind w:left="360" w:hanging="360"/>
      </w:pPr>
      <w:r>
        <w:t xml:space="preserve">URS, Groundwater fate and transport training course, Pennsylvania DEP, Valley Forge, PA, </w:t>
      </w:r>
      <w:proofErr w:type="gramStart"/>
      <w:r w:rsidR="001E41B1">
        <w:t>November</w:t>
      </w:r>
      <w:proofErr w:type="gramEnd"/>
      <w:r w:rsidR="00782FD8">
        <w:t xml:space="preserve"> 19,</w:t>
      </w:r>
      <w:r>
        <w:t xml:space="preserve"> 2008.</w:t>
      </w:r>
    </w:p>
    <w:p w:rsidR="004935EC" w:rsidRPr="004935EC" w:rsidRDefault="004935EC" w:rsidP="008264CB">
      <w:pPr>
        <w:spacing w:after="120"/>
        <w:ind w:left="360" w:hanging="360"/>
      </w:pPr>
      <w:proofErr w:type="gramStart"/>
      <w:r>
        <w:t>van</w:t>
      </w:r>
      <w:proofErr w:type="gramEnd"/>
      <w:r>
        <w:t xml:space="preserve"> </w:t>
      </w:r>
      <w:proofErr w:type="spellStart"/>
      <w:r>
        <w:t>Genuchten</w:t>
      </w:r>
      <w:proofErr w:type="spellEnd"/>
      <w:r>
        <w:t xml:space="preserve">, M. T., </w:t>
      </w:r>
      <w:hyperlink r:id="rId28" w:history="1">
        <w:r w:rsidRPr="000F469F">
          <w:rPr>
            <w:rStyle w:val="Hyperlink"/>
          </w:rPr>
          <w:t>Convective–dispersive transport of solutes involved in sequential first-order decay reactions</w:t>
        </w:r>
      </w:hyperlink>
      <w:r>
        <w:t xml:space="preserve">, </w:t>
      </w:r>
      <w:r>
        <w:rPr>
          <w:i/>
        </w:rPr>
        <w:t>Computers &amp; Geosciences</w:t>
      </w:r>
      <w:r>
        <w:t>,</w:t>
      </w:r>
      <w:r w:rsidRPr="000F469F">
        <w:rPr>
          <w:i/>
        </w:rPr>
        <w:t xml:space="preserve"> 11</w:t>
      </w:r>
      <w:r>
        <w:t>,</w:t>
      </w:r>
      <w:r w:rsidR="000F469F">
        <w:t xml:space="preserve"> </w:t>
      </w:r>
      <w:r>
        <w:t>129–147, 1985.</w:t>
      </w:r>
    </w:p>
    <w:p w:rsidR="00227D24" w:rsidRPr="001F6C9F" w:rsidRDefault="00E3209A" w:rsidP="008264CB">
      <w:pPr>
        <w:spacing w:after="120"/>
        <w:ind w:left="360" w:hanging="360"/>
      </w:pPr>
      <w:proofErr w:type="gramStart"/>
      <w:r w:rsidRPr="001F6C9F">
        <w:t>van</w:t>
      </w:r>
      <w:proofErr w:type="gramEnd"/>
      <w:r w:rsidRPr="001F6C9F">
        <w:t xml:space="preserve"> </w:t>
      </w:r>
      <w:proofErr w:type="spellStart"/>
      <w:r w:rsidRPr="001F6C9F">
        <w:t>Genuchten</w:t>
      </w:r>
      <w:proofErr w:type="spellEnd"/>
      <w:r w:rsidRPr="001F6C9F">
        <w:t xml:space="preserve">, M. T., and W. J. </w:t>
      </w:r>
      <w:proofErr w:type="spellStart"/>
      <w:r w:rsidRPr="001F6C9F">
        <w:t>Alves</w:t>
      </w:r>
      <w:proofErr w:type="spellEnd"/>
      <w:r w:rsidRPr="001F6C9F">
        <w:t xml:space="preserve">, </w:t>
      </w:r>
      <w:hyperlink r:id="rId29" w:history="1">
        <w:r w:rsidRPr="000F469F">
          <w:rPr>
            <w:rStyle w:val="Hyperlink"/>
            <w:i/>
          </w:rPr>
          <w:t>Analytical solutions of the one-dimensional convective–dispersive solute transport equation</w:t>
        </w:r>
      </w:hyperlink>
      <w:r w:rsidRPr="001F6C9F">
        <w:t xml:space="preserve">, </w:t>
      </w:r>
      <w:r w:rsidR="004935EC" w:rsidRPr="001F6C9F">
        <w:t xml:space="preserve">U. S. Department of Agriculture, Tech. Bull. </w:t>
      </w:r>
      <w:proofErr w:type="gramStart"/>
      <w:r w:rsidR="004935EC" w:rsidRPr="001F6C9F">
        <w:t>1661, 1982.</w:t>
      </w:r>
      <w:proofErr w:type="gramEnd"/>
    </w:p>
    <w:p w:rsidR="00B527D8" w:rsidRDefault="00B527D8" w:rsidP="008264CB">
      <w:pPr>
        <w:spacing w:after="120"/>
        <w:ind w:left="360" w:hanging="360"/>
      </w:pPr>
      <w:r>
        <w:t xml:space="preserve">West, M. R., B. H. </w:t>
      </w:r>
      <w:proofErr w:type="spellStart"/>
      <w:r>
        <w:t>Kueper</w:t>
      </w:r>
      <w:proofErr w:type="spellEnd"/>
      <w:r>
        <w:t xml:space="preserve">, and M. J. </w:t>
      </w:r>
      <w:proofErr w:type="spellStart"/>
      <w:r>
        <w:t>Ungs</w:t>
      </w:r>
      <w:proofErr w:type="spellEnd"/>
      <w:r>
        <w:t xml:space="preserve">, </w:t>
      </w:r>
      <w:hyperlink r:id="rId30" w:history="1">
        <w:proofErr w:type="gramStart"/>
        <w:r w:rsidRPr="001E41B1">
          <w:rPr>
            <w:rStyle w:val="Hyperlink"/>
          </w:rPr>
          <w:t>On</w:t>
        </w:r>
        <w:proofErr w:type="gramEnd"/>
        <w:r w:rsidRPr="001E41B1">
          <w:rPr>
            <w:rStyle w:val="Hyperlink"/>
          </w:rPr>
          <w:t xml:space="preserve"> the use and error of approximation in the </w:t>
        </w:r>
        <w:proofErr w:type="spellStart"/>
        <w:r w:rsidRPr="001E41B1">
          <w:rPr>
            <w:rStyle w:val="Hyperlink"/>
          </w:rPr>
          <w:t>Domenico</w:t>
        </w:r>
        <w:proofErr w:type="spellEnd"/>
        <w:r w:rsidRPr="001E41B1">
          <w:rPr>
            <w:rStyle w:val="Hyperlink"/>
          </w:rPr>
          <w:t xml:space="preserve"> (1987) solution</w:t>
        </w:r>
      </w:hyperlink>
      <w:r>
        <w:t xml:space="preserve">, </w:t>
      </w:r>
      <w:r>
        <w:rPr>
          <w:i/>
        </w:rPr>
        <w:t>Ground Water</w:t>
      </w:r>
      <w:r>
        <w:t>,</w:t>
      </w:r>
      <w:r w:rsidRPr="001E41B1">
        <w:rPr>
          <w:i/>
        </w:rPr>
        <w:t xml:space="preserve"> 45</w:t>
      </w:r>
      <w:r>
        <w:t>, 126–135, 2007.</w:t>
      </w:r>
    </w:p>
    <w:p w:rsidR="00F973AB" w:rsidRDefault="00F973AB" w:rsidP="008264CB">
      <w:pPr>
        <w:spacing w:after="120"/>
        <w:ind w:left="360" w:hanging="360"/>
      </w:pPr>
      <w:r>
        <w:t xml:space="preserve">Xu, M., and Y. Eckstein, </w:t>
      </w:r>
      <w:hyperlink r:id="rId31" w:history="1">
        <w:r w:rsidRPr="005D4BBC">
          <w:rPr>
            <w:rStyle w:val="Hyperlink"/>
          </w:rPr>
          <w:t xml:space="preserve">Use of weighted least squares method in evaluation of the relationship between </w:t>
        </w:r>
        <w:proofErr w:type="spellStart"/>
        <w:r w:rsidRPr="005D4BBC">
          <w:rPr>
            <w:rStyle w:val="Hyperlink"/>
          </w:rPr>
          <w:t>dispersivity</w:t>
        </w:r>
        <w:proofErr w:type="spellEnd"/>
        <w:r w:rsidRPr="005D4BBC">
          <w:rPr>
            <w:rStyle w:val="Hyperlink"/>
          </w:rPr>
          <w:t xml:space="preserve"> and field scale</w:t>
        </w:r>
      </w:hyperlink>
      <w:r>
        <w:t xml:space="preserve">, </w:t>
      </w:r>
      <w:r>
        <w:rPr>
          <w:i/>
        </w:rPr>
        <w:t>Ground Water</w:t>
      </w:r>
      <w:r>
        <w:t>,</w:t>
      </w:r>
      <w:r w:rsidRPr="005D4BBC">
        <w:rPr>
          <w:i/>
        </w:rPr>
        <w:t xml:space="preserve"> 33</w:t>
      </w:r>
      <w:r>
        <w:t>, 905–908, 1995.</w:t>
      </w:r>
    </w:p>
    <w:p w:rsidR="001220A1" w:rsidRDefault="001220A1" w:rsidP="008264CB">
      <w:pPr>
        <w:spacing w:after="120"/>
        <w:ind w:left="360" w:hanging="360"/>
      </w:pPr>
    </w:p>
    <w:p w:rsidR="001220A1" w:rsidRPr="00E73DA3" w:rsidRDefault="001220A1" w:rsidP="008264CB">
      <w:pPr>
        <w:spacing w:after="120"/>
        <w:ind w:left="360" w:hanging="360"/>
        <w:rPr>
          <w:i/>
        </w:rPr>
      </w:pPr>
      <w:r>
        <w:rPr>
          <w:i/>
        </w:rPr>
        <w:t xml:space="preserve">Note: Web links were valid as of </w:t>
      </w:r>
      <w:r w:rsidR="00782FD8">
        <w:rPr>
          <w:i/>
        </w:rPr>
        <w:t>February 24, 2014</w:t>
      </w:r>
      <w:r>
        <w:rPr>
          <w:i/>
        </w:rPr>
        <w:t>.</w:t>
      </w:r>
    </w:p>
    <w:p w:rsidR="008C7CEE" w:rsidRDefault="008C7CEE" w:rsidP="008264CB">
      <w:pPr>
        <w:spacing w:after="120"/>
        <w:ind w:left="360" w:hanging="360"/>
      </w:pPr>
    </w:p>
    <w:p w:rsidR="008C7CEE" w:rsidRDefault="008C7CEE" w:rsidP="007E0430">
      <w:pPr>
        <w:pStyle w:val="Heading1"/>
        <w:numPr>
          <w:ilvl w:val="0"/>
          <w:numId w:val="0"/>
        </w:numPr>
        <w:ind w:left="360" w:hanging="360"/>
      </w:pPr>
      <w:bookmarkStart w:id="56" w:name="_Web_Links"/>
      <w:bookmarkStart w:id="57" w:name="_Toc381357805"/>
      <w:bookmarkEnd w:id="56"/>
      <w:r>
        <w:t>Web Links</w:t>
      </w:r>
      <w:bookmarkEnd w:id="57"/>
    </w:p>
    <w:p w:rsidR="008C7CEE" w:rsidRDefault="008C7CEE" w:rsidP="008C7CEE">
      <w:pPr>
        <w:ind w:left="360" w:hanging="360"/>
      </w:pPr>
    </w:p>
    <w:p w:rsidR="008C7CEE" w:rsidRDefault="003D2C85" w:rsidP="008C7CEE">
      <w:pPr>
        <w:ind w:left="360" w:hanging="360"/>
      </w:pPr>
      <w:hyperlink r:id="rId32" w:history="1">
        <w:proofErr w:type="gramStart"/>
        <w:r w:rsidR="008C7CEE" w:rsidRPr="003F3997">
          <w:rPr>
            <w:rStyle w:val="Hyperlink"/>
          </w:rPr>
          <w:t xml:space="preserve">California Regional Water Quality Control Board—Los Angeles Region, </w:t>
        </w:r>
        <w:r w:rsidR="008C7CEE" w:rsidRPr="003F3997">
          <w:rPr>
            <w:rStyle w:val="Hyperlink"/>
            <w:i/>
          </w:rPr>
          <w:t xml:space="preserve">Manual for </w:t>
        </w:r>
        <w:proofErr w:type="spellStart"/>
        <w:r w:rsidR="008C7CEE" w:rsidRPr="003F3997">
          <w:rPr>
            <w:rStyle w:val="Hyperlink"/>
            <w:i/>
          </w:rPr>
          <w:t>Domenico</w:t>
        </w:r>
        <w:proofErr w:type="spellEnd"/>
        <w:r w:rsidR="008C7CEE" w:rsidRPr="003F3997">
          <w:rPr>
            <w:rStyle w:val="Hyperlink"/>
            <w:i/>
          </w:rPr>
          <w:t xml:space="preserve"> Non–Steady State Spreadsheet Analytical Model.</w:t>
        </w:r>
        <w:proofErr w:type="gramEnd"/>
      </w:hyperlink>
    </w:p>
    <w:p w:rsidR="008C7CEE" w:rsidRDefault="008C7CEE" w:rsidP="008C7CEE">
      <w:pPr>
        <w:ind w:left="360" w:hanging="360"/>
      </w:pPr>
    </w:p>
    <w:p w:rsidR="00EA1F4E" w:rsidRDefault="003D2C85" w:rsidP="00EA1F4E">
      <w:pPr>
        <w:ind w:left="360" w:hanging="360"/>
      </w:pPr>
      <w:hyperlink r:id="rId33" w:history="1">
        <w:proofErr w:type="gramStart"/>
        <w:r w:rsidR="00EA1F4E" w:rsidRPr="00DE24B2">
          <w:rPr>
            <w:rStyle w:val="Hyperlink"/>
          </w:rPr>
          <w:t>Commonwealth of Pennsylvania, Title 25 Pa. Code</w:t>
        </w:r>
        <w:r w:rsidR="00EA1F4E">
          <w:rPr>
            <w:rStyle w:val="Hyperlink"/>
          </w:rPr>
          <w:t>, Ch. 245, Administration of the Storage Tank and Spill Prevention Program</w:t>
        </w:r>
        <w:r w:rsidR="00EA1F4E" w:rsidRPr="00DE24B2">
          <w:rPr>
            <w:rStyle w:val="Hyperlink"/>
          </w:rPr>
          <w:t>.</w:t>
        </w:r>
        <w:proofErr w:type="gramEnd"/>
      </w:hyperlink>
    </w:p>
    <w:p w:rsidR="00EA1F4E" w:rsidRPr="008C7CEE" w:rsidRDefault="00EA1F4E" w:rsidP="008C7CEE">
      <w:pPr>
        <w:ind w:left="360" w:hanging="360"/>
      </w:pPr>
    </w:p>
    <w:p w:rsidR="008C7CEE" w:rsidRDefault="003D2C85" w:rsidP="008C7CEE">
      <w:pPr>
        <w:ind w:left="360" w:hanging="360"/>
      </w:pPr>
      <w:hyperlink r:id="rId34" w:history="1">
        <w:proofErr w:type="gramStart"/>
        <w:r w:rsidR="008C7CEE" w:rsidRPr="00DE24B2">
          <w:rPr>
            <w:rStyle w:val="Hyperlink"/>
          </w:rPr>
          <w:t>Commonwealth of Pennsylvania, Title 25 Pa. Code</w:t>
        </w:r>
        <w:r w:rsidR="00EA1F4E">
          <w:rPr>
            <w:rStyle w:val="Hyperlink"/>
          </w:rPr>
          <w:t>, Ch. 250, Administration of the Land Recycling Program (Act 2)</w:t>
        </w:r>
        <w:r w:rsidR="008C7CEE" w:rsidRPr="00DE24B2">
          <w:rPr>
            <w:rStyle w:val="Hyperlink"/>
          </w:rPr>
          <w:t>.</w:t>
        </w:r>
        <w:proofErr w:type="gramEnd"/>
      </w:hyperlink>
    </w:p>
    <w:p w:rsidR="008C7CEE" w:rsidRDefault="008C7CEE" w:rsidP="008C7CEE">
      <w:pPr>
        <w:ind w:left="360" w:hanging="360"/>
      </w:pPr>
    </w:p>
    <w:p w:rsidR="008C7CEE" w:rsidRPr="00E84543" w:rsidRDefault="00E84543" w:rsidP="008C7CEE">
      <w:pPr>
        <w:ind w:left="360" w:hanging="360"/>
        <w:rPr>
          <w:rStyle w:val="Hyperlink"/>
        </w:rPr>
      </w:pPr>
      <w:r>
        <w:fldChar w:fldCharType="begin"/>
      </w:r>
      <w:r>
        <w:instrText>HYPERLINK "http://www.depweb.state.pa.us/portal/server.pt/community/guidance___technical_tools/20583"</w:instrText>
      </w:r>
      <w:r>
        <w:fldChar w:fldCharType="separate"/>
      </w:r>
      <w:r w:rsidR="008C7CEE" w:rsidRPr="00E84543">
        <w:rPr>
          <w:rStyle w:val="Hyperlink"/>
        </w:rPr>
        <w:t>PA DEP, Land Recycling Program Technical Guidance Manual.</w:t>
      </w:r>
    </w:p>
    <w:p w:rsidR="00737D51" w:rsidRDefault="00E84543" w:rsidP="008C7CEE">
      <w:pPr>
        <w:ind w:left="360" w:hanging="360"/>
      </w:pPr>
      <w:r>
        <w:fldChar w:fldCharType="end"/>
      </w:r>
    </w:p>
    <w:p w:rsidR="00AE03B1" w:rsidRPr="00A060B3" w:rsidRDefault="00A060B3" w:rsidP="00AE03B1">
      <w:pPr>
        <w:ind w:left="360" w:hanging="360"/>
        <w:rPr>
          <w:rStyle w:val="Hyperlink"/>
        </w:rPr>
      </w:pPr>
      <w:r>
        <w:fldChar w:fldCharType="begin"/>
      </w:r>
      <w:r>
        <w:instrText xml:space="preserve"> HYPERLINK "http://www.portal.state.pa.us/portal/server.pt/community/guidance_&amp;_technical_tools/20583/Fate_&amp;_Transport_Analysis_Tools/1047636" </w:instrText>
      </w:r>
      <w:r>
        <w:fldChar w:fldCharType="separate"/>
      </w:r>
      <w:r w:rsidR="00AE03B1" w:rsidRPr="00A060B3">
        <w:rPr>
          <w:rStyle w:val="Hyperlink"/>
        </w:rPr>
        <w:t xml:space="preserve">PA DEP, Quick </w:t>
      </w:r>
      <w:proofErr w:type="spellStart"/>
      <w:r w:rsidR="00AE03B1" w:rsidRPr="00A060B3">
        <w:rPr>
          <w:rStyle w:val="Hyperlink"/>
        </w:rPr>
        <w:t>Domenico</w:t>
      </w:r>
      <w:proofErr w:type="spellEnd"/>
      <w:r w:rsidR="00AE03B1" w:rsidRPr="00A060B3">
        <w:rPr>
          <w:rStyle w:val="Hyperlink"/>
        </w:rPr>
        <w:t>.</w:t>
      </w:r>
    </w:p>
    <w:p w:rsidR="00AE03B1" w:rsidRDefault="00A060B3" w:rsidP="008C7CEE">
      <w:pPr>
        <w:ind w:left="360" w:hanging="360"/>
      </w:pPr>
      <w:r>
        <w:fldChar w:fldCharType="end"/>
      </w:r>
    </w:p>
    <w:p w:rsidR="00737D51" w:rsidRPr="004917C9" w:rsidRDefault="004917C9" w:rsidP="008C7CEE">
      <w:pPr>
        <w:ind w:left="360" w:hanging="360"/>
        <w:rPr>
          <w:rStyle w:val="Hyperlink"/>
        </w:rPr>
      </w:pPr>
      <w:r>
        <w:fldChar w:fldCharType="begin"/>
      </w:r>
      <w:r>
        <w:instrText xml:space="preserve"> HYPERLINK "http://www.sspa.com/software/bioscreen-at.html" </w:instrText>
      </w:r>
      <w:r>
        <w:fldChar w:fldCharType="separate"/>
      </w:r>
      <w:proofErr w:type="gramStart"/>
      <w:r w:rsidR="00737D51" w:rsidRPr="004917C9">
        <w:rPr>
          <w:rStyle w:val="Hyperlink"/>
        </w:rPr>
        <w:t xml:space="preserve">S. S. </w:t>
      </w:r>
      <w:proofErr w:type="spellStart"/>
      <w:r w:rsidR="00737D51" w:rsidRPr="004917C9">
        <w:rPr>
          <w:rStyle w:val="Hyperlink"/>
        </w:rPr>
        <w:t>Papadopulos</w:t>
      </w:r>
      <w:proofErr w:type="spellEnd"/>
      <w:r w:rsidR="00737D51" w:rsidRPr="004917C9">
        <w:rPr>
          <w:rStyle w:val="Hyperlink"/>
        </w:rPr>
        <w:t xml:space="preserve"> and Associates, Inc., BIOSCREEN-AT.</w:t>
      </w:r>
      <w:proofErr w:type="gramEnd"/>
    </w:p>
    <w:p w:rsidR="008C7CEE" w:rsidRDefault="004917C9" w:rsidP="008C7CEE">
      <w:pPr>
        <w:ind w:left="360" w:hanging="360"/>
      </w:pPr>
      <w:r>
        <w:fldChar w:fldCharType="end"/>
      </w:r>
    </w:p>
    <w:p w:rsidR="008C7CEE" w:rsidRDefault="003D2C85" w:rsidP="008C7CEE">
      <w:pPr>
        <w:ind w:left="360" w:hanging="360"/>
      </w:pPr>
      <w:hyperlink r:id="rId35" w:history="1">
        <w:r w:rsidR="008C7CEE" w:rsidRPr="00DE24B2">
          <w:rPr>
            <w:rStyle w:val="Hyperlink"/>
          </w:rPr>
          <w:t xml:space="preserve">US EPA, BIOCHLOR. </w:t>
        </w:r>
      </w:hyperlink>
    </w:p>
    <w:p w:rsidR="008C7CEE" w:rsidRDefault="008C7CEE" w:rsidP="008C7CEE">
      <w:pPr>
        <w:ind w:left="360" w:hanging="360"/>
      </w:pPr>
    </w:p>
    <w:p w:rsidR="008C7CEE" w:rsidRDefault="003D2C85" w:rsidP="008C7CEE">
      <w:pPr>
        <w:ind w:left="360" w:hanging="360"/>
      </w:pPr>
      <w:hyperlink r:id="rId36" w:history="1">
        <w:r w:rsidR="008C7CEE" w:rsidRPr="00DE24B2">
          <w:rPr>
            <w:rStyle w:val="Hyperlink"/>
          </w:rPr>
          <w:t>US EPA, BIOSCREEN.</w:t>
        </w:r>
      </w:hyperlink>
    </w:p>
    <w:p w:rsidR="008C7CEE" w:rsidRDefault="008C7CEE" w:rsidP="008C7CEE">
      <w:pPr>
        <w:ind w:left="360" w:hanging="360"/>
      </w:pPr>
    </w:p>
    <w:p w:rsidR="00AE03B1" w:rsidRPr="004917C9" w:rsidRDefault="004917C9" w:rsidP="00AE03B1">
      <w:pPr>
        <w:ind w:left="360" w:hanging="360"/>
        <w:rPr>
          <w:rStyle w:val="Hyperlink"/>
        </w:rPr>
      </w:pPr>
      <w:r>
        <w:fldChar w:fldCharType="begin"/>
      </w:r>
      <w:r>
        <w:instrText xml:space="preserve"> HYPERLINK "http://www.epa.gov/ada/csmos/" </w:instrText>
      </w:r>
      <w:r>
        <w:fldChar w:fldCharType="separate"/>
      </w:r>
      <w:r w:rsidR="00AE03B1" w:rsidRPr="004917C9">
        <w:rPr>
          <w:rStyle w:val="Hyperlink"/>
        </w:rPr>
        <w:t>US EPA, Center for Subsurface Modeling Support.</w:t>
      </w:r>
    </w:p>
    <w:p w:rsidR="00AE03B1" w:rsidRDefault="004917C9" w:rsidP="00FC7354">
      <w:pPr>
        <w:ind w:left="360" w:hanging="360"/>
      </w:pPr>
      <w:r>
        <w:fldChar w:fldCharType="end"/>
      </w:r>
    </w:p>
    <w:p w:rsidR="00FC7354" w:rsidRPr="00FC7354" w:rsidRDefault="00FC7354" w:rsidP="00FC7354">
      <w:pPr>
        <w:ind w:left="360" w:hanging="360"/>
        <w:rPr>
          <w:rStyle w:val="Hyperlink"/>
        </w:rPr>
      </w:pPr>
      <w:r>
        <w:fldChar w:fldCharType="begin"/>
      </w:r>
      <w:r>
        <w:instrText xml:space="preserve"> HYPERLINK "http://www.epa.gov/nrmrl/gwerd/csmos/models/footprint.html" </w:instrText>
      </w:r>
      <w:r>
        <w:fldChar w:fldCharType="separate"/>
      </w:r>
      <w:r w:rsidRPr="00FC7354">
        <w:rPr>
          <w:rStyle w:val="Hyperlink"/>
        </w:rPr>
        <w:t xml:space="preserve">US EPA, </w:t>
      </w:r>
      <w:proofErr w:type="spellStart"/>
      <w:r w:rsidRPr="00FC7354">
        <w:rPr>
          <w:rStyle w:val="Hyperlink"/>
        </w:rPr>
        <w:t>FootPrint</w:t>
      </w:r>
      <w:proofErr w:type="spellEnd"/>
      <w:r w:rsidRPr="00FC7354">
        <w:rPr>
          <w:rStyle w:val="Hyperlink"/>
        </w:rPr>
        <w:t>.</w:t>
      </w:r>
    </w:p>
    <w:p w:rsidR="00A27877" w:rsidRDefault="00FC7354" w:rsidP="008C7CEE">
      <w:pPr>
        <w:ind w:left="360" w:hanging="360"/>
      </w:pPr>
      <w:r>
        <w:fldChar w:fldCharType="end"/>
      </w:r>
    </w:p>
    <w:p w:rsidR="00F90C68" w:rsidRPr="008C7CEE" w:rsidRDefault="003D2C85" w:rsidP="008C7CEE">
      <w:pPr>
        <w:ind w:left="360" w:hanging="360"/>
      </w:pPr>
      <w:hyperlink r:id="rId37" w:history="1">
        <w:proofErr w:type="gramStart"/>
        <w:r w:rsidR="00F90C68" w:rsidRPr="00F90C68">
          <w:rPr>
            <w:rStyle w:val="Hyperlink"/>
          </w:rPr>
          <w:t>US EPA, On-Site calculators</w:t>
        </w:r>
      </w:hyperlink>
      <w:r w:rsidR="00F90C68">
        <w:t>.</w:t>
      </w:r>
      <w:proofErr w:type="gramEnd"/>
    </w:p>
    <w:p w:rsidR="008C7CEE" w:rsidRDefault="008C7CEE" w:rsidP="008C7CEE">
      <w:pPr>
        <w:ind w:left="360" w:hanging="360"/>
      </w:pPr>
    </w:p>
    <w:p w:rsidR="00D32F3A" w:rsidRDefault="003D2C85" w:rsidP="008C7CEE">
      <w:pPr>
        <w:ind w:left="360" w:hanging="360"/>
      </w:pPr>
      <w:hyperlink r:id="rId38" w:history="1">
        <w:r w:rsidR="00D32F3A" w:rsidRPr="00D32F3A">
          <w:rPr>
            <w:rStyle w:val="Hyperlink"/>
          </w:rPr>
          <w:t>USGS Pennsylvania Water Science Center</w:t>
        </w:r>
      </w:hyperlink>
    </w:p>
    <w:p w:rsidR="006A688A" w:rsidRDefault="006A688A"/>
    <w:p w:rsidR="001220A1" w:rsidRPr="00DF6A13" w:rsidRDefault="001220A1" w:rsidP="001220A1">
      <w:pPr>
        <w:spacing w:after="120"/>
        <w:ind w:left="360" w:hanging="360"/>
        <w:rPr>
          <w:i/>
        </w:rPr>
      </w:pPr>
      <w:r>
        <w:rPr>
          <w:i/>
        </w:rPr>
        <w:t xml:space="preserve">Note: Web links were valid as of </w:t>
      </w:r>
      <w:r w:rsidR="00AC7F3E">
        <w:rPr>
          <w:i/>
        </w:rPr>
        <w:t>February 24, 2014</w:t>
      </w:r>
      <w:r>
        <w:rPr>
          <w:i/>
        </w:rPr>
        <w:t>.</w:t>
      </w:r>
    </w:p>
    <w:p w:rsidR="001220A1" w:rsidRDefault="001220A1">
      <w:pPr>
        <w:sectPr w:rsidR="001220A1" w:rsidSect="009C278C">
          <w:footerReference w:type="default" r:id="rId39"/>
          <w:pgSz w:w="12240" w:h="15840" w:code="1"/>
          <w:pgMar w:top="1440" w:right="1440" w:bottom="1440" w:left="1440" w:header="720" w:footer="720" w:gutter="0"/>
          <w:pgNumType w:start="1"/>
          <w:cols w:space="720"/>
          <w:docGrid w:linePitch="360"/>
        </w:sectPr>
      </w:pPr>
    </w:p>
    <w:p w:rsidR="0030449D" w:rsidRDefault="006A688A" w:rsidP="00E5652D">
      <w:pPr>
        <w:pStyle w:val="Appendix1"/>
      </w:pPr>
      <w:bookmarkStart w:id="58" w:name="App1"/>
      <w:bookmarkStart w:id="59" w:name="_Toc381357806"/>
      <w:bookmarkEnd w:id="58"/>
      <w:r>
        <w:lastRenderedPageBreak/>
        <w:t>QD Model Background</w:t>
      </w:r>
      <w:bookmarkEnd w:id="59"/>
    </w:p>
    <w:p w:rsidR="006A688A" w:rsidRDefault="006A688A"/>
    <w:p w:rsidR="00785E1E" w:rsidRPr="00E73DA3" w:rsidRDefault="00785E1E" w:rsidP="00785E1E">
      <w:pPr>
        <w:tabs>
          <w:tab w:val="left" w:pos="900"/>
        </w:tabs>
        <w:rPr>
          <w:rFonts w:ascii="Arial" w:hAnsi="Arial" w:cs="Arial"/>
          <w:b/>
          <w:sz w:val="28"/>
        </w:rPr>
      </w:pPr>
      <w:r w:rsidRPr="00E73DA3">
        <w:rPr>
          <w:rFonts w:ascii="Arial" w:hAnsi="Arial" w:cs="Arial"/>
          <w:b/>
          <w:sz w:val="28"/>
        </w:rPr>
        <w:t>A</w:t>
      </w:r>
      <w:r>
        <w:rPr>
          <w:rFonts w:ascii="Arial" w:hAnsi="Arial" w:cs="Arial"/>
          <w:b/>
          <w:sz w:val="28"/>
        </w:rPr>
        <w:t>1</w:t>
      </w:r>
      <w:r w:rsidRPr="00E73DA3">
        <w:rPr>
          <w:rFonts w:ascii="Arial" w:hAnsi="Arial" w:cs="Arial"/>
          <w:b/>
          <w:sz w:val="28"/>
        </w:rPr>
        <w:t>.1.</w:t>
      </w:r>
      <w:r w:rsidRPr="00E73DA3">
        <w:rPr>
          <w:rFonts w:ascii="Arial" w:hAnsi="Arial" w:cs="Arial"/>
          <w:b/>
          <w:sz w:val="28"/>
        </w:rPr>
        <w:tab/>
      </w:r>
      <w:r>
        <w:rPr>
          <w:rFonts w:ascii="Arial" w:hAnsi="Arial" w:cs="Arial"/>
          <w:b/>
          <w:sz w:val="28"/>
        </w:rPr>
        <w:t>Model Derivation</w:t>
      </w:r>
    </w:p>
    <w:p w:rsidR="006A688A" w:rsidRDefault="009623B9" w:rsidP="00F80634">
      <w:pPr>
        <w:tabs>
          <w:tab w:val="right" w:pos="9360"/>
        </w:tabs>
      </w:pPr>
      <w:proofErr w:type="spellStart"/>
      <w:r>
        <w:rPr>
          <w:i/>
        </w:rPr>
        <w:t>Domenico</w:t>
      </w:r>
      <w:proofErr w:type="spellEnd"/>
      <w:r>
        <w:t xml:space="preserve"> [1987] published a solution to the three-dimensional differential equation for solute transport in a saturated porous medium with uniform steady-state flow, one-dimensional </w:t>
      </w:r>
      <w:proofErr w:type="gramStart"/>
      <w:r>
        <w:t>advection,</w:t>
      </w:r>
      <w:proofErr w:type="gramEnd"/>
      <w:r>
        <w:t xml:space="preserve"> three-dimensional dispersion, adsorption, and first-order decay</w:t>
      </w:r>
      <w:r w:rsidR="00FD3F25">
        <w:t xml:space="preserve"> [</w:t>
      </w:r>
      <w:r w:rsidR="00FD3F25" w:rsidRPr="00E3209A">
        <w:rPr>
          <w:i/>
        </w:rPr>
        <w:t xml:space="preserve">van </w:t>
      </w:r>
      <w:proofErr w:type="spellStart"/>
      <w:r w:rsidR="00FD3F25" w:rsidRPr="00E3209A">
        <w:rPr>
          <w:i/>
        </w:rPr>
        <w:t>Genuchten</w:t>
      </w:r>
      <w:proofErr w:type="spellEnd"/>
      <w:r w:rsidR="00FD3F25">
        <w:t>, 1985]</w:t>
      </w:r>
      <w:r>
        <w:t>:</w:t>
      </w:r>
    </w:p>
    <w:p w:rsidR="00A91281" w:rsidRDefault="00F80634" w:rsidP="00F80634">
      <w:pPr>
        <w:tabs>
          <w:tab w:val="right" w:pos="9360"/>
        </w:tabs>
      </w:pPr>
      <w:r w:rsidRPr="00727A37">
        <w:rPr>
          <w:position w:val="-30"/>
        </w:rPr>
        <w:object w:dxaOrig="7500" w:dyaOrig="720">
          <v:shape id="_x0000_i1027" type="#_x0000_t75" style="width:375pt;height:36pt" o:ole="">
            <v:imagedata r:id="rId40" o:title=""/>
          </v:shape>
          <o:OLEObject Type="Embed" ProgID="Equation.3" ShapeID="_x0000_i1027" DrawAspect="Content" ObjectID="_1456567191" r:id="rId41"/>
        </w:object>
      </w:r>
      <w:r>
        <w:tab/>
        <w:t>(</w:t>
      </w:r>
      <w:r w:rsidR="009778E7">
        <w:t>A</w:t>
      </w:r>
      <w:r>
        <w:t>1-1)</w:t>
      </w:r>
    </w:p>
    <w:p w:rsidR="00F80634" w:rsidRDefault="00F80634" w:rsidP="00F80634">
      <w:pPr>
        <w:tabs>
          <w:tab w:val="right" w:pos="9360"/>
        </w:tabs>
      </w:pPr>
      <w:proofErr w:type="gramStart"/>
      <w:r>
        <w:t>where</w:t>
      </w:r>
      <w:proofErr w:type="gramEnd"/>
      <w:r>
        <w:t>:</w:t>
      </w:r>
    </w:p>
    <w:p w:rsidR="00F248B0" w:rsidRDefault="00F248B0" w:rsidP="00F80634">
      <w:pPr>
        <w:tabs>
          <w:tab w:val="right" w:pos="9360"/>
        </w:tabs>
      </w:pPr>
    </w:p>
    <w:p w:rsidR="00F248B0" w:rsidRPr="00F248B0" w:rsidRDefault="00F248B0" w:rsidP="00F80634">
      <w:pPr>
        <w:tabs>
          <w:tab w:val="right" w:pos="9360"/>
        </w:tabs>
        <w:rPr>
          <w:b/>
        </w:rPr>
      </w:pPr>
      <w:r>
        <w:rPr>
          <w:b/>
        </w:rPr>
        <w:t>Table A1.1.</w:t>
      </w:r>
    </w:p>
    <w:tbl>
      <w:tblPr>
        <w:tblW w:w="0" w:type="auto"/>
        <w:tblBorders>
          <w:top w:val="single" w:sz="4" w:space="0" w:color="auto"/>
          <w:bottom w:val="single" w:sz="4" w:space="0" w:color="auto"/>
        </w:tblBorders>
        <w:tblLook w:val="01E0" w:firstRow="1" w:lastRow="1" w:firstColumn="1" w:lastColumn="1" w:noHBand="0" w:noVBand="0"/>
      </w:tblPr>
      <w:tblGrid>
        <w:gridCol w:w="990"/>
        <w:gridCol w:w="3515"/>
        <w:gridCol w:w="863"/>
      </w:tblGrid>
      <w:tr w:rsidR="00F80634" w:rsidRPr="006F405C" w:rsidTr="0083747A">
        <w:tc>
          <w:tcPr>
            <w:tcW w:w="0" w:type="auto"/>
            <w:tcBorders>
              <w:bottom w:val="single" w:sz="4" w:space="0" w:color="auto"/>
            </w:tcBorders>
            <w:shd w:val="clear" w:color="auto" w:fill="F2F2F2" w:themeFill="background1" w:themeFillShade="F2"/>
          </w:tcPr>
          <w:p w:rsidR="00F80634" w:rsidRPr="006F405C" w:rsidRDefault="00F80634" w:rsidP="006F405C">
            <w:pPr>
              <w:tabs>
                <w:tab w:val="right" w:pos="9360"/>
              </w:tabs>
              <w:rPr>
                <w:b/>
              </w:rPr>
            </w:pPr>
            <w:r w:rsidRPr="006F405C">
              <w:rPr>
                <w:b/>
              </w:rPr>
              <w:t>Symbol</w:t>
            </w:r>
          </w:p>
        </w:tc>
        <w:tc>
          <w:tcPr>
            <w:tcW w:w="0" w:type="auto"/>
            <w:tcBorders>
              <w:bottom w:val="single" w:sz="4" w:space="0" w:color="auto"/>
            </w:tcBorders>
            <w:shd w:val="clear" w:color="auto" w:fill="F2F2F2" w:themeFill="background1" w:themeFillShade="F2"/>
          </w:tcPr>
          <w:p w:rsidR="00F80634" w:rsidRPr="006F405C" w:rsidRDefault="00F80634" w:rsidP="006F405C">
            <w:pPr>
              <w:tabs>
                <w:tab w:val="right" w:pos="9360"/>
              </w:tabs>
              <w:rPr>
                <w:b/>
              </w:rPr>
            </w:pPr>
            <w:r w:rsidRPr="006F405C">
              <w:rPr>
                <w:b/>
              </w:rPr>
              <w:t>Definition</w:t>
            </w:r>
          </w:p>
        </w:tc>
        <w:tc>
          <w:tcPr>
            <w:tcW w:w="0" w:type="auto"/>
            <w:tcBorders>
              <w:bottom w:val="single" w:sz="4" w:space="0" w:color="auto"/>
            </w:tcBorders>
            <w:shd w:val="clear" w:color="auto" w:fill="F2F2F2" w:themeFill="background1" w:themeFillShade="F2"/>
          </w:tcPr>
          <w:p w:rsidR="00F80634" w:rsidRPr="006F405C" w:rsidRDefault="00F80634" w:rsidP="006F405C">
            <w:pPr>
              <w:tabs>
                <w:tab w:val="right" w:pos="9360"/>
              </w:tabs>
              <w:jc w:val="center"/>
              <w:rPr>
                <w:b/>
              </w:rPr>
            </w:pPr>
            <w:r w:rsidRPr="006F405C">
              <w:rPr>
                <w:b/>
              </w:rPr>
              <w:t>Units</w:t>
            </w:r>
          </w:p>
        </w:tc>
      </w:tr>
      <w:tr w:rsidR="00F80634" w:rsidTr="006F405C">
        <w:tc>
          <w:tcPr>
            <w:tcW w:w="0" w:type="auto"/>
            <w:shd w:val="clear" w:color="auto" w:fill="auto"/>
          </w:tcPr>
          <w:p w:rsidR="00F80634" w:rsidRPr="006F405C" w:rsidRDefault="00F80634" w:rsidP="006F405C">
            <w:pPr>
              <w:tabs>
                <w:tab w:val="right" w:pos="9360"/>
              </w:tabs>
              <w:rPr>
                <w:i/>
              </w:rPr>
            </w:pPr>
            <w:r w:rsidRPr="006F405C">
              <w:rPr>
                <w:i/>
              </w:rPr>
              <w:t>C</w:t>
            </w:r>
          </w:p>
        </w:tc>
        <w:tc>
          <w:tcPr>
            <w:tcW w:w="0" w:type="auto"/>
            <w:shd w:val="clear" w:color="auto" w:fill="auto"/>
          </w:tcPr>
          <w:p w:rsidR="00F80634" w:rsidRDefault="00F80634" w:rsidP="006F405C">
            <w:pPr>
              <w:tabs>
                <w:tab w:val="right" w:pos="9360"/>
              </w:tabs>
            </w:pPr>
            <w:r>
              <w:t>solute concentration</w:t>
            </w:r>
          </w:p>
        </w:tc>
        <w:tc>
          <w:tcPr>
            <w:tcW w:w="0" w:type="auto"/>
            <w:shd w:val="clear" w:color="auto" w:fill="auto"/>
          </w:tcPr>
          <w:p w:rsidR="00F80634" w:rsidRPr="006F405C" w:rsidRDefault="00F80634" w:rsidP="006F405C">
            <w:pPr>
              <w:tabs>
                <w:tab w:val="right" w:pos="9360"/>
              </w:tabs>
              <w:jc w:val="center"/>
              <w:rPr>
                <w:vertAlign w:val="superscript"/>
              </w:rPr>
            </w:pPr>
            <w:r>
              <w:t>M L</w:t>
            </w:r>
            <w:r w:rsidRPr="006F405C">
              <w:rPr>
                <w:vertAlign w:val="superscript"/>
              </w:rPr>
              <w:t>–3</w:t>
            </w:r>
          </w:p>
        </w:tc>
      </w:tr>
      <w:tr w:rsidR="00F80634" w:rsidTr="006F405C">
        <w:tc>
          <w:tcPr>
            <w:tcW w:w="0" w:type="auto"/>
            <w:shd w:val="clear" w:color="auto" w:fill="auto"/>
          </w:tcPr>
          <w:p w:rsidR="00F80634" w:rsidRPr="00F80634" w:rsidRDefault="00F80634" w:rsidP="006F405C">
            <w:pPr>
              <w:tabs>
                <w:tab w:val="right" w:pos="9360"/>
              </w:tabs>
            </w:pPr>
            <w:r w:rsidRPr="006F405C">
              <w:rPr>
                <w:i/>
              </w:rPr>
              <w:t>S</w:t>
            </w:r>
          </w:p>
        </w:tc>
        <w:tc>
          <w:tcPr>
            <w:tcW w:w="0" w:type="auto"/>
            <w:shd w:val="clear" w:color="auto" w:fill="auto"/>
          </w:tcPr>
          <w:p w:rsidR="00F80634" w:rsidRDefault="00F80634" w:rsidP="006F405C">
            <w:pPr>
              <w:tabs>
                <w:tab w:val="right" w:pos="9360"/>
              </w:tabs>
            </w:pPr>
            <w:r>
              <w:t>adsorbed concentration</w:t>
            </w:r>
          </w:p>
        </w:tc>
        <w:tc>
          <w:tcPr>
            <w:tcW w:w="0" w:type="auto"/>
            <w:shd w:val="clear" w:color="auto" w:fill="auto"/>
          </w:tcPr>
          <w:p w:rsidR="00F80634" w:rsidRPr="006F405C" w:rsidRDefault="00F80634" w:rsidP="006F405C">
            <w:pPr>
              <w:tabs>
                <w:tab w:val="right" w:pos="9360"/>
              </w:tabs>
              <w:jc w:val="center"/>
              <w:rPr>
                <w:vertAlign w:val="superscript"/>
              </w:rPr>
            </w:pPr>
            <w:r>
              <w:t>M M</w:t>
            </w:r>
            <w:r w:rsidRPr="006F405C">
              <w:rPr>
                <w:vertAlign w:val="superscript"/>
              </w:rPr>
              <w:t>–1</w:t>
            </w:r>
          </w:p>
        </w:tc>
      </w:tr>
      <w:tr w:rsidR="00F80634" w:rsidTr="006F405C">
        <w:tc>
          <w:tcPr>
            <w:tcW w:w="0" w:type="auto"/>
            <w:shd w:val="clear" w:color="auto" w:fill="auto"/>
          </w:tcPr>
          <w:p w:rsidR="00F80634" w:rsidRPr="006F405C" w:rsidRDefault="00F80634" w:rsidP="006F405C">
            <w:pPr>
              <w:tabs>
                <w:tab w:val="right" w:pos="9360"/>
              </w:tabs>
              <w:rPr>
                <w:vertAlign w:val="subscript"/>
              </w:rPr>
            </w:pPr>
            <w:r w:rsidRPr="006F405C">
              <w:rPr>
                <w:i/>
              </w:rPr>
              <w:t>n</w:t>
            </w:r>
            <w:r w:rsidRPr="006F405C">
              <w:rPr>
                <w:vertAlign w:val="subscript"/>
              </w:rPr>
              <w:t>e</w:t>
            </w:r>
          </w:p>
        </w:tc>
        <w:tc>
          <w:tcPr>
            <w:tcW w:w="0" w:type="auto"/>
            <w:shd w:val="clear" w:color="auto" w:fill="auto"/>
          </w:tcPr>
          <w:p w:rsidR="00F80634" w:rsidRDefault="00F80634" w:rsidP="006F405C">
            <w:pPr>
              <w:tabs>
                <w:tab w:val="right" w:pos="9360"/>
              </w:tabs>
            </w:pPr>
            <w:r>
              <w:t>effective porosity</w:t>
            </w:r>
          </w:p>
        </w:tc>
        <w:tc>
          <w:tcPr>
            <w:tcW w:w="0" w:type="auto"/>
            <w:shd w:val="clear" w:color="auto" w:fill="auto"/>
          </w:tcPr>
          <w:p w:rsidR="00F80634" w:rsidRPr="006F405C" w:rsidRDefault="00F80634" w:rsidP="006F405C">
            <w:pPr>
              <w:tabs>
                <w:tab w:val="right" w:pos="9360"/>
              </w:tabs>
              <w:jc w:val="center"/>
              <w:rPr>
                <w:vertAlign w:val="superscript"/>
              </w:rPr>
            </w:pPr>
            <w:r>
              <w:t>L</w:t>
            </w:r>
            <w:r w:rsidRPr="006F405C">
              <w:rPr>
                <w:vertAlign w:val="superscript"/>
              </w:rPr>
              <w:t>3</w:t>
            </w:r>
            <w:r>
              <w:t xml:space="preserve"> L</w:t>
            </w:r>
            <w:r w:rsidRPr="006F405C">
              <w:rPr>
                <w:vertAlign w:val="superscript"/>
              </w:rPr>
              <w:t>–3</w:t>
            </w:r>
          </w:p>
        </w:tc>
      </w:tr>
      <w:tr w:rsidR="00F80634" w:rsidTr="006F405C">
        <w:tc>
          <w:tcPr>
            <w:tcW w:w="0" w:type="auto"/>
            <w:shd w:val="clear" w:color="auto" w:fill="auto"/>
          </w:tcPr>
          <w:p w:rsidR="00F80634" w:rsidRPr="006F405C" w:rsidRDefault="00F80634" w:rsidP="006F405C">
            <w:pPr>
              <w:tabs>
                <w:tab w:val="right" w:pos="9360"/>
              </w:tabs>
              <w:rPr>
                <w:rFonts w:ascii="Symbol" w:hAnsi="Symbol"/>
                <w:i/>
              </w:rPr>
            </w:pPr>
            <w:r w:rsidRPr="006F405C">
              <w:rPr>
                <w:rFonts w:ascii="Symbol" w:hAnsi="Symbol"/>
                <w:i/>
              </w:rPr>
              <w:t></w:t>
            </w:r>
          </w:p>
        </w:tc>
        <w:tc>
          <w:tcPr>
            <w:tcW w:w="0" w:type="auto"/>
            <w:shd w:val="clear" w:color="auto" w:fill="auto"/>
          </w:tcPr>
          <w:p w:rsidR="00F80634" w:rsidRDefault="00F80634" w:rsidP="006F405C">
            <w:pPr>
              <w:tabs>
                <w:tab w:val="right" w:pos="9360"/>
              </w:tabs>
            </w:pPr>
            <w:r>
              <w:t>bulk density</w:t>
            </w:r>
          </w:p>
        </w:tc>
        <w:tc>
          <w:tcPr>
            <w:tcW w:w="0" w:type="auto"/>
            <w:shd w:val="clear" w:color="auto" w:fill="auto"/>
          </w:tcPr>
          <w:p w:rsidR="00F80634" w:rsidRPr="006F405C" w:rsidRDefault="00F80634" w:rsidP="006F405C">
            <w:pPr>
              <w:tabs>
                <w:tab w:val="right" w:pos="9360"/>
              </w:tabs>
              <w:jc w:val="center"/>
              <w:rPr>
                <w:vertAlign w:val="superscript"/>
              </w:rPr>
            </w:pPr>
            <w:r>
              <w:t>M L</w:t>
            </w:r>
            <w:r w:rsidRPr="006F405C">
              <w:rPr>
                <w:vertAlign w:val="superscript"/>
              </w:rPr>
              <w:t>–3</w:t>
            </w:r>
          </w:p>
        </w:tc>
      </w:tr>
      <w:tr w:rsidR="00F80634" w:rsidTr="006F405C">
        <w:tc>
          <w:tcPr>
            <w:tcW w:w="0" w:type="auto"/>
            <w:shd w:val="clear" w:color="auto" w:fill="auto"/>
          </w:tcPr>
          <w:p w:rsidR="00F80634" w:rsidRPr="006F405C" w:rsidRDefault="00F80634" w:rsidP="006F405C">
            <w:pPr>
              <w:tabs>
                <w:tab w:val="right" w:pos="9360"/>
              </w:tabs>
              <w:rPr>
                <w:i/>
                <w:vertAlign w:val="subscript"/>
              </w:rPr>
            </w:pPr>
            <w:r w:rsidRPr="006F405C">
              <w:rPr>
                <w:i/>
              </w:rPr>
              <w:t>D</w:t>
            </w:r>
            <w:r w:rsidRPr="006F405C">
              <w:rPr>
                <w:i/>
                <w:vertAlign w:val="subscript"/>
              </w:rPr>
              <w:t>i</w:t>
            </w:r>
          </w:p>
        </w:tc>
        <w:tc>
          <w:tcPr>
            <w:tcW w:w="0" w:type="auto"/>
            <w:shd w:val="clear" w:color="auto" w:fill="auto"/>
          </w:tcPr>
          <w:p w:rsidR="00F80634" w:rsidRDefault="00F80634" w:rsidP="006F405C">
            <w:pPr>
              <w:tabs>
                <w:tab w:val="right" w:pos="9360"/>
              </w:tabs>
            </w:pPr>
            <w:r>
              <w:t>coefficients of dispersion</w:t>
            </w:r>
          </w:p>
        </w:tc>
        <w:tc>
          <w:tcPr>
            <w:tcW w:w="0" w:type="auto"/>
            <w:shd w:val="clear" w:color="auto" w:fill="auto"/>
          </w:tcPr>
          <w:p w:rsidR="00F80634" w:rsidRPr="006F405C" w:rsidRDefault="00F80634" w:rsidP="006F405C">
            <w:pPr>
              <w:tabs>
                <w:tab w:val="right" w:pos="9360"/>
              </w:tabs>
              <w:jc w:val="center"/>
              <w:rPr>
                <w:vertAlign w:val="superscript"/>
              </w:rPr>
            </w:pPr>
            <w:r>
              <w:t>L</w:t>
            </w:r>
            <w:r w:rsidRPr="006F405C">
              <w:rPr>
                <w:vertAlign w:val="superscript"/>
              </w:rPr>
              <w:t>2</w:t>
            </w:r>
            <w:r>
              <w:t xml:space="preserve"> T</w:t>
            </w:r>
            <w:r w:rsidRPr="006F405C">
              <w:rPr>
                <w:vertAlign w:val="superscript"/>
              </w:rPr>
              <w:t>–1</w:t>
            </w:r>
          </w:p>
        </w:tc>
      </w:tr>
      <w:tr w:rsidR="00F80634" w:rsidTr="006F405C">
        <w:tc>
          <w:tcPr>
            <w:tcW w:w="0" w:type="auto"/>
            <w:shd w:val="clear" w:color="auto" w:fill="auto"/>
          </w:tcPr>
          <w:p w:rsidR="00F80634" w:rsidRPr="006F405C" w:rsidRDefault="00F80634" w:rsidP="006F405C">
            <w:pPr>
              <w:tabs>
                <w:tab w:val="right" w:pos="9360"/>
              </w:tabs>
              <w:rPr>
                <w:i/>
              </w:rPr>
            </w:pPr>
            <w:r w:rsidRPr="006F405C">
              <w:rPr>
                <w:i/>
              </w:rPr>
              <w:t>q</w:t>
            </w:r>
          </w:p>
        </w:tc>
        <w:tc>
          <w:tcPr>
            <w:tcW w:w="0" w:type="auto"/>
            <w:shd w:val="clear" w:color="auto" w:fill="auto"/>
          </w:tcPr>
          <w:p w:rsidR="00F80634" w:rsidRDefault="00F80634" w:rsidP="006F405C">
            <w:pPr>
              <w:tabs>
                <w:tab w:val="right" w:pos="9360"/>
              </w:tabs>
            </w:pPr>
            <w:r>
              <w:t>groundwater flux</w:t>
            </w:r>
            <w:r w:rsidR="003F730C">
              <w:t xml:space="preserve"> (Darcy velocity)</w:t>
            </w:r>
          </w:p>
        </w:tc>
        <w:tc>
          <w:tcPr>
            <w:tcW w:w="0" w:type="auto"/>
            <w:shd w:val="clear" w:color="auto" w:fill="auto"/>
          </w:tcPr>
          <w:p w:rsidR="00F80634" w:rsidRPr="006F405C" w:rsidRDefault="00F80634" w:rsidP="006F405C">
            <w:pPr>
              <w:tabs>
                <w:tab w:val="right" w:pos="9360"/>
              </w:tabs>
              <w:jc w:val="center"/>
              <w:rPr>
                <w:vertAlign w:val="superscript"/>
              </w:rPr>
            </w:pPr>
            <w:r>
              <w:t>L T</w:t>
            </w:r>
            <w:r w:rsidRPr="006F405C">
              <w:rPr>
                <w:vertAlign w:val="superscript"/>
              </w:rPr>
              <w:t>–1</w:t>
            </w:r>
          </w:p>
        </w:tc>
      </w:tr>
      <w:tr w:rsidR="00F80634" w:rsidTr="006F405C">
        <w:tc>
          <w:tcPr>
            <w:tcW w:w="0" w:type="auto"/>
            <w:shd w:val="clear" w:color="auto" w:fill="auto"/>
          </w:tcPr>
          <w:p w:rsidR="00F80634" w:rsidRPr="006F405C" w:rsidRDefault="00F80634" w:rsidP="006F405C">
            <w:pPr>
              <w:tabs>
                <w:tab w:val="right" w:pos="9360"/>
              </w:tabs>
              <w:rPr>
                <w:rFonts w:ascii="Symbol" w:hAnsi="Symbol"/>
                <w:vertAlign w:val="subscript"/>
              </w:rPr>
            </w:pPr>
            <w:r w:rsidRPr="006F405C">
              <w:rPr>
                <w:rFonts w:ascii="Symbol" w:hAnsi="Symbol"/>
                <w:i/>
              </w:rPr>
              <w:t></w:t>
            </w:r>
            <w:r w:rsidRPr="006F405C">
              <w:rPr>
                <w:vertAlign w:val="subscript"/>
              </w:rPr>
              <w:t>w</w:t>
            </w:r>
          </w:p>
        </w:tc>
        <w:tc>
          <w:tcPr>
            <w:tcW w:w="0" w:type="auto"/>
            <w:shd w:val="clear" w:color="auto" w:fill="auto"/>
          </w:tcPr>
          <w:p w:rsidR="00F80634" w:rsidRDefault="00F80634" w:rsidP="006F405C">
            <w:pPr>
              <w:tabs>
                <w:tab w:val="right" w:pos="9360"/>
              </w:tabs>
            </w:pPr>
            <w:r>
              <w:t>water decay coefficient</w:t>
            </w:r>
          </w:p>
        </w:tc>
        <w:tc>
          <w:tcPr>
            <w:tcW w:w="0" w:type="auto"/>
            <w:shd w:val="clear" w:color="auto" w:fill="auto"/>
          </w:tcPr>
          <w:p w:rsidR="00F80634" w:rsidRPr="006F405C" w:rsidRDefault="00F80634" w:rsidP="006F405C">
            <w:pPr>
              <w:tabs>
                <w:tab w:val="right" w:pos="9360"/>
              </w:tabs>
              <w:jc w:val="center"/>
              <w:rPr>
                <w:vertAlign w:val="superscript"/>
              </w:rPr>
            </w:pPr>
            <w:r>
              <w:t>T</w:t>
            </w:r>
            <w:r w:rsidRPr="006F405C">
              <w:rPr>
                <w:vertAlign w:val="superscript"/>
              </w:rPr>
              <w:t>–1</w:t>
            </w:r>
          </w:p>
        </w:tc>
      </w:tr>
      <w:tr w:rsidR="00F80634" w:rsidTr="006F405C">
        <w:tc>
          <w:tcPr>
            <w:tcW w:w="0" w:type="auto"/>
            <w:shd w:val="clear" w:color="auto" w:fill="auto"/>
          </w:tcPr>
          <w:p w:rsidR="00F80634" w:rsidRDefault="00F80634" w:rsidP="006F405C">
            <w:pPr>
              <w:tabs>
                <w:tab w:val="right" w:pos="9360"/>
              </w:tabs>
            </w:pPr>
            <w:r w:rsidRPr="006F405C">
              <w:rPr>
                <w:rFonts w:ascii="Symbol" w:hAnsi="Symbol"/>
                <w:i/>
              </w:rPr>
              <w:t></w:t>
            </w:r>
            <w:r w:rsidRPr="006F405C">
              <w:rPr>
                <w:vertAlign w:val="subscript"/>
              </w:rPr>
              <w:t>s</w:t>
            </w:r>
          </w:p>
        </w:tc>
        <w:tc>
          <w:tcPr>
            <w:tcW w:w="0" w:type="auto"/>
            <w:shd w:val="clear" w:color="auto" w:fill="auto"/>
          </w:tcPr>
          <w:p w:rsidR="00F80634" w:rsidRDefault="00F80634" w:rsidP="006F405C">
            <w:pPr>
              <w:tabs>
                <w:tab w:val="right" w:pos="9360"/>
              </w:tabs>
            </w:pPr>
            <w:r>
              <w:t>soil decay coefficient</w:t>
            </w:r>
          </w:p>
        </w:tc>
        <w:tc>
          <w:tcPr>
            <w:tcW w:w="0" w:type="auto"/>
            <w:shd w:val="clear" w:color="auto" w:fill="auto"/>
          </w:tcPr>
          <w:p w:rsidR="00F80634" w:rsidRPr="006F405C" w:rsidRDefault="00F80634" w:rsidP="006F405C">
            <w:pPr>
              <w:tabs>
                <w:tab w:val="right" w:pos="9360"/>
              </w:tabs>
              <w:jc w:val="center"/>
              <w:rPr>
                <w:vertAlign w:val="superscript"/>
              </w:rPr>
            </w:pPr>
            <w:r>
              <w:t>T</w:t>
            </w:r>
            <w:r w:rsidRPr="006F405C">
              <w:rPr>
                <w:vertAlign w:val="superscript"/>
              </w:rPr>
              <w:t>–1</w:t>
            </w:r>
          </w:p>
        </w:tc>
      </w:tr>
      <w:tr w:rsidR="00F80634" w:rsidTr="006F405C">
        <w:tc>
          <w:tcPr>
            <w:tcW w:w="0" w:type="auto"/>
            <w:shd w:val="clear" w:color="auto" w:fill="auto"/>
          </w:tcPr>
          <w:p w:rsidR="00F80634" w:rsidRPr="00F80634" w:rsidRDefault="00F80634" w:rsidP="006F405C">
            <w:pPr>
              <w:tabs>
                <w:tab w:val="right" w:pos="9360"/>
              </w:tabs>
            </w:pPr>
            <w:r w:rsidRPr="006F405C">
              <w:rPr>
                <w:i/>
              </w:rPr>
              <w:t>x</w:t>
            </w:r>
          </w:p>
        </w:tc>
        <w:tc>
          <w:tcPr>
            <w:tcW w:w="0" w:type="auto"/>
            <w:shd w:val="clear" w:color="auto" w:fill="auto"/>
          </w:tcPr>
          <w:p w:rsidR="00F80634" w:rsidRDefault="00F80634" w:rsidP="006F405C">
            <w:pPr>
              <w:tabs>
                <w:tab w:val="right" w:pos="9360"/>
              </w:tabs>
            </w:pPr>
            <w:r>
              <w:t>longitudinal horizontal distance</w:t>
            </w:r>
          </w:p>
        </w:tc>
        <w:tc>
          <w:tcPr>
            <w:tcW w:w="0" w:type="auto"/>
            <w:shd w:val="clear" w:color="auto" w:fill="auto"/>
          </w:tcPr>
          <w:p w:rsidR="00F80634" w:rsidRDefault="00F80634" w:rsidP="006F405C">
            <w:pPr>
              <w:tabs>
                <w:tab w:val="right" w:pos="9360"/>
              </w:tabs>
              <w:jc w:val="center"/>
            </w:pPr>
            <w:r>
              <w:t>L</w:t>
            </w:r>
          </w:p>
        </w:tc>
      </w:tr>
      <w:tr w:rsidR="00F80634" w:rsidTr="006F405C">
        <w:tc>
          <w:tcPr>
            <w:tcW w:w="0" w:type="auto"/>
            <w:shd w:val="clear" w:color="auto" w:fill="auto"/>
          </w:tcPr>
          <w:p w:rsidR="00F80634" w:rsidRPr="006F405C" w:rsidRDefault="00F80634" w:rsidP="006F405C">
            <w:pPr>
              <w:tabs>
                <w:tab w:val="right" w:pos="9360"/>
              </w:tabs>
              <w:rPr>
                <w:i/>
              </w:rPr>
            </w:pPr>
            <w:r w:rsidRPr="006F405C">
              <w:rPr>
                <w:i/>
              </w:rPr>
              <w:t>y</w:t>
            </w:r>
          </w:p>
        </w:tc>
        <w:tc>
          <w:tcPr>
            <w:tcW w:w="0" w:type="auto"/>
            <w:shd w:val="clear" w:color="auto" w:fill="auto"/>
          </w:tcPr>
          <w:p w:rsidR="00F80634" w:rsidRDefault="00F80634" w:rsidP="006F405C">
            <w:pPr>
              <w:tabs>
                <w:tab w:val="right" w:pos="9360"/>
              </w:tabs>
            </w:pPr>
            <w:r>
              <w:t>transverse horizontal distance</w:t>
            </w:r>
          </w:p>
        </w:tc>
        <w:tc>
          <w:tcPr>
            <w:tcW w:w="0" w:type="auto"/>
            <w:shd w:val="clear" w:color="auto" w:fill="auto"/>
          </w:tcPr>
          <w:p w:rsidR="00F80634" w:rsidRDefault="00F80634" w:rsidP="006F405C">
            <w:pPr>
              <w:tabs>
                <w:tab w:val="right" w:pos="9360"/>
              </w:tabs>
              <w:jc w:val="center"/>
            </w:pPr>
            <w:r>
              <w:t>L</w:t>
            </w:r>
          </w:p>
        </w:tc>
      </w:tr>
      <w:tr w:rsidR="00F80634" w:rsidTr="006F405C">
        <w:tc>
          <w:tcPr>
            <w:tcW w:w="0" w:type="auto"/>
            <w:shd w:val="clear" w:color="auto" w:fill="auto"/>
          </w:tcPr>
          <w:p w:rsidR="00F80634" w:rsidRPr="006F405C" w:rsidRDefault="00F80634" w:rsidP="006F405C">
            <w:pPr>
              <w:tabs>
                <w:tab w:val="right" w:pos="9360"/>
              </w:tabs>
              <w:rPr>
                <w:i/>
              </w:rPr>
            </w:pPr>
            <w:r w:rsidRPr="006F405C">
              <w:rPr>
                <w:i/>
              </w:rPr>
              <w:t>z</w:t>
            </w:r>
          </w:p>
        </w:tc>
        <w:tc>
          <w:tcPr>
            <w:tcW w:w="0" w:type="auto"/>
            <w:shd w:val="clear" w:color="auto" w:fill="auto"/>
          </w:tcPr>
          <w:p w:rsidR="00F80634" w:rsidRDefault="00F80634" w:rsidP="006F405C">
            <w:pPr>
              <w:tabs>
                <w:tab w:val="right" w:pos="9360"/>
              </w:tabs>
            </w:pPr>
            <w:r>
              <w:t>downward vertical distance</w:t>
            </w:r>
          </w:p>
        </w:tc>
        <w:tc>
          <w:tcPr>
            <w:tcW w:w="0" w:type="auto"/>
            <w:shd w:val="clear" w:color="auto" w:fill="auto"/>
          </w:tcPr>
          <w:p w:rsidR="00F80634" w:rsidRDefault="00F80634" w:rsidP="006F405C">
            <w:pPr>
              <w:tabs>
                <w:tab w:val="right" w:pos="9360"/>
              </w:tabs>
              <w:jc w:val="center"/>
            </w:pPr>
            <w:r>
              <w:t>L</w:t>
            </w:r>
          </w:p>
        </w:tc>
      </w:tr>
      <w:tr w:rsidR="00F80634" w:rsidTr="006F405C">
        <w:tc>
          <w:tcPr>
            <w:tcW w:w="0" w:type="auto"/>
            <w:shd w:val="clear" w:color="auto" w:fill="auto"/>
          </w:tcPr>
          <w:p w:rsidR="00F80634" w:rsidRPr="006F405C" w:rsidRDefault="00F80634" w:rsidP="006F405C">
            <w:pPr>
              <w:tabs>
                <w:tab w:val="right" w:pos="9360"/>
              </w:tabs>
              <w:rPr>
                <w:i/>
              </w:rPr>
            </w:pPr>
            <w:r w:rsidRPr="006F405C">
              <w:rPr>
                <w:i/>
              </w:rPr>
              <w:t>t</w:t>
            </w:r>
          </w:p>
        </w:tc>
        <w:tc>
          <w:tcPr>
            <w:tcW w:w="0" w:type="auto"/>
            <w:shd w:val="clear" w:color="auto" w:fill="auto"/>
          </w:tcPr>
          <w:p w:rsidR="00F80634" w:rsidRDefault="00F80634" w:rsidP="006F405C">
            <w:pPr>
              <w:tabs>
                <w:tab w:val="right" w:pos="9360"/>
              </w:tabs>
            </w:pPr>
            <w:r>
              <w:t>time</w:t>
            </w:r>
          </w:p>
        </w:tc>
        <w:tc>
          <w:tcPr>
            <w:tcW w:w="0" w:type="auto"/>
            <w:shd w:val="clear" w:color="auto" w:fill="auto"/>
          </w:tcPr>
          <w:p w:rsidR="00F80634" w:rsidRDefault="00F80634" w:rsidP="006F405C">
            <w:pPr>
              <w:tabs>
                <w:tab w:val="right" w:pos="9360"/>
              </w:tabs>
              <w:jc w:val="center"/>
            </w:pPr>
            <w:r>
              <w:t>T</w:t>
            </w:r>
          </w:p>
        </w:tc>
      </w:tr>
    </w:tbl>
    <w:p w:rsidR="00A91281" w:rsidRDefault="00FD3F25" w:rsidP="00F80634">
      <w:pPr>
        <w:tabs>
          <w:tab w:val="right" w:pos="9360"/>
        </w:tabs>
      </w:pPr>
      <w:r>
        <w:t xml:space="preserve">M: mass, L: </w:t>
      </w:r>
      <w:r w:rsidR="000E29DA">
        <w:t>length</w:t>
      </w:r>
      <w:r>
        <w:t>, T: time</w:t>
      </w:r>
    </w:p>
    <w:p w:rsidR="009778E7" w:rsidRDefault="009778E7" w:rsidP="00F80634">
      <w:pPr>
        <w:tabs>
          <w:tab w:val="right" w:pos="9360"/>
        </w:tabs>
      </w:pPr>
    </w:p>
    <w:p w:rsidR="009778E7" w:rsidRDefault="009778E7" w:rsidP="00F80634">
      <w:pPr>
        <w:tabs>
          <w:tab w:val="right" w:pos="9360"/>
        </w:tabs>
      </w:pPr>
      <w:r>
        <w:t xml:space="preserve">See </w:t>
      </w:r>
      <w:hyperlink w:anchor="_QD_Model_Input" w:history="1">
        <w:r w:rsidRPr="009778E7">
          <w:rPr>
            <w:rStyle w:val="Hyperlink"/>
          </w:rPr>
          <w:t>Section 3</w:t>
        </w:r>
      </w:hyperlink>
      <w:r>
        <w:t xml:space="preserve"> for </w:t>
      </w:r>
      <w:r w:rsidR="001F6C9F">
        <w:t xml:space="preserve">a </w:t>
      </w:r>
      <w:r w:rsidR="003F730C">
        <w:t xml:space="preserve">discussion of </w:t>
      </w:r>
      <w:r w:rsidR="001F6C9F">
        <w:t xml:space="preserve">these </w:t>
      </w:r>
      <w:r w:rsidR="003F730C">
        <w:t>parameter</w:t>
      </w:r>
      <w:r w:rsidR="001E4FA4">
        <w:t>s</w:t>
      </w:r>
      <w:r>
        <w:t>.</w:t>
      </w:r>
    </w:p>
    <w:p w:rsidR="00BB0C46" w:rsidRDefault="00BB0C46" w:rsidP="00F80634">
      <w:pPr>
        <w:tabs>
          <w:tab w:val="right" w:pos="9360"/>
        </w:tabs>
      </w:pPr>
    </w:p>
    <w:p w:rsidR="00BB0C46" w:rsidRDefault="001F6C9F" w:rsidP="00F80634">
      <w:pPr>
        <w:tabs>
          <w:tab w:val="right" w:pos="9360"/>
        </w:tabs>
      </w:pPr>
      <w:r>
        <w:t>T</w:t>
      </w:r>
      <w:r w:rsidR="00BB0C46">
        <w:t>he following assumptions</w:t>
      </w:r>
      <w:r>
        <w:t xml:space="preserve"> apply</w:t>
      </w:r>
      <w:r w:rsidR="00BB0C46">
        <w:t>:</w:t>
      </w:r>
    </w:p>
    <w:p w:rsidR="001B7E0F" w:rsidRDefault="001B7E0F" w:rsidP="00F80634">
      <w:pPr>
        <w:tabs>
          <w:tab w:val="right" w:pos="9360"/>
        </w:tabs>
      </w:pPr>
    </w:p>
    <w:p w:rsidR="00BB0C46" w:rsidRDefault="00BB0C46" w:rsidP="00BB0C46">
      <w:pPr>
        <w:ind w:left="180" w:hanging="180"/>
      </w:pPr>
      <w:r>
        <w:t>•</w:t>
      </w:r>
      <w:r>
        <w:tab/>
        <w:t>The dissolved and adsorbed contaminant decay coefficients are equal</w:t>
      </w:r>
      <w:r>
        <w:br/>
      </w:r>
      <w:r>
        <w:rPr>
          <w:rFonts w:ascii="Symbol" w:hAnsi="Symbol"/>
          <w:i/>
        </w:rPr>
        <w:t></w:t>
      </w:r>
      <w:r>
        <w:t xml:space="preserve"> = </w:t>
      </w:r>
      <w:r>
        <w:rPr>
          <w:rFonts w:ascii="Symbol" w:hAnsi="Symbol"/>
          <w:i/>
        </w:rPr>
        <w:t></w:t>
      </w:r>
      <w:r w:rsidRPr="00BB0C46">
        <w:rPr>
          <w:vertAlign w:val="subscript"/>
        </w:rPr>
        <w:t>w</w:t>
      </w:r>
      <w:r>
        <w:rPr>
          <w:rFonts w:ascii="Symbol" w:hAnsi="Symbol"/>
        </w:rPr>
        <w:t></w:t>
      </w:r>
      <w:r>
        <w:rPr>
          <w:rFonts w:ascii="Symbol" w:hAnsi="Symbol"/>
        </w:rPr>
        <w:t></w:t>
      </w:r>
      <w:r>
        <w:rPr>
          <w:rFonts w:ascii="Symbol" w:hAnsi="Symbol"/>
        </w:rPr>
        <w:t></w:t>
      </w:r>
      <w:r>
        <w:rPr>
          <w:rFonts w:ascii="Symbol" w:hAnsi="Symbol"/>
          <w:i/>
        </w:rPr>
        <w:t></w:t>
      </w:r>
      <w:r w:rsidRPr="00BB0C46">
        <w:rPr>
          <w:vertAlign w:val="subscript"/>
        </w:rPr>
        <w:t>s</w:t>
      </w:r>
      <w:r w:rsidR="009778E7">
        <w:t>.</w:t>
      </w:r>
    </w:p>
    <w:p w:rsidR="001B7E0F" w:rsidRPr="009778E7" w:rsidRDefault="001B7E0F" w:rsidP="00BB0C46">
      <w:pPr>
        <w:ind w:left="180" w:hanging="180"/>
      </w:pPr>
    </w:p>
    <w:p w:rsidR="00BB0C46" w:rsidRDefault="00BB0C46" w:rsidP="00BB0C46">
      <w:pPr>
        <w:ind w:left="180" w:hanging="180"/>
      </w:pPr>
      <w:r>
        <w:t>•</w:t>
      </w:r>
      <w:r>
        <w:tab/>
      </w:r>
      <w:r w:rsidR="00C876D1">
        <w:t>Properties (</w:t>
      </w:r>
      <w:r w:rsidR="00C876D1">
        <w:rPr>
          <w:i/>
        </w:rPr>
        <w:t>n</w:t>
      </w:r>
      <w:r w:rsidR="00C876D1">
        <w:rPr>
          <w:vertAlign w:val="subscript"/>
        </w:rPr>
        <w:t>e</w:t>
      </w:r>
      <w:r w:rsidR="00C876D1">
        <w:t xml:space="preserve"> and </w:t>
      </w:r>
      <w:r w:rsidR="00C876D1">
        <w:rPr>
          <w:i/>
        </w:rPr>
        <w:t>q</w:t>
      </w:r>
      <w:r w:rsidR="00C876D1">
        <w:t>) are constant in space and time, so there is steady-state flow.</w:t>
      </w:r>
    </w:p>
    <w:p w:rsidR="001B7E0F" w:rsidRDefault="001B7E0F" w:rsidP="00BB0C46">
      <w:pPr>
        <w:ind w:left="180" w:hanging="180"/>
      </w:pPr>
    </w:p>
    <w:p w:rsidR="00C876D1" w:rsidRDefault="00C876D1" w:rsidP="00BB0C46">
      <w:pPr>
        <w:ind w:left="180" w:hanging="180"/>
      </w:pPr>
      <w:r>
        <w:t>•</w:t>
      </w:r>
      <w:r>
        <w:tab/>
        <w:t>Adsorption is described by a linear, reversible isotherm</w:t>
      </w:r>
      <w:r>
        <w:br/>
      </w:r>
      <w:r>
        <w:rPr>
          <w:i/>
        </w:rPr>
        <w:t>S</w:t>
      </w:r>
      <w:r>
        <w:t xml:space="preserve"> = </w:t>
      </w:r>
      <w:proofErr w:type="spellStart"/>
      <w:r w:rsidR="006F1802">
        <w:rPr>
          <w:i/>
        </w:rPr>
        <w:t>K</w:t>
      </w:r>
      <w:r w:rsidR="006F1802">
        <w:rPr>
          <w:vertAlign w:val="subscript"/>
        </w:rPr>
        <w:t>d</w:t>
      </w:r>
      <w:r>
        <w:rPr>
          <w:i/>
        </w:rPr>
        <w:t>C</w:t>
      </w:r>
      <w:proofErr w:type="spellEnd"/>
      <w:r w:rsidR="006F1802">
        <w:br/>
        <w:t xml:space="preserve">where </w:t>
      </w:r>
      <w:proofErr w:type="spellStart"/>
      <w:proofErr w:type="gramStart"/>
      <w:r w:rsidR="006F1802">
        <w:rPr>
          <w:i/>
        </w:rPr>
        <w:t>K</w:t>
      </w:r>
      <w:r w:rsidR="006F1802">
        <w:rPr>
          <w:vertAlign w:val="subscript"/>
        </w:rPr>
        <w:t>d</w:t>
      </w:r>
      <w:proofErr w:type="spellEnd"/>
      <w:proofErr w:type="gramEnd"/>
      <w:r>
        <w:t xml:space="preserve"> is an empirical distribution coefficient (M</w:t>
      </w:r>
      <w:r>
        <w:rPr>
          <w:vertAlign w:val="superscript"/>
        </w:rPr>
        <w:t>–1</w:t>
      </w:r>
      <w:r>
        <w:t xml:space="preserve"> L</w:t>
      </w:r>
      <w:r>
        <w:rPr>
          <w:vertAlign w:val="superscript"/>
        </w:rPr>
        <w:t>3</w:t>
      </w:r>
      <w:r>
        <w:t>)</w:t>
      </w:r>
      <w:r w:rsidR="001B7E0F">
        <w:t>, and for organics</w:t>
      </w:r>
      <w:r w:rsidR="006F1802">
        <w:br/>
      </w:r>
      <w:proofErr w:type="spellStart"/>
      <w:r w:rsidR="006F1802">
        <w:rPr>
          <w:i/>
        </w:rPr>
        <w:t>K</w:t>
      </w:r>
      <w:r w:rsidR="006F1802">
        <w:rPr>
          <w:vertAlign w:val="subscript"/>
        </w:rPr>
        <w:t>d</w:t>
      </w:r>
      <w:proofErr w:type="spellEnd"/>
      <w:r w:rsidR="006F1802">
        <w:t xml:space="preserve"> = </w:t>
      </w:r>
      <w:proofErr w:type="spellStart"/>
      <w:r w:rsidR="006F1802">
        <w:rPr>
          <w:i/>
        </w:rPr>
        <w:t>K</w:t>
      </w:r>
      <w:r w:rsidR="006F1802">
        <w:rPr>
          <w:vertAlign w:val="subscript"/>
        </w:rPr>
        <w:t>oc</w:t>
      </w:r>
      <w:r w:rsidR="006F1802">
        <w:rPr>
          <w:i/>
        </w:rPr>
        <w:t>f</w:t>
      </w:r>
      <w:r w:rsidR="006F1802">
        <w:rPr>
          <w:vertAlign w:val="subscript"/>
        </w:rPr>
        <w:t>oc</w:t>
      </w:r>
      <w:proofErr w:type="spellEnd"/>
      <w:r w:rsidR="009778E7">
        <w:br/>
        <w:t xml:space="preserve">where </w:t>
      </w:r>
      <w:proofErr w:type="spellStart"/>
      <w:r w:rsidR="009778E7">
        <w:rPr>
          <w:i/>
        </w:rPr>
        <w:t>K</w:t>
      </w:r>
      <w:r w:rsidR="009778E7">
        <w:rPr>
          <w:vertAlign w:val="subscript"/>
        </w:rPr>
        <w:t>oc</w:t>
      </w:r>
      <w:proofErr w:type="spellEnd"/>
      <w:r w:rsidR="009778E7">
        <w:t xml:space="preserve"> is the organic carbon partition coefficient and </w:t>
      </w:r>
      <w:proofErr w:type="spellStart"/>
      <w:r w:rsidR="009778E7">
        <w:rPr>
          <w:i/>
        </w:rPr>
        <w:t>f</w:t>
      </w:r>
      <w:r w:rsidR="009778E7">
        <w:rPr>
          <w:vertAlign w:val="subscript"/>
        </w:rPr>
        <w:t>oc</w:t>
      </w:r>
      <w:proofErr w:type="spellEnd"/>
      <w:r w:rsidR="009778E7">
        <w:t xml:space="preserve"> is the fraction of organic carbon.</w:t>
      </w:r>
    </w:p>
    <w:p w:rsidR="001B7E0F" w:rsidRPr="009778E7" w:rsidRDefault="001B7E0F" w:rsidP="00BB0C46">
      <w:pPr>
        <w:ind w:left="180" w:hanging="180"/>
      </w:pPr>
    </w:p>
    <w:p w:rsidR="00C876D1" w:rsidRDefault="00815E6F" w:rsidP="00BB0C46">
      <w:pPr>
        <w:ind w:left="180" w:hanging="180"/>
      </w:pPr>
      <w:r>
        <w:t xml:space="preserve">See </w:t>
      </w:r>
      <w:r w:rsidR="00FC3D89" w:rsidRPr="00E73DA3">
        <w:t>Section A.1.2</w:t>
      </w:r>
      <w:r w:rsidR="00FC3D89" w:rsidRPr="00064437">
        <w:rPr>
          <w:rStyle w:val="Hyperlink"/>
          <w:color w:val="auto"/>
          <w:u w:val="none"/>
        </w:rPr>
        <w:t xml:space="preserve"> below</w:t>
      </w:r>
      <w:r w:rsidRPr="001B7E0F">
        <w:t xml:space="preserve"> </w:t>
      </w:r>
      <w:r>
        <w:t>for a further discussion of model assumptions.</w:t>
      </w:r>
    </w:p>
    <w:p w:rsidR="00815E6F" w:rsidRPr="00C876D1" w:rsidRDefault="00815E6F" w:rsidP="00BB0C46">
      <w:pPr>
        <w:ind w:left="180" w:hanging="180"/>
      </w:pPr>
    </w:p>
    <w:p w:rsidR="005D6133" w:rsidRDefault="001F6C9F" w:rsidP="005D6133">
      <w:pPr>
        <w:tabs>
          <w:tab w:val="right" w:pos="2160"/>
          <w:tab w:val="right" w:pos="9360"/>
        </w:tabs>
      </w:pPr>
      <w:r>
        <w:lastRenderedPageBreak/>
        <w:t>T</w:t>
      </w:r>
      <w:r w:rsidR="00CF4470">
        <w:t xml:space="preserve">he transport equation </w:t>
      </w:r>
      <w:r>
        <w:t xml:space="preserve">is then expressed </w:t>
      </w:r>
      <w:r w:rsidR="00CF4470">
        <w:t>as:</w:t>
      </w:r>
      <w:r w:rsidR="00BB0C46">
        <w:br/>
      </w:r>
      <w:r w:rsidR="00A530E5" w:rsidRPr="00550EED">
        <w:rPr>
          <w:position w:val="-30"/>
        </w:rPr>
        <w:object w:dxaOrig="5420" w:dyaOrig="720">
          <v:shape id="_x0000_i1028" type="#_x0000_t75" style="width:271.8pt;height:36pt" o:ole="">
            <v:imagedata r:id="rId42" o:title=""/>
          </v:shape>
          <o:OLEObject Type="Embed" ProgID="Equation.3" ShapeID="_x0000_i1028" DrawAspect="Content" ObjectID="_1456567192" r:id="rId43"/>
        </w:object>
      </w:r>
      <w:r w:rsidR="009778E7">
        <w:tab/>
        <w:t>(A1-2)</w:t>
      </w:r>
    </w:p>
    <w:p w:rsidR="009623B9" w:rsidRDefault="00BB0239" w:rsidP="005D6133">
      <w:pPr>
        <w:tabs>
          <w:tab w:val="right" w:pos="2160"/>
          <w:tab w:val="right" w:pos="9360"/>
        </w:tabs>
      </w:pPr>
      <w:proofErr w:type="gramStart"/>
      <w:r>
        <w:t>where</w:t>
      </w:r>
      <w:proofErr w:type="gramEnd"/>
      <w:r>
        <w:t>:</w:t>
      </w:r>
    </w:p>
    <w:p w:rsidR="00F248B0" w:rsidRDefault="00F248B0" w:rsidP="00F80634">
      <w:pPr>
        <w:tabs>
          <w:tab w:val="right" w:pos="9360"/>
        </w:tabs>
      </w:pPr>
    </w:p>
    <w:p w:rsidR="00F248B0" w:rsidRPr="00F248B0" w:rsidRDefault="00F248B0" w:rsidP="00F80634">
      <w:pPr>
        <w:tabs>
          <w:tab w:val="right" w:pos="9360"/>
        </w:tabs>
        <w:rPr>
          <w:b/>
        </w:rPr>
      </w:pPr>
      <w:r>
        <w:rPr>
          <w:b/>
        </w:rPr>
        <w:t>Table A1.2.</w:t>
      </w:r>
    </w:p>
    <w:tbl>
      <w:tblPr>
        <w:tblW w:w="0" w:type="auto"/>
        <w:tblBorders>
          <w:top w:val="single" w:sz="4" w:space="0" w:color="auto"/>
          <w:bottom w:val="single" w:sz="4" w:space="0" w:color="auto"/>
        </w:tblBorders>
        <w:tblLook w:val="01E0" w:firstRow="1" w:lastRow="1" w:firstColumn="1" w:lastColumn="1" w:noHBand="0" w:noVBand="0"/>
      </w:tblPr>
      <w:tblGrid>
        <w:gridCol w:w="990"/>
        <w:gridCol w:w="3296"/>
        <w:gridCol w:w="1350"/>
        <w:gridCol w:w="763"/>
      </w:tblGrid>
      <w:tr w:rsidR="00BB0239" w:rsidRPr="006F405C" w:rsidTr="0083747A">
        <w:tc>
          <w:tcPr>
            <w:tcW w:w="0" w:type="auto"/>
            <w:tcBorders>
              <w:bottom w:val="single" w:sz="4" w:space="0" w:color="auto"/>
            </w:tcBorders>
            <w:shd w:val="clear" w:color="auto" w:fill="F2F2F2" w:themeFill="background1" w:themeFillShade="F2"/>
          </w:tcPr>
          <w:p w:rsidR="00BB0239" w:rsidRPr="006F405C" w:rsidRDefault="00BB0239" w:rsidP="006F405C">
            <w:pPr>
              <w:tabs>
                <w:tab w:val="right" w:pos="9360"/>
              </w:tabs>
              <w:rPr>
                <w:b/>
              </w:rPr>
            </w:pPr>
            <w:r w:rsidRPr="006F405C">
              <w:rPr>
                <w:b/>
              </w:rPr>
              <w:t>Symbol</w:t>
            </w:r>
          </w:p>
        </w:tc>
        <w:tc>
          <w:tcPr>
            <w:tcW w:w="0" w:type="auto"/>
            <w:tcBorders>
              <w:bottom w:val="single" w:sz="4" w:space="0" w:color="auto"/>
            </w:tcBorders>
            <w:shd w:val="clear" w:color="auto" w:fill="F2F2F2" w:themeFill="background1" w:themeFillShade="F2"/>
          </w:tcPr>
          <w:p w:rsidR="00BB0239" w:rsidRPr="006F405C" w:rsidRDefault="00BB0239" w:rsidP="006F405C">
            <w:pPr>
              <w:tabs>
                <w:tab w:val="right" w:pos="9360"/>
              </w:tabs>
              <w:rPr>
                <w:b/>
              </w:rPr>
            </w:pPr>
            <w:r w:rsidRPr="006F405C">
              <w:rPr>
                <w:b/>
              </w:rPr>
              <w:t>Definition</w:t>
            </w:r>
          </w:p>
        </w:tc>
        <w:tc>
          <w:tcPr>
            <w:tcW w:w="0" w:type="auto"/>
            <w:tcBorders>
              <w:bottom w:val="single" w:sz="4" w:space="0" w:color="auto"/>
            </w:tcBorders>
            <w:shd w:val="clear" w:color="auto" w:fill="F2F2F2" w:themeFill="background1" w:themeFillShade="F2"/>
          </w:tcPr>
          <w:p w:rsidR="00BB0239" w:rsidRPr="006F405C" w:rsidRDefault="00BB0239" w:rsidP="006F405C">
            <w:pPr>
              <w:tabs>
                <w:tab w:val="right" w:pos="9360"/>
              </w:tabs>
              <w:jc w:val="center"/>
              <w:rPr>
                <w:b/>
              </w:rPr>
            </w:pPr>
            <w:r w:rsidRPr="006F405C">
              <w:rPr>
                <w:b/>
              </w:rPr>
              <w:t>Expression</w:t>
            </w:r>
          </w:p>
        </w:tc>
        <w:tc>
          <w:tcPr>
            <w:tcW w:w="0" w:type="auto"/>
            <w:tcBorders>
              <w:bottom w:val="single" w:sz="4" w:space="0" w:color="auto"/>
            </w:tcBorders>
            <w:shd w:val="clear" w:color="auto" w:fill="F2F2F2" w:themeFill="background1" w:themeFillShade="F2"/>
          </w:tcPr>
          <w:p w:rsidR="00BB0239" w:rsidRPr="006F405C" w:rsidRDefault="00BB0239" w:rsidP="006F405C">
            <w:pPr>
              <w:tabs>
                <w:tab w:val="right" w:pos="9360"/>
              </w:tabs>
              <w:jc w:val="center"/>
              <w:rPr>
                <w:b/>
              </w:rPr>
            </w:pPr>
            <w:r w:rsidRPr="006F405C">
              <w:rPr>
                <w:b/>
              </w:rPr>
              <w:t>Units</w:t>
            </w:r>
          </w:p>
        </w:tc>
      </w:tr>
      <w:tr w:rsidR="00BB0239" w:rsidTr="006F405C">
        <w:tc>
          <w:tcPr>
            <w:tcW w:w="0" w:type="auto"/>
            <w:shd w:val="clear" w:color="auto" w:fill="auto"/>
          </w:tcPr>
          <w:p w:rsidR="00BB0239" w:rsidRPr="006F405C" w:rsidRDefault="00BB0239" w:rsidP="006F405C">
            <w:pPr>
              <w:tabs>
                <w:tab w:val="right" w:pos="9360"/>
              </w:tabs>
              <w:rPr>
                <w:i/>
              </w:rPr>
            </w:pPr>
            <w:r w:rsidRPr="006F405C">
              <w:rPr>
                <w:i/>
              </w:rPr>
              <w:t>R</w:t>
            </w:r>
          </w:p>
        </w:tc>
        <w:tc>
          <w:tcPr>
            <w:tcW w:w="0" w:type="auto"/>
            <w:shd w:val="clear" w:color="auto" w:fill="auto"/>
          </w:tcPr>
          <w:p w:rsidR="00BB0239" w:rsidRDefault="00BB0239" w:rsidP="006F405C">
            <w:pPr>
              <w:tabs>
                <w:tab w:val="right" w:pos="9360"/>
              </w:tabs>
            </w:pPr>
            <w:r>
              <w:t>retardation</w:t>
            </w:r>
          </w:p>
        </w:tc>
        <w:tc>
          <w:tcPr>
            <w:tcW w:w="0" w:type="auto"/>
            <w:shd w:val="clear" w:color="auto" w:fill="auto"/>
          </w:tcPr>
          <w:p w:rsidR="00BB0239" w:rsidRPr="00BB0239" w:rsidRDefault="001B7E0F" w:rsidP="006F405C">
            <w:pPr>
              <w:tabs>
                <w:tab w:val="right" w:pos="9360"/>
              </w:tabs>
              <w:jc w:val="center"/>
            </w:pPr>
            <w:r w:rsidRPr="006F405C">
              <w:rPr>
                <w:position w:val="-30"/>
              </w:rPr>
              <w:object w:dxaOrig="859" w:dyaOrig="680">
                <v:shape id="_x0000_i1029" type="#_x0000_t75" style="width:43.2pt;height:34.2pt" o:ole="">
                  <v:imagedata r:id="rId44" o:title=""/>
                </v:shape>
                <o:OLEObject Type="Embed" ProgID="Equation.3" ShapeID="_x0000_i1029" DrawAspect="Content" ObjectID="_1456567193" r:id="rId45"/>
              </w:object>
            </w:r>
          </w:p>
        </w:tc>
        <w:tc>
          <w:tcPr>
            <w:tcW w:w="0" w:type="auto"/>
            <w:shd w:val="clear" w:color="auto" w:fill="auto"/>
          </w:tcPr>
          <w:p w:rsidR="00BB0239" w:rsidRPr="00BB0239" w:rsidRDefault="00BB0239" w:rsidP="006F405C">
            <w:pPr>
              <w:tabs>
                <w:tab w:val="right" w:pos="9360"/>
              </w:tabs>
              <w:jc w:val="center"/>
            </w:pPr>
            <w:r>
              <w:t>—</w:t>
            </w:r>
          </w:p>
        </w:tc>
      </w:tr>
      <w:tr w:rsidR="00BB0239" w:rsidTr="006F405C">
        <w:tc>
          <w:tcPr>
            <w:tcW w:w="0" w:type="auto"/>
            <w:shd w:val="clear" w:color="auto" w:fill="auto"/>
          </w:tcPr>
          <w:p w:rsidR="00BB0239" w:rsidRPr="006F405C" w:rsidRDefault="00BB0239" w:rsidP="006F405C">
            <w:pPr>
              <w:tabs>
                <w:tab w:val="right" w:pos="9360"/>
              </w:tabs>
              <w:rPr>
                <w:rFonts w:ascii="Symbol" w:hAnsi="Symbol"/>
                <w:i/>
                <w:vertAlign w:val="subscript"/>
              </w:rPr>
            </w:pPr>
            <w:r w:rsidRPr="006F405C">
              <w:rPr>
                <w:rFonts w:ascii="Symbol" w:hAnsi="Symbol"/>
                <w:i/>
              </w:rPr>
              <w:t></w:t>
            </w:r>
            <w:proofErr w:type="spellStart"/>
            <w:r w:rsidRPr="006F405C">
              <w:rPr>
                <w:i/>
                <w:vertAlign w:val="subscript"/>
              </w:rPr>
              <w:t>i</w:t>
            </w:r>
            <w:proofErr w:type="spellEnd"/>
          </w:p>
        </w:tc>
        <w:tc>
          <w:tcPr>
            <w:tcW w:w="0" w:type="auto"/>
            <w:shd w:val="clear" w:color="auto" w:fill="auto"/>
          </w:tcPr>
          <w:p w:rsidR="00BB0239" w:rsidRDefault="00BB0239" w:rsidP="006F405C">
            <w:pPr>
              <w:tabs>
                <w:tab w:val="right" w:pos="9360"/>
              </w:tabs>
            </w:pPr>
            <w:proofErr w:type="spellStart"/>
            <w:r>
              <w:t>dispersivity</w:t>
            </w:r>
            <w:proofErr w:type="spellEnd"/>
          </w:p>
        </w:tc>
        <w:tc>
          <w:tcPr>
            <w:tcW w:w="0" w:type="auto"/>
            <w:shd w:val="clear" w:color="auto" w:fill="auto"/>
          </w:tcPr>
          <w:p w:rsidR="00BB0239" w:rsidRPr="00BB0239" w:rsidRDefault="00BB0239" w:rsidP="006F405C">
            <w:pPr>
              <w:tabs>
                <w:tab w:val="right" w:pos="9360"/>
              </w:tabs>
              <w:jc w:val="center"/>
            </w:pPr>
            <w:r w:rsidRPr="006F405C">
              <w:rPr>
                <w:i/>
              </w:rPr>
              <w:t>D</w:t>
            </w:r>
            <w:r w:rsidRPr="006F405C">
              <w:rPr>
                <w:i/>
                <w:vertAlign w:val="subscript"/>
              </w:rPr>
              <w:t>i</w:t>
            </w:r>
            <w:r w:rsidRPr="006F405C">
              <w:rPr>
                <w:i/>
              </w:rPr>
              <w:t>/v</w:t>
            </w:r>
          </w:p>
        </w:tc>
        <w:tc>
          <w:tcPr>
            <w:tcW w:w="0" w:type="auto"/>
            <w:shd w:val="clear" w:color="auto" w:fill="auto"/>
          </w:tcPr>
          <w:p w:rsidR="00BB0239" w:rsidRPr="00BB0239" w:rsidRDefault="00BB0239" w:rsidP="006F405C">
            <w:pPr>
              <w:tabs>
                <w:tab w:val="right" w:pos="9360"/>
              </w:tabs>
              <w:jc w:val="center"/>
            </w:pPr>
            <w:r>
              <w:t>L</w:t>
            </w:r>
          </w:p>
        </w:tc>
      </w:tr>
      <w:tr w:rsidR="00BB0239" w:rsidTr="006F405C">
        <w:tc>
          <w:tcPr>
            <w:tcW w:w="0" w:type="auto"/>
            <w:shd w:val="clear" w:color="auto" w:fill="auto"/>
          </w:tcPr>
          <w:p w:rsidR="00BB0239" w:rsidRPr="006F405C" w:rsidRDefault="00BB0239" w:rsidP="006F405C">
            <w:pPr>
              <w:tabs>
                <w:tab w:val="right" w:pos="9360"/>
              </w:tabs>
              <w:rPr>
                <w:i/>
              </w:rPr>
            </w:pPr>
            <w:r w:rsidRPr="006F405C">
              <w:rPr>
                <w:i/>
              </w:rPr>
              <w:t>v</w:t>
            </w:r>
          </w:p>
        </w:tc>
        <w:tc>
          <w:tcPr>
            <w:tcW w:w="0" w:type="auto"/>
            <w:shd w:val="clear" w:color="auto" w:fill="auto"/>
          </w:tcPr>
          <w:p w:rsidR="00BB0239" w:rsidRDefault="003F730C" w:rsidP="006F405C">
            <w:pPr>
              <w:tabs>
                <w:tab w:val="right" w:pos="9360"/>
              </w:tabs>
            </w:pPr>
            <w:r>
              <w:t xml:space="preserve">interstitial </w:t>
            </w:r>
            <w:r w:rsidR="00990939">
              <w:t>groundwater velocity</w:t>
            </w:r>
          </w:p>
        </w:tc>
        <w:tc>
          <w:tcPr>
            <w:tcW w:w="0" w:type="auto"/>
            <w:shd w:val="clear" w:color="auto" w:fill="auto"/>
          </w:tcPr>
          <w:p w:rsidR="00BB0239" w:rsidRPr="006F405C" w:rsidRDefault="00BB0239" w:rsidP="006F405C">
            <w:pPr>
              <w:tabs>
                <w:tab w:val="right" w:pos="9360"/>
              </w:tabs>
              <w:jc w:val="center"/>
              <w:rPr>
                <w:vertAlign w:val="subscript"/>
              </w:rPr>
            </w:pPr>
            <w:r w:rsidRPr="006F405C">
              <w:rPr>
                <w:i/>
              </w:rPr>
              <w:t>q</w:t>
            </w:r>
            <w:r>
              <w:t>/</w:t>
            </w:r>
            <w:r w:rsidRPr="006F405C">
              <w:rPr>
                <w:i/>
              </w:rPr>
              <w:t>n</w:t>
            </w:r>
            <w:r w:rsidRPr="006F405C">
              <w:rPr>
                <w:vertAlign w:val="subscript"/>
              </w:rPr>
              <w:t>e</w:t>
            </w:r>
          </w:p>
        </w:tc>
        <w:tc>
          <w:tcPr>
            <w:tcW w:w="0" w:type="auto"/>
            <w:shd w:val="clear" w:color="auto" w:fill="auto"/>
          </w:tcPr>
          <w:p w:rsidR="00BB0239" w:rsidRPr="006F405C" w:rsidRDefault="00BB0239" w:rsidP="006F405C">
            <w:pPr>
              <w:tabs>
                <w:tab w:val="right" w:pos="9360"/>
              </w:tabs>
              <w:jc w:val="center"/>
              <w:rPr>
                <w:vertAlign w:val="superscript"/>
              </w:rPr>
            </w:pPr>
            <w:r>
              <w:t>L T</w:t>
            </w:r>
            <w:r w:rsidRPr="006F405C">
              <w:rPr>
                <w:vertAlign w:val="superscript"/>
              </w:rPr>
              <w:t>–1</w:t>
            </w:r>
          </w:p>
        </w:tc>
      </w:tr>
    </w:tbl>
    <w:p w:rsidR="00BB0239" w:rsidRPr="009623B9" w:rsidRDefault="00BB0239" w:rsidP="00F80634">
      <w:pPr>
        <w:tabs>
          <w:tab w:val="right" w:pos="9360"/>
        </w:tabs>
      </w:pPr>
    </w:p>
    <w:p w:rsidR="001B7E0F" w:rsidRDefault="001F6C9F" w:rsidP="00F80634">
      <w:pPr>
        <w:tabs>
          <w:tab w:val="right" w:pos="9360"/>
        </w:tabs>
      </w:pPr>
      <w:r>
        <w:t>T</w:t>
      </w:r>
      <w:r w:rsidR="00815E6F">
        <w:t>he following initial and boundary conditions</w:t>
      </w:r>
      <w:r>
        <w:t xml:space="preserve"> are applied</w:t>
      </w:r>
      <w:r w:rsidR="00815E6F">
        <w:t>:</w:t>
      </w:r>
    </w:p>
    <w:p w:rsidR="001B7E0F" w:rsidRDefault="00815E6F" w:rsidP="00064437">
      <w:pPr>
        <w:tabs>
          <w:tab w:val="right" w:pos="9360"/>
        </w:tabs>
        <w:spacing w:before="120"/>
        <w:ind w:left="187" w:hanging="187"/>
      </w:pPr>
      <w:r>
        <w:t>•</w:t>
      </w:r>
      <w:r>
        <w:tab/>
      </w:r>
      <w:r>
        <w:rPr>
          <w:i/>
        </w:rPr>
        <w:t>C</w:t>
      </w:r>
      <w:r>
        <w:t>(</w:t>
      </w:r>
      <w:r>
        <w:rPr>
          <w:i/>
        </w:rPr>
        <w:t>x</w:t>
      </w:r>
      <w:r>
        <w:t xml:space="preserve">, </w:t>
      </w:r>
      <w:r>
        <w:rPr>
          <w:i/>
        </w:rPr>
        <w:t>y</w:t>
      </w:r>
      <w:r>
        <w:t xml:space="preserve">, </w:t>
      </w:r>
      <w:r>
        <w:rPr>
          <w:i/>
        </w:rPr>
        <w:t>z</w:t>
      </w:r>
      <w:r>
        <w:t>, 0) = 0</w:t>
      </w:r>
      <w:r w:rsidR="0026082B">
        <w:tab/>
        <w:t>(A1-3)</w:t>
      </w:r>
    </w:p>
    <w:p w:rsidR="001B7E0F" w:rsidRPr="0026082B" w:rsidRDefault="00815E6F" w:rsidP="00064437">
      <w:pPr>
        <w:tabs>
          <w:tab w:val="right" w:pos="9360"/>
        </w:tabs>
        <w:spacing w:before="120"/>
        <w:ind w:left="187" w:hanging="187"/>
      </w:pPr>
      <w:r>
        <w:t>•</w:t>
      </w:r>
      <w:r>
        <w:tab/>
      </w:r>
      <w:proofErr w:type="gramStart"/>
      <w:r>
        <w:rPr>
          <w:i/>
        </w:rPr>
        <w:t>C</w:t>
      </w:r>
      <w:r>
        <w:t>(</w:t>
      </w:r>
      <w:proofErr w:type="gramEnd"/>
      <w:r>
        <w:t xml:space="preserve">0, </w:t>
      </w:r>
      <w:r>
        <w:rPr>
          <w:i/>
        </w:rPr>
        <w:t>y</w:t>
      </w:r>
      <w:r>
        <w:t xml:space="preserve">, </w:t>
      </w:r>
      <w:r>
        <w:rPr>
          <w:i/>
        </w:rPr>
        <w:t>z</w:t>
      </w:r>
      <w:r>
        <w:t xml:space="preserve">, </w:t>
      </w:r>
      <w:r>
        <w:rPr>
          <w:i/>
        </w:rPr>
        <w:t>t</w:t>
      </w:r>
      <w:r>
        <w:t xml:space="preserve">) = </w:t>
      </w:r>
      <w:r>
        <w:rPr>
          <w:i/>
        </w:rPr>
        <w:t>C</w:t>
      </w:r>
      <w:r>
        <w:rPr>
          <w:vertAlign w:val="subscript"/>
        </w:rPr>
        <w:t>0</w:t>
      </w:r>
      <w:r>
        <w:t xml:space="preserve"> for –½</w:t>
      </w:r>
      <w:r>
        <w:rPr>
          <w:i/>
        </w:rPr>
        <w:t>Y</w:t>
      </w:r>
      <w:r>
        <w:t xml:space="preserve"> ≤ </w:t>
      </w:r>
      <w:r>
        <w:rPr>
          <w:i/>
        </w:rPr>
        <w:t>y</w:t>
      </w:r>
      <w:r>
        <w:t xml:space="preserve"> </w:t>
      </w:r>
      <w:r w:rsidRPr="00815E6F">
        <w:t>≤</w:t>
      </w:r>
      <w:r>
        <w:t xml:space="preserve"> +½</w:t>
      </w:r>
      <w:r>
        <w:rPr>
          <w:i/>
        </w:rPr>
        <w:t>Y</w:t>
      </w:r>
      <w:r>
        <w:t xml:space="preserve"> and 0 ≤ </w:t>
      </w:r>
      <w:r>
        <w:rPr>
          <w:i/>
        </w:rPr>
        <w:t>z</w:t>
      </w:r>
      <w:r>
        <w:t xml:space="preserve"> ≤ </w:t>
      </w:r>
      <w:r>
        <w:rPr>
          <w:i/>
        </w:rPr>
        <w:t>Z</w:t>
      </w:r>
      <w:r w:rsidR="0026082B">
        <w:rPr>
          <w:i/>
        </w:rPr>
        <w:tab/>
      </w:r>
      <w:r w:rsidR="0026082B">
        <w:t>(A1-4)</w:t>
      </w:r>
    </w:p>
    <w:p w:rsidR="001B7E0F" w:rsidRPr="00815E6F" w:rsidRDefault="00815E6F" w:rsidP="00064437">
      <w:pPr>
        <w:tabs>
          <w:tab w:val="right" w:pos="9360"/>
        </w:tabs>
        <w:spacing w:before="120"/>
        <w:ind w:left="187" w:hanging="187"/>
      </w:pPr>
      <w:r>
        <w:t>•</w:t>
      </w:r>
      <w:r>
        <w:tab/>
      </w:r>
      <w:r w:rsidR="0026082B" w:rsidRPr="004A7BBF">
        <w:rPr>
          <w:position w:val="-24"/>
        </w:rPr>
        <w:object w:dxaOrig="2020" w:dyaOrig="620">
          <v:shape id="_x0000_i1030" type="#_x0000_t75" style="width:100.8pt;height:31.2pt" o:ole="">
            <v:imagedata r:id="rId46" o:title=""/>
          </v:shape>
          <o:OLEObject Type="Embed" ProgID="Equation.3" ShapeID="_x0000_i1030" DrawAspect="Content" ObjectID="_1456567194" r:id="rId47"/>
        </w:object>
      </w:r>
      <w:r w:rsidR="0026082B">
        <w:tab/>
        <w:t>(A1-5)</w:t>
      </w:r>
    </w:p>
    <w:p w:rsidR="001B7E0F" w:rsidRPr="00815E6F" w:rsidRDefault="004A7BBF" w:rsidP="00064437">
      <w:pPr>
        <w:tabs>
          <w:tab w:val="right" w:pos="9360"/>
        </w:tabs>
        <w:spacing w:before="120"/>
        <w:ind w:left="187" w:hanging="187"/>
      </w:pPr>
      <w:r>
        <w:t>•</w:t>
      </w:r>
      <w:r>
        <w:tab/>
      </w:r>
      <w:r w:rsidR="0026082B" w:rsidRPr="004A7BBF">
        <w:rPr>
          <w:position w:val="-28"/>
        </w:rPr>
        <w:object w:dxaOrig="2100" w:dyaOrig="660">
          <v:shape id="_x0000_i1031" type="#_x0000_t75" style="width:105pt;height:33pt" o:ole="">
            <v:imagedata r:id="rId48" o:title=""/>
          </v:shape>
          <o:OLEObject Type="Embed" ProgID="Equation.3" ShapeID="_x0000_i1031" DrawAspect="Content" ObjectID="_1456567195" r:id="rId49"/>
        </w:object>
      </w:r>
      <w:r w:rsidR="0026082B">
        <w:tab/>
        <w:t>(A1-6)</w:t>
      </w:r>
    </w:p>
    <w:p w:rsidR="004A7BBF" w:rsidRPr="00815E6F" w:rsidRDefault="004A7BBF" w:rsidP="00064437">
      <w:pPr>
        <w:tabs>
          <w:tab w:val="right" w:pos="9360"/>
        </w:tabs>
        <w:spacing w:before="120"/>
        <w:ind w:left="187" w:hanging="187"/>
      </w:pPr>
      <w:r>
        <w:t>•</w:t>
      </w:r>
      <w:r>
        <w:tab/>
      </w:r>
      <w:r w:rsidR="0026082B" w:rsidRPr="004A7BBF">
        <w:rPr>
          <w:position w:val="-24"/>
        </w:rPr>
        <w:object w:dxaOrig="2000" w:dyaOrig="620">
          <v:shape id="_x0000_i1032" type="#_x0000_t75" style="width:100.2pt;height:31.2pt" o:ole="">
            <v:imagedata r:id="rId50" o:title=""/>
          </v:shape>
          <o:OLEObject Type="Embed" ProgID="Equation.3" ShapeID="_x0000_i1032" DrawAspect="Content" ObjectID="_1456567196" r:id="rId51"/>
        </w:object>
      </w:r>
      <w:r w:rsidR="0026082B">
        <w:tab/>
        <w:t>(A1-7)</w:t>
      </w:r>
    </w:p>
    <w:p w:rsidR="00957C3D" w:rsidRDefault="00957C3D" w:rsidP="00F80634">
      <w:pPr>
        <w:tabs>
          <w:tab w:val="right" w:pos="9360"/>
        </w:tabs>
      </w:pPr>
    </w:p>
    <w:p w:rsidR="0026082B" w:rsidRDefault="00D10402" w:rsidP="00F80634">
      <w:pPr>
        <w:tabs>
          <w:tab w:val="right" w:pos="9360"/>
        </w:tabs>
      </w:pPr>
      <w:r>
        <w:t xml:space="preserve">The </w:t>
      </w:r>
      <w:proofErr w:type="spellStart"/>
      <w:r>
        <w:rPr>
          <w:i/>
        </w:rPr>
        <w:t>Domenico</w:t>
      </w:r>
      <w:proofErr w:type="spellEnd"/>
      <w:r>
        <w:t xml:space="preserve"> [1987] solution of Equation (A1-2) subject to these boundary conditions, and with the inclusion of adsorption, is as follows:</w:t>
      </w:r>
    </w:p>
    <w:p w:rsidR="00D10402" w:rsidRPr="00D10402" w:rsidRDefault="00CA35B5" w:rsidP="00F80634">
      <w:pPr>
        <w:tabs>
          <w:tab w:val="right" w:pos="9360"/>
        </w:tabs>
      </w:pPr>
      <w:r w:rsidRPr="00EC3865">
        <w:rPr>
          <w:position w:val="-114"/>
        </w:rPr>
        <w:object w:dxaOrig="7640" w:dyaOrig="2400">
          <v:shape id="_x0000_i1033" type="#_x0000_t75" style="width:382.2pt;height:120pt" o:ole="">
            <v:imagedata r:id="rId52" o:title=""/>
          </v:shape>
          <o:OLEObject Type="Embed" ProgID="Equation.3" ShapeID="_x0000_i1033" DrawAspect="Content" ObjectID="_1456567197" r:id="rId53"/>
        </w:object>
      </w:r>
      <w:r w:rsidR="00EC3865">
        <w:tab/>
        <w:t>(A1-8)</w:t>
      </w:r>
    </w:p>
    <w:p w:rsidR="002B28A3" w:rsidRDefault="002B28A3" w:rsidP="00F80634">
      <w:pPr>
        <w:tabs>
          <w:tab w:val="right" w:pos="9360"/>
        </w:tabs>
      </w:pPr>
    </w:p>
    <w:p w:rsidR="00957C3D" w:rsidRDefault="00CA35B5" w:rsidP="00F80634">
      <w:pPr>
        <w:tabs>
          <w:tab w:val="right" w:pos="9360"/>
        </w:tabs>
      </w:pPr>
      <w:r>
        <w:t>Note that this is a truncated, and not an exact, solution to the problem. Here</w:t>
      </w:r>
      <w:r w:rsidR="002B28A3">
        <w:t xml:space="preserve"> it is assumed that contamination resides at the top of the aquifer and the only vertical dispersion is downwards.</w:t>
      </w:r>
    </w:p>
    <w:p w:rsidR="004935EC" w:rsidRDefault="004935EC" w:rsidP="00F80634">
      <w:pPr>
        <w:tabs>
          <w:tab w:val="right" w:pos="9360"/>
        </w:tabs>
      </w:pPr>
    </w:p>
    <w:p w:rsidR="006E6DB7" w:rsidRDefault="004935EC" w:rsidP="00F80634">
      <w:pPr>
        <w:tabs>
          <w:tab w:val="right" w:pos="9360"/>
        </w:tabs>
      </w:pPr>
      <w:r>
        <w:t xml:space="preserve">Quick </w:t>
      </w:r>
      <w:proofErr w:type="spellStart"/>
      <w:r>
        <w:t>Domenico</w:t>
      </w:r>
      <w:proofErr w:type="spellEnd"/>
      <w:r>
        <w:t xml:space="preserve"> and </w:t>
      </w:r>
      <w:r w:rsidR="006E6DB7">
        <w:t xml:space="preserve">EPA’s </w:t>
      </w:r>
      <w:proofErr w:type="spellStart"/>
      <w:r>
        <w:t>Bioscreen</w:t>
      </w:r>
      <w:proofErr w:type="spellEnd"/>
      <w:r>
        <w:t xml:space="preserve"> apply the above solution, Equation (A1-8). </w:t>
      </w:r>
      <w:proofErr w:type="spellStart"/>
      <w:r w:rsidR="006E6DB7">
        <w:t>Papadopulos</w:t>
      </w:r>
      <w:proofErr w:type="spellEnd"/>
      <w:r w:rsidR="006E6DB7">
        <w:t xml:space="preserve"> and Associates’ </w:t>
      </w:r>
      <w:proofErr w:type="spellStart"/>
      <w:r w:rsidR="006E6DB7">
        <w:t>Bioscreen</w:t>
      </w:r>
      <w:proofErr w:type="spellEnd"/>
      <w:r w:rsidR="006E6DB7">
        <w:t xml:space="preserve">-AT application </w:t>
      </w:r>
      <w:r w:rsidR="00A90E3E">
        <w:t>performs an</w:t>
      </w:r>
      <w:r w:rsidR="006E6DB7">
        <w:t xml:space="preserve"> exact analytic solution to Equation (A1-2) using a program called ATRANS</w:t>
      </w:r>
      <w:r w:rsidR="00281DC2">
        <w:t>.</w:t>
      </w:r>
    </w:p>
    <w:p w:rsidR="006E6DB7" w:rsidRDefault="006E6DB7" w:rsidP="00F80634">
      <w:pPr>
        <w:tabs>
          <w:tab w:val="right" w:pos="9360"/>
        </w:tabs>
      </w:pPr>
    </w:p>
    <w:p w:rsidR="0054715F" w:rsidRDefault="004935EC" w:rsidP="00F80634">
      <w:pPr>
        <w:tabs>
          <w:tab w:val="right" w:pos="9360"/>
        </w:tabs>
      </w:pPr>
      <w:r>
        <w:lastRenderedPageBreak/>
        <w:t xml:space="preserve">EPA’s </w:t>
      </w:r>
      <w:proofErr w:type="spellStart"/>
      <w:r>
        <w:t>Biochlor</w:t>
      </w:r>
      <w:proofErr w:type="spellEnd"/>
      <w:r>
        <w:t xml:space="preserve"> spreadsheet employs a slightly different approach.</w:t>
      </w:r>
      <w:r w:rsidR="0054715F">
        <w:t xml:space="preserve"> First, the longitudinal solution is not truncated, so there is a second (smaller) term with a product of an exponent and complementary error function. This will be slightly more accurate, but will not make a significant difference in practice.</w:t>
      </w:r>
    </w:p>
    <w:p w:rsidR="0054715F" w:rsidRDefault="0054715F" w:rsidP="00F80634">
      <w:pPr>
        <w:tabs>
          <w:tab w:val="right" w:pos="9360"/>
        </w:tabs>
      </w:pPr>
    </w:p>
    <w:p w:rsidR="004935EC" w:rsidRDefault="0016430A" w:rsidP="00F80634">
      <w:pPr>
        <w:tabs>
          <w:tab w:val="right" w:pos="9360"/>
        </w:tabs>
      </w:pPr>
      <w:r>
        <w:t>Above</w:t>
      </w:r>
      <w:r w:rsidR="00CC4653">
        <w:t xml:space="preserve"> </w:t>
      </w:r>
      <w:r w:rsidR="001F6C9F">
        <w:t>it was</w:t>
      </w:r>
      <w:r w:rsidR="00CC4653">
        <w:t xml:space="preserve"> assumed that the dissolved and adsorbed contaminant decay coefficients are equal. </w:t>
      </w:r>
      <w:r w:rsidR="00B06174">
        <w:t xml:space="preserve">A </w:t>
      </w:r>
      <w:r>
        <w:t>second difference with the</w:t>
      </w:r>
      <w:r w:rsidR="00CC4653">
        <w:t xml:space="preserve"> </w:t>
      </w:r>
      <w:proofErr w:type="spellStart"/>
      <w:r w:rsidR="00CC4653">
        <w:t>Biochlor</w:t>
      </w:r>
      <w:proofErr w:type="spellEnd"/>
      <w:r w:rsidR="00CC4653">
        <w:t xml:space="preserve"> solution </w:t>
      </w:r>
      <w:r>
        <w:t xml:space="preserve">is </w:t>
      </w:r>
      <w:r w:rsidR="00CC4653">
        <w:t xml:space="preserve">that the </w:t>
      </w:r>
      <w:proofErr w:type="spellStart"/>
      <w:r w:rsidR="00CC4653">
        <w:t>sorbed</w:t>
      </w:r>
      <w:proofErr w:type="spellEnd"/>
      <w:r w:rsidR="00CC4653">
        <w:t xml:space="preserve"> phase coefficient is zero:</w:t>
      </w:r>
    </w:p>
    <w:p w:rsidR="00CC4653" w:rsidRDefault="00CC4653" w:rsidP="00CC4653">
      <w:pPr>
        <w:tabs>
          <w:tab w:val="right" w:pos="9360"/>
        </w:tabs>
        <w:ind w:left="180"/>
      </w:pPr>
      <w:r>
        <w:rPr>
          <w:rFonts w:ascii="Symbol" w:hAnsi="Symbol"/>
          <w:i/>
        </w:rPr>
        <w:t></w:t>
      </w:r>
      <w:r>
        <w:rPr>
          <w:vertAlign w:val="subscript"/>
        </w:rPr>
        <w:t>s</w:t>
      </w:r>
      <w:r>
        <w:t xml:space="preserve"> = 0</w:t>
      </w:r>
    </w:p>
    <w:p w:rsidR="00CC4653" w:rsidRDefault="00CC4653" w:rsidP="00CC4653">
      <w:pPr>
        <w:tabs>
          <w:tab w:val="right" w:pos="9360"/>
        </w:tabs>
        <w:ind w:left="180"/>
      </w:pPr>
      <w:r>
        <w:rPr>
          <w:rFonts w:ascii="Symbol" w:hAnsi="Symbol"/>
          <w:i/>
        </w:rPr>
        <w:t></w:t>
      </w:r>
      <w:r>
        <w:t xml:space="preserve"> = </w:t>
      </w:r>
      <w:r>
        <w:rPr>
          <w:rFonts w:ascii="Symbol" w:hAnsi="Symbol"/>
          <w:i/>
        </w:rPr>
        <w:t></w:t>
      </w:r>
      <w:r>
        <w:rPr>
          <w:vertAlign w:val="subscript"/>
        </w:rPr>
        <w:t>w</w:t>
      </w:r>
      <w:r>
        <w:t>.</w:t>
      </w:r>
    </w:p>
    <w:p w:rsidR="00CC4653" w:rsidRDefault="00CC4653" w:rsidP="00F80634">
      <w:pPr>
        <w:tabs>
          <w:tab w:val="right" w:pos="9360"/>
        </w:tabs>
      </w:pPr>
      <w:r>
        <w:t>The resultant transport equation is then:</w:t>
      </w:r>
    </w:p>
    <w:p w:rsidR="00CC4653" w:rsidRDefault="00DB1C09" w:rsidP="00CC4653">
      <w:pPr>
        <w:tabs>
          <w:tab w:val="right" w:pos="2160"/>
          <w:tab w:val="right" w:pos="9360"/>
        </w:tabs>
      </w:pPr>
      <w:r w:rsidRPr="00550EED">
        <w:rPr>
          <w:position w:val="-30"/>
        </w:rPr>
        <w:object w:dxaOrig="5500" w:dyaOrig="720">
          <v:shape id="_x0000_i1034" type="#_x0000_t75" style="width:274.2pt;height:36pt" o:ole="">
            <v:imagedata r:id="rId54" o:title=""/>
          </v:shape>
          <o:OLEObject Type="Embed" ProgID="Equation.3" ShapeID="_x0000_i1034" DrawAspect="Content" ObjectID="_1456567198" r:id="rId55"/>
        </w:object>
      </w:r>
      <w:r w:rsidR="00CC4653">
        <w:tab/>
        <w:t>(A1-9)</w:t>
      </w:r>
    </w:p>
    <w:p w:rsidR="00CC4653" w:rsidRDefault="00CC4653" w:rsidP="00F80634">
      <w:pPr>
        <w:tabs>
          <w:tab w:val="right" w:pos="9360"/>
        </w:tabs>
        <w:rPr>
          <w:rFonts w:ascii="Symbol" w:hAnsi="Symbol"/>
          <w:i/>
        </w:rPr>
      </w:pPr>
      <w:r>
        <w:t xml:space="preserve">This is identical to Equation (A1-2) except for the last term, where </w:t>
      </w:r>
      <w:r w:rsidRPr="00CC4653">
        <w:rPr>
          <w:rFonts w:ascii="Symbol" w:hAnsi="Symbol"/>
          <w:i/>
        </w:rPr>
        <w:t></w:t>
      </w:r>
      <w:r>
        <w:t xml:space="preserve"> is divided by </w:t>
      </w:r>
      <w:r>
        <w:rPr>
          <w:i/>
        </w:rPr>
        <w:t>R</w:t>
      </w:r>
      <w:r>
        <w:t xml:space="preserve">. </w:t>
      </w:r>
      <w:r w:rsidR="00DB1C09">
        <w:t xml:space="preserve">Therefore, if one wishes to run </w:t>
      </w:r>
      <w:proofErr w:type="spellStart"/>
      <w:r w:rsidR="00DB1C09">
        <w:t>Biochlor</w:t>
      </w:r>
      <w:proofErr w:type="spellEnd"/>
      <w:r w:rsidR="00DB1C09">
        <w:t xml:space="preserve"> </w:t>
      </w:r>
      <w:r w:rsidR="00DB1C09">
        <w:rPr>
          <w:i/>
        </w:rPr>
        <w:t>without</w:t>
      </w:r>
      <w:r w:rsidR="00DB1C09">
        <w:t xml:space="preserve"> a</w:t>
      </w:r>
      <w:r w:rsidR="0054715F">
        <w:t xml:space="preserve">ssuming zero </w:t>
      </w:r>
      <w:proofErr w:type="spellStart"/>
      <w:r w:rsidR="0054715F">
        <w:t>sorbed</w:t>
      </w:r>
      <w:proofErr w:type="spellEnd"/>
      <w:r w:rsidR="0054715F">
        <w:t>-phase decay,</w:t>
      </w:r>
      <w:r w:rsidR="00DB1C09">
        <w:t xml:space="preserve"> value</w:t>
      </w:r>
      <w:r w:rsidR="0054715F">
        <w:t>s</w:t>
      </w:r>
      <w:r w:rsidR="00DB1C09">
        <w:t xml:space="preserve"> of </w:t>
      </w:r>
      <w:r w:rsidR="00DB1C09">
        <w:rPr>
          <w:i/>
        </w:rPr>
        <w:t>R</w:t>
      </w:r>
      <w:r w:rsidR="00DB1C09">
        <w:rPr>
          <w:rFonts w:ascii="Symbol" w:hAnsi="Symbol"/>
          <w:i/>
        </w:rPr>
        <w:t></w:t>
      </w:r>
      <w:r w:rsidR="00DB1C09">
        <w:t xml:space="preserve"> may be entered in place of </w:t>
      </w:r>
      <w:r w:rsidR="00DB1C09">
        <w:rPr>
          <w:rFonts w:ascii="Symbol" w:hAnsi="Symbol"/>
          <w:i/>
        </w:rPr>
        <w:t></w:t>
      </w:r>
      <w:r w:rsidR="00B26EDD">
        <w:rPr>
          <w:rFonts w:ascii="Symbol" w:hAnsi="Symbol"/>
          <w:i/>
        </w:rPr>
        <w:t></w:t>
      </w:r>
    </w:p>
    <w:p w:rsidR="00B26EDD" w:rsidRDefault="00B26EDD" w:rsidP="00F80634">
      <w:pPr>
        <w:tabs>
          <w:tab w:val="right" w:pos="9360"/>
        </w:tabs>
      </w:pPr>
    </w:p>
    <w:p w:rsidR="00785E1E" w:rsidRPr="00876118" w:rsidRDefault="00785E1E" w:rsidP="00785E1E">
      <w:pPr>
        <w:tabs>
          <w:tab w:val="left" w:pos="900"/>
        </w:tabs>
        <w:rPr>
          <w:rFonts w:ascii="Arial" w:hAnsi="Arial" w:cs="Arial"/>
          <w:b/>
          <w:sz w:val="28"/>
        </w:rPr>
      </w:pPr>
      <w:r w:rsidRPr="00876118">
        <w:rPr>
          <w:rFonts w:ascii="Arial" w:hAnsi="Arial" w:cs="Arial"/>
          <w:b/>
          <w:sz w:val="28"/>
        </w:rPr>
        <w:t>A</w:t>
      </w:r>
      <w:r>
        <w:rPr>
          <w:rFonts w:ascii="Arial" w:hAnsi="Arial" w:cs="Arial"/>
          <w:b/>
          <w:sz w:val="28"/>
        </w:rPr>
        <w:t>1</w:t>
      </w:r>
      <w:r w:rsidRPr="00876118">
        <w:rPr>
          <w:rFonts w:ascii="Arial" w:hAnsi="Arial" w:cs="Arial"/>
          <w:b/>
          <w:sz w:val="28"/>
        </w:rPr>
        <w:t>.</w:t>
      </w:r>
      <w:r>
        <w:rPr>
          <w:rFonts w:ascii="Arial" w:hAnsi="Arial" w:cs="Arial"/>
          <w:b/>
          <w:sz w:val="28"/>
        </w:rPr>
        <w:t>2</w:t>
      </w:r>
      <w:r w:rsidRPr="00876118">
        <w:rPr>
          <w:rFonts w:ascii="Arial" w:hAnsi="Arial" w:cs="Arial"/>
          <w:b/>
          <w:sz w:val="28"/>
        </w:rPr>
        <w:t>.</w:t>
      </w:r>
      <w:r w:rsidRPr="00876118">
        <w:rPr>
          <w:rFonts w:ascii="Arial" w:hAnsi="Arial" w:cs="Arial"/>
          <w:b/>
          <w:sz w:val="28"/>
        </w:rPr>
        <w:tab/>
      </w:r>
      <w:r>
        <w:rPr>
          <w:rFonts w:ascii="Arial" w:hAnsi="Arial" w:cs="Arial"/>
          <w:b/>
          <w:sz w:val="28"/>
        </w:rPr>
        <w:t>Model Assumptions</w:t>
      </w:r>
    </w:p>
    <w:p w:rsidR="00785E1E" w:rsidRDefault="00785E1E" w:rsidP="00785E1E">
      <w:proofErr w:type="spellStart"/>
      <w:r>
        <w:t>Domenico’s</w:t>
      </w:r>
      <w:proofErr w:type="spellEnd"/>
      <w:r>
        <w:t xml:space="preserve"> solution to the </w:t>
      </w:r>
      <w:proofErr w:type="spellStart"/>
      <w:r>
        <w:t>advective</w:t>
      </w:r>
      <w:proofErr w:type="spellEnd"/>
      <w:r>
        <w:t>–dispersive equation incorporates the following assumptions.</w:t>
      </w:r>
    </w:p>
    <w:p w:rsidR="00785E1E" w:rsidRDefault="00785E1E" w:rsidP="00785E1E">
      <w:pPr>
        <w:ind w:left="360" w:hanging="360"/>
      </w:pPr>
    </w:p>
    <w:p w:rsidR="00785E1E" w:rsidRDefault="00785E1E" w:rsidP="00785E1E">
      <w:pPr>
        <w:ind w:left="360" w:hanging="360"/>
      </w:pPr>
      <w:r>
        <w:t>•</w:t>
      </w:r>
      <w:r>
        <w:tab/>
        <w:t>Aquifer properties are homogeneous and isotropic. For instance, porosity and hydraulic conductivity are spatially uniform, and there is no directional dependence.</w:t>
      </w:r>
    </w:p>
    <w:p w:rsidR="00B06174" w:rsidRDefault="00B06174" w:rsidP="00785E1E">
      <w:pPr>
        <w:ind w:left="360" w:hanging="360"/>
      </w:pPr>
    </w:p>
    <w:p w:rsidR="00785E1E" w:rsidRDefault="00785E1E" w:rsidP="00785E1E">
      <w:pPr>
        <w:ind w:left="360" w:hanging="360"/>
      </w:pPr>
      <w:r>
        <w:t>•</w:t>
      </w:r>
      <w:r>
        <w:tab/>
        <w:t xml:space="preserve">The flow field is homogeneous and </w:t>
      </w:r>
      <w:r w:rsidR="009B7AE5">
        <w:t>unidirectional</w:t>
      </w:r>
      <w:r>
        <w:t xml:space="preserve">. The hydraulic gradient and groundwater velocity are </w:t>
      </w:r>
      <w:r w:rsidR="009B7AE5">
        <w:t>constant in magnitude and direction throughout the model space</w:t>
      </w:r>
      <w:r>
        <w:t xml:space="preserve">. There are no pumping or recharge conditions altering the natural flow. </w:t>
      </w:r>
      <w:r w:rsidR="009B7AE5">
        <w:t>T</w:t>
      </w:r>
      <w:r>
        <w:t>he flow field is not radial, convergent, or divergent. There are no vertical flow gradients.</w:t>
      </w:r>
    </w:p>
    <w:p w:rsidR="00B06174" w:rsidRDefault="00B06174" w:rsidP="00785E1E">
      <w:pPr>
        <w:ind w:left="360" w:hanging="360"/>
      </w:pPr>
    </w:p>
    <w:p w:rsidR="00785E1E" w:rsidRDefault="00785E1E" w:rsidP="00785E1E">
      <w:pPr>
        <w:ind w:left="360" w:hanging="360"/>
      </w:pPr>
      <w:r>
        <w:t>•</w:t>
      </w:r>
      <w:r>
        <w:tab/>
        <w:t>Groundwater flow is in steady state. The hydraulic gradient and groundwater velocity are constant in time.</w:t>
      </w:r>
    </w:p>
    <w:p w:rsidR="00B06174" w:rsidRDefault="00B06174" w:rsidP="00785E1E">
      <w:pPr>
        <w:ind w:left="360" w:hanging="360"/>
      </w:pPr>
    </w:p>
    <w:p w:rsidR="00785E1E" w:rsidRDefault="00785E1E" w:rsidP="00785E1E">
      <w:pPr>
        <w:ind w:left="360" w:hanging="360"/>
      </w:pPr>
      <w:r>
        <w:t>•</w:t>
      </w:r>
      <w:r>
        <w:tab/>
        <w:t xml:space="preserve">The source shape is </w:t>
      </w:r>
      <w:r w:rsidR="00A6542F">
        <w:t>defined as a vertical rectangle perpendicular to groundwater flow.</w:t>
      </w:r>
    </w:p>
    <w:p w:rsidR="00B06174" w:rsidRDefault="00B06174" w:rsidP="00785E1E">
      <w:pPr>
        <w:ind w:left="360" w:hanging="360"/>
      </w:pPr>
    </w:p>
    <w:p w:rsidR="00A6542F" w:rsidRDefault="00A6542F" w:rsidP="00785E1E">
      <w:pPr>
        <w:ind w:left="360" w:hanging="360"/>
      </w:pPr>
      <w:r>
        <w:t>•</w:t>
      </w:r>
      <w:r>
        <w:tab/>
        <w:t>The source dimensions and concentration are constant with time.</w:t>
      </w:r>
    </w:p>
    <w:p w:rsidR="00B06174" w:rsidRDefault="00B06174" w:rsidP="00785E1E">
      <w:pPr>
        <w:ind w:left="360" w:hanging="360"/>
      </w:pPr>
    </w:p>
    <w:p w:rsidR="00785E1E" w:rsidRDefault="00785E1E" w:rsidP="00785E1E">
      <w:pPr>
        <w:ind w:left="360" w:hanging="360"/>
      </w:pPr>
      <w:r>
        <w:t>•</w:t>
      </w:r>
      <w:r>
        <w:tab/>
        <w:t>The aquifer is initially free of the contaminant, other than at the source.</w:t>
      </w:r>
    </w:p>
    <w:p w:rsidR="00B06174" w:rsidRDefault="00B06174" w:rsidP="00785E1E">
      <w:pPr>
        <w:ind w:left="360" w:hanging="360"/>
      </w:pPr>
    </w:p>
    <w:p w:rsidR="00785E1E" w:rsidRDefault="00785E1E" w:rsidP="00785E1E">
      <w:pPr>
        <w:ind w:left="360" w:hanging="360"/>
      </w:pPr>
      <w:r>
        <w:t>•</w:t>
      </w:r>
      <w:r>
        <w:tab/>
        <w:t xml:space="preserve">Both the aqueous and </w:t>
      </w:r>
      <w:proofErr w:type="spellStart"/>
      <w:r>
        <w:t>sorbed</w:t>
      </w:r>
      <w:proofErr w:type="spellEnd"/>
      <w:r>
        <w:t xml:space="preserve"> contaminant phases </w:t>
      </w:r>
      <w:r w:rsidR="00A6542F">
        <w:t xml:space="preserve">may </w:t>
      </w:r>
      <w:r>
        <w:t>undergo first-order decay, and the decay rate is the same for both.</w:t>
      </w:r>
    </w:p>
    <w:p w:rsidR="00B06174" w:rsidRDefault="00B06174" w:rsidP="00785E1E">
      <w:pPr>
        <w:ind w:left="360" w:hanging="360"/>
      </w:pPr>
    </w:p>
    <w:p w:rsidR="00785E1E" w:rsidRDefault="00785E1E" w:rsidP="00785E1E">
      <w:pPr>
        <w:ind w:left="360" w:hanging="360"/>
      </w:pPr>
      <w:r>
        <w:t>•</w:t>
      </w:r>
      <w:r>
        <w:tab/>
        <w:t>There is no transverse or vertical contaminant decay.</w:t>
      </w:r>
    </w:p>
    <w:p w:rsidR="00B06174" w:rsidRDefault="00B06174" w:rsidP="00785E1E">
      <w:pPr>
        <w:ind w:left="360" w:hanging="360"/>
      </w:pPr>
    </w:p>
    <w:p w:rsidR="00785E1E" w:rsidRDefault="00785E1E" w:rsidP="00785E1E">
      <w:pPr>
        <w:ind w:left="360" w:hanging="360"/>
      </w:pPr>
      <w:r>
        <w:t>•</w:t>
      </w:r>
      <w:r>
        <w:tab/>
        <w:t>Contaminants undergo linear, reversible, isothermal adsorption.</w:t>
      </w:r>
    </w:p>
    <w:p w:rsidR="00B06174" w:rsidRDefault="00B06174" w:rsidP="00785E1E">
      <w:pPr>
        <w:ind w:left="360" w:hanging="360"/>
      </w:pPr>
    </w:p>
    <w:p w:rsidR="00785E1E" w:rsidRDefault="00785E1E" w:rsidP="00785E1E">
      <w:pPr>
        <w:ind w:left="360" w:hanging="360"/>
      </w:pPr>
      <w:r>
        <w:t>•</w:t>
      </w:r>
      <w:r>
        <w:tab/>
        <w:t>Flow velocities are sufficiently high that mechanical dispersion dominates diffusion.</w:t>
      </w:r>
    </w:p>
    <w:p w:rsidR="004733A6" w:rsidRDefault="004733A6" w:rsidP="004733A6"/>
    <w:p w:rsidR="00785E1E" w:rsidRPr="00876118" w:rsidRDefault="00785E1E" w:rsidP="00785E1E">
      <w:pPr>
        <w:tabs>
          <w:tab w:val="left" w:pos="900"/>
        </w:tabs>
        <w:rPr>
          <w:rFonts w:ascii="Arial" w:hAnsi="Arial" w:cs="Arial"/>
          <w:b/>
          <w:sz w:val="28"/>
        </w:rPr>
      </w:pPr>
      <w:r w:rsidRPr="00876118">
        <w:rPr>
          <w:rFonts w:ascii="Arial" w:hAnsi="Arial" w:cs="Arial"/>
          <w:b/>
          <w:sz w:val="28"/>
        </w:rPr>
        <w:t>A</w:t>
      </w:r>
      <w:r>
        <w:rPr>
          <w:rFonts w:ascii="Arial" w:hAnsi="Arial" w:cs="Arial"/>
          <w:b/>
          <w:sz w:val="28"/>
        </w:rPr>
        <w:t>1</w:t>
      </w:r>
      <w:r w:rsidRPr="00876118">
        <w:rPr>
          <w:rFonts w:ascii="Arial" w:hAnsi="Arial" w:cs="Arial"/>
          <w:b/>
          <w:sz w:val="28"/>
        </w:rPr>
        <w:t>.</w:t>
      </w:r>
      <w:r>
        <w:rPr>
          <w:rFonts w:ascii="Arial" w:hAnsi="Arial" w:cs="Arial"/>
          <w:b/>
          <w:sz w:val="28"/>
        </w:rPr>
        <w:t>3</w:t>
      </w:r>
      <w:r w:rsidRPr="00876118">
        <w:rPr>
          <w:rFonts w:ascii="Arial" w:hAnsi="Arial" w:cs="Arial"/>
          <w:b/>
          <w:sz w:val="28"/>
        </w:rPr>
        <w:t>.</w:t>
      </w:r>
      <w:r w:rsidRPr="00876118">
        <w:rPr>
          <w:rFonts w:ascii="Arial" w:hAnsi="Arial" w:cs="Arial"/>
          <w:b/>
          <w:sz w:val="28"/>
        </w:rPr>
        <w:tab/>
      </w:r>
      <w:r>
        <w:rPr>
          <w:rFonts w:ascii="Arial" w:hAnsi="Arial" w:cs="Arial"/>
          <w:b/>
          <w:sz w:val="28"/>
        </w:rPr>
        <w:t>Mathematical Approximations</w:t>
      </w:r>
    </w:p>
    <w:p w:rsidR="00785E1E" w:rsidRDefault="00785E1E" w:rsidP="00785E1E">
      <w:r>
        <w:t xml:space="preserve">The approximations inherent to the </w:t>
      </w:r>
      <w:proofErr w:type="spellStart"/>
      <w:r>
        <w:t>Domenico</w:t>
      </w:r>
      <w:proofErr w:type="spellEnd"/>
      <w:r>
        <w:t xml:space="preserve"> solution have been examined by </w:t>
      </w:r>
      <w:r>
        <w:rPr>
          <w:i/>
        </w:rPr>
        <w:t>West</w:t>
      </w:r>
      <w:r>
        <w:t xml:space="preserve"> et al. [2007] and </w:t>
      </w:r>
      <w:r>
        <w:rPr>
          <w:i/>
        </w:rPr>
        <w:t>Srinivasan</w:t>
      </w:r>
      <w:r>
        <w:t xml:space="preserve"> et al. [2007]. They pointed out three significant mathematical inaccuracies.</w:t>
      </w:r>
    </w:p>
    <w:p w:rsidR="00785E1E" w:rsidRDefault="00785E1E" w:rsidP="00785E1E"/>
    <w:p w:rsidR="00785E1E" w:rsidRDefault="00785E1E" w:rsidP="00785E1E">
      <w:pPr>
        <w:ind w:left="360" w:hanging="360"/>
      </w:pPr>
      <w:r>
        <w:t>•</w:t>
      </w:r>
      <w:r>
        <w:tab/>
        <w:t xml:space="preserve">The three-dimensional solution is taken to be the product of three one-dimensional solutions. This approach does not conserve mass. </w:t>
      </w:r>
    </w:p>
    <w:p w:rsidR="00B06174" w:rsidRDefault="00B06174" w:rsidP="00785E1E">
      <w:pPr>
        <w:ind w:left="360" w:hanging="360"/>
      </w:pPr>
    </w:p>
    <w:p w:rsidR="00785E1E" w:rsidRDefault="00785E1E" w:rsidP="00785E1E">
      <w:pPr>
        <w:ind w:left="360" w:hanging="360"/>
      </w:pPr>
      <w:r>
        <w:t>•</w:t>
      </w:r>
      <w:r>
        <w:tab/>
        <w:t xml:space="preserve">The longitudinal solution </w:t>
      </w:r>
      <w:r>
        <w:rPr>
          <w:i/>
        </w:rPr>
        <w:t>C</w:t>
      </w:r>
      <w:r>
        <w:t>(</w:t>
      </w:r>
      <w:proofErr w:type="spellStart"/>
      <w:r>
        <w:rPr>
          <w:i/>
        </w:rPr>
        <w:t>x</w:t>
      </w:r>
      <w:proofErr w:type="gramStart"/>
      <w:r>
        <w:t>,</w:t>
      </w:r>
      <w:r>
        <w:rPr>
          <w:i/>
        </w:rPr>
        <w:t>t</w:t>
      </w:r>
      <w:proofErr w:type="spellEnd"/>
      <w:proofErr w:type="gramEnd"/>
      <w:r>
        <w:t>) omits a secondary term</w:t>
      </w:r>
      <w:r w:rsidR="00445E12">
        <w:t xml:space="preserve"> in QD and </w:t>
      </w:r>
      <w:proofErr w:type="spellStart"/>
      <w:r w:rsidR="00445E12">
        <w:t>Bioscreen</w:t>
      </w:r>
      <w:proofErr w:type="spellEnd"/>
      <w:r>
        <w:t xml:space="preserve">. The error is large when the </w:t>
      </w:r>
      <w:proofErr w:type="spellStart"/>
      <w:r>
        <w:t>dispersivity</w:t>
      </w:r>
      <w:proofErr w:type="spellEnd"/>
      <w:r>
        <w:t xml:space="preserve"> (</w:t>
      </w:r>
      <w:r>
        <w:rPr>
          <w:rFonts w:ascii="Symbol" w:hAnsi="Symbol"/>
          <w:i/>
        </w:rPr>
        <w:t></w:t>
      </w:r>
      <w:r>
        <w:rPr>
          <w:i/>
          <w:vertAlign w:val="subscript"/>
        </w:rPr>
        <w:t>x</w:t>
      </w:r>
      <w:r>
        <w:t xml:space="preserve">) is large such that </w:t>
      </w:r>
      <w:r>
        <w:rPr>
          <w:i/>
        </w:rPr>
        <w:t>x</w:t>
      </w:r>
      <w:r>
        <w:t>/</w:t>
      </w:r>
      <w:r>
        <w:rPr>
          <w:rFonts w:ascii="Symbol" w:hAnsi="Symbol"/>
          <w:i/>
        </w:rPr>
        <w:t></w:t>
      </w:r>
      <w:r>
        <w:rPr>
          <w:i/>
          <w:vertAlign w:val="subscript"/>
        </w:rPr>
        <w:t>x</w:t>
      </w:r>
      <w:r>
        <w:t xml:space="preserve"> is relatively small.</w:t>
      </w:r>
    </w:p>
    <w:p w:rsidR="00B06174" w:rsidRDefault="00B06174" w:rsidP="00785E1E">
      <w:pPr>
        <w:ind w:left="360" w:hanging="360"/>
      </w:pPr>
    </w:p>
    <w:p w:rsidR="00785E1E" w:rsidRDefault="00785E1E" w:rsidP="00785E1E">
      <w:pPr>
        <w:ind w:left="360" w:hanging="360"/>
      </w:pPr>
      <w:r>
        <w:t>•</w:t>
      </w:r>
      <w:r>
        <w:tab/>
      </w:r>
      <w:proofErr w:type="spellStart"/>
      <w:r>
        <w:t>Domenico</w:t>
      </w:r>
      <w:proofErr w:type="spellEnd"/>
      <w:r>
        <w:t xml:space="preserve"> made the time substitution </w:t>
      </w:r>
      <w:r>
        <w:rPr>
          <w:i/>
        </w:rPr>
        <w:t>t</w:t>
      </w:r>
      <w:r>
        <w:t xml:space="preserve"> = </w:t>
      </w:r>
      <w:r>
        <w:rPr>
          <w:i/>
        </w:rPr>
        <w:t>x</w:t>
      </w:r>
      <w:r>
        <w:t>/</w:t>
      </w:r>
      <w:r>
        <w:rPr>
          <w:i/>
        </w:rPr>
        <w:t>v</w:t>
      </w:r>
      <w:r>
        <w:t xml:space="preserve">, where </w:t>
      </w:r>
      <w:r>
        <w:rPr>
          <w:i/>
        </w:rPr>
        <w:t>v</w:t>
      </w:r>
      <w:r>
        <w:t xml:space="preserve"> is the groundwater velocity. This is only correct when </w:t>
      </w:r>
      <w:r>
        <w:rPr>
          <w:rFonts w:ascii="Symbol" w:hAnsi="Symbol"/>
          <w:i/>
        </w:rPr>
        <w:t></w:t>
      </w:r>
      <w:r>
        <w:rPr>
          <w:i/>
          <w:vertAlign w:val="subscript"/>
        </w:rPr>
        <w:t>x</w:t>
      </w:r>
      <w:r>
        <w:t xml:space="preserve"> = 0. For nonzero longitudinal </w:t>
      </w:r>
      <w:proofErr w:type="spellStart"/>
      <w:r>
        <w:t>dispersivity</w:t>
      </w:r>
      <w:proofErr w:type="spellEnd"/>
      <w:r>
        <w:t xml:space="preserve">, there are sizable errors especially forward of the </w:t>
      </w:r>
      <w:proofErr w:type="spellStart"/>
      <w:r>
        <w:t>advective</w:t>
      </w:r>
      <w:proofErr w:type="spellEnd"/>
      <w:r>
        <w:t xml:space="preserve"> front. This time reinterpretation also exaggerates the plume width.</w:t>
      </w:r>
    </w:p>
    <w:p w:rsidR="00785E1E" w:rsidRDefault="00785E1E" w:rsidP="00785E1E">
      <w:pPr>
        <w:ind w:left="360" w:hanging="360"/>
      </w:pPr>
    </w:p>
    <w:p w:rsidR="00785E1E" w:rsidRDefault="00785E1E" w:rsidP="00785E1E">
      <w:r>
        <w:rPr>
          <w:i/>
        </w:rPr>
        <w:t>West</w:t>
      </w:r>
      <w:r>
        <w:t xml:space="preserve"> et al. [2007] and </w:t>
      </w:r>
      <w:r>
        <w:rPr>
          <w:i/>
        </w:rPr>
        <w:t>Srinivasan</w:t>
      </w:r>
      <w:r>
        <w:t xml:space="preserve"> et al. [2007] concluded that contaminant concentrations may be significantly underestimated on the plume centerline. Errors can be minimized when:</w:t>
      </w:r>
    </w:p>
    <w:p w:rsidR="00785E1E" w:rsidRDefault="00785E1E" w:rsidP="00785E1E">
      <w:pPr>
        <w:tabs>
          <w:tab w:val="left" w:pos="720"/>
        </w:tabs>
        <w:ind w:left="360" w:hanging="360"/>
      </w:pPr>
      <w:r>
        <w:tab/>
        <w:t>•</w:t>
      </w:r>
      <w:r>
        <w:tab/>
      </w:r>
      <w:proofErr w:type="gramStart"/>
      <w:r>
        <w:t>longitudinal</w:t>
      </w:r>
      <w:proofErr w:type="gramEnd"/>
      <w:r>
        <w:t xml:space="preserve"> </w:t>
      </w:r>
      <w:proofErr w:type="spellStart"/>
      <w:r>
        <w:t>dispersivities</w:t>
      </w:r>
      <w:proofErr w:type="spellEnd"/>
      <w:r>
        <w:t xml:space="preserve"> are low (</w:t>
      </w:r>
      <w:r>
        <w:rPr>
          <w:rFonts w:ascii="Symbol" w:hAnsi="Symbol"/>
          <w:i/>
        </w:rPr>
        <w:t></w:t>
      </w:r>
      <w:r>
        <w:rPr>
          <w:i/>
          <w:vertAlign w:val="subscript"/>
        </w:rPr>
        <w:t>x</w:t>
      </w:r>
      <w:r>
        <w:t>)</w:t>
      </w:r>
    </w:p>
    <w:p w:rsidR="00785E1E" w:rsidRDefault="00785E1E" w:rsidP="00785E1E">
      <w:pPr>
        <w:tabs>
          <w:tab w:val="left" w:pos="720"/>
        </w:tabs>
        <w:ind w:left="360" w:hanging="360"/>
      </w:pPr>
      <w:r>
        <w:tab/>
        <w:t>•</w:t>
      </w:r>
      <w:r>
        <w:tab/>
      </w:r>
      <w:proofErr w:type="gramStart"/>
      <w:r>
        <w:t>advection</w:t>
      </w:r>
      <w:proofErr w:type="gramEnd"/>
      <w:r>
        <w:t xml:space="preserve"> velocities are high (</w:t>
      </w:r>
      <w:r>
        <w:rPr>
          <w:i/>
        </w:rPr>
        <w:t>v</w:t>
      </w:r>
      <w:r>
        <w:t xml:space="preserve"> = </w:t>
      </w:r>
      <w:r>
        <w:rPr>
          <w:i/>
        </w:rPr>
        <w:t>Ki</w:t>
      </w:r>
      <w:r>
        <w:t>)</w:t>
      </w:r>
    </w:p>
    <w:p w:rsidR="00785E1E" w:rsidRPr="00FA5788" w:rsidRDefault="00785E1E" w:rsidP="00785E1E">
      <w:pPr>
        <w:tabs>
          <w:tab w:val="left" w:pos="720"/>
        </w:tabs>
        <w:ind w:left="360" w:hanging="360"/>
        <w:rPr>
          <w:rFonts w:ascii="Symbol" w:hAnsi="Symbol"/>
        </w:rPr>
      </w:pPr>
      <w:r>
        <w:tab/>
        <w:t>•</w:t>
      </w:r>
      <w:r>
        <w:tab/>
      </w:r>
      <w:proofErr w:type="gramStart"/>
      <w:r>
        <w:t>simulation</w:t>
      </w:r>
      <w:proofErr w:type="gramEnd"/>
      <w:r>
        <w:t xml:space="preserve"> times are long (</w:t>
      </w:r>
      <w:r>
        <w:rPr>
          <w:i/>
        </w:rPr>
        <w:t>t</w:t>
      </w:r>
      <w:r>
        <w:t>).</w:t>
      </w:r>
    </w:p>
    <w:p w:rsidR="00785E1E" w:rsidRDefault="00785E1E" w:rsidP="00F80634">
      <w:pPr>
        <w:tabs>
          <w:tab w:val="right" w:pos="9360"/>
        </w:tabs>
      </w:pPr>
    </w:p>
    <w:p w:rsidR="00A6542F" w:rsidRDefault="00A6542F" w:rsidP="00A6542F">
      <w:r>
        <w:t xml:space="preserve">Users must practice caution when making site predictions using fate-and-transport models </w:t>
      </w:r>
      <w:r w:rsidR="00AE2A38">
        <w:t xml:space="preserve">as discussed by </w:t>
      </w:r>
      <w:proofErr w:type="spellStart"/>
      <w:r>
        <w:rPr>
          <w:i/>
        </w:rPr>
        <w:t>Konikow</w:t>
      </w:r>
      <w:proofErr w:type="spellEnd"/>
      <w:r>
        <w:t xml:space="preserve"> </w:t>
      </w:r>
      <w:r w:rsidR="00AE2A38">
        <w:t>[</w:t>
      </w:r>
      <w:r>
        <w:t>2010].</w:t>
      </w:r>
    </w:p>
    <w:p w:rsidR="00785E1E" w:rsidRDefault="00785E1E" w:rsidP="00F80634">
      <w:pPr>
        <w:tabs>
          <w:tab w:val="right" w:pos="9360"/>
        </w:tabs>
      </w:pPr>
    </w:p>
    <w:p w:rsidR="00785E1E" w:rsidRDefault="00785E1E" w:rsidP="00F80634">
      <w:pPr>
        <w:tabs>
          <w:tab w:val="right" w:pos="9360"/>
        </w:tabs>
      </w:pPr>
    </w:p>
    <w:p w:rsidR="00785E1E" w:rsidRDefault="00785E1E" w:rsidP="00F80634">
      <w:pPr>
        <w:tabs>
          <w:tab w:val="right" w:pos="9360"/>
        </w:tabs>
      </w:pPr>
    </w:p>
    <w:p w:rsidR="00785E1E" w:rsidRDefault="00785E1E" w:rsidP="00F80634">
      <w:pPr>
        <w:tabs>
          <w:tab w:val="right" w:pos="9360"/>
        </w:tabs>
      </w:pPr>
    </w:p>
    <w:p w:rsidR="00785E1E" w:rsidRDefault="00785E1E" w:rsidP="00F80634">
      <w:pPr>
        <w:tabs>
          <w:tab w:val="right" w:pos="9360"/>
        </w:tabs>
      </w:pPr>
    </w:p>
    <w:p w:rsidR="006A688A" w:rsidRDefault="006A688A" w:rsidP="00E5652D">
      <w:pPr>
        <w:pStyle w:val="Appendix1"/>
      </w:pPr>
      <w:r>
        <w:br w:type="page"/>
      </w:r>
      <w:bookmarkStart w:id="60" w:name="App2"/>
      <w:bookmarkStart w:id="61" w:name="_Toc381357807"/>
      <w:bookmarkEnd w:id="60"/>
      <w:r>
        <w:lastRenderedPageBreak/>
        <w:t>Hydraulic Conductivity</w:t>
      </w:r>
      <w:bookmarkEnd w:id="61"/>
    </w:p>
    <w:p w:rsidR="006A688A" w:rsidRDefault="006A688A"/>
    <w:p w:rsidR="006A688A" w:rsidRPr="004E1BFB" w:rsidRDefault="004E1BFB" w:rsidP="004E1BFB">
      <w:pPr>
        <w:tabs>
          <w:tab w:val="left" w:pos="900"/>
        </w:tabs>
        <w:rPr>
          <w:rFonts w:ascii="Arial" w:hAnsi="Arial" w:cs="Arial"/>
          <w:b/>
          <w:i/>
          <w:sz w:val="28"/>
        </w:rPr>
      </w:pPr>
      <w:r w:rsidRPr="004E1BFB">
        <w:rPr>
          <w:rFonts w:ascii="Arial" w:hAnsi="Arial" w:cs="Arial"/>
          <w:b/>
          <w:i/>
          <w:sz w:val="28"/>
        </w:rPr>
        <w:t>A2.1</w:t>
      </w:r>
      <w:r>
        <w:rPr>
          <w:rFonts w:ascii="Arial" w:hAnsi="Arial" w:cs="Arial"/>
          <w:b/>
          <w:i/>
          <w:sz w:val="28"/>
        </w:rPr>
        <w:t>.</w:t>
      </w:r>
      <w:r w:rsidRPr="004E1BFB">
        <w:rPr>
          <w:rFonts w:ascii="Arial" w:hAnsi="Arial" w:cs="Arial"/>
          <w:b/>
          <w:i/>
          <w:sz w:val="28"/>
        </w:rPr>
        <w:tab/>
      </w:r>
      <w:r w:rsidR="00242D28" w:rsidRPr="004E1BFB">
        <w:rPr>
          <w:rFonts w:ascii="Arial" w:hAnsi="Arial" w:cs="Arial"/>
          <w:b/>
          <w:i/>
          <w:sz w:val="28"/>
        </w:rPr>
        <w:t>Site-Specific Measurements</w:t>
      </w:r>
    </w:p>
    <w:p w:rsidR="00242D28" w:rsidRDefault="005D7E01">
      <w:r>
        <w:t xml:space="preserve">The preferred source of hydraulic conductivity values for input to Quick </w:t>
      </w:r>
      <w:proofErr w:type="spellStart"/>
      <w:r>
        <w:t>Domenico</w:t>
      </w:r>
      <w:proofErr w:type="spellEnd"/>
      <w:r>
        <w:t xml:space="preserve"> are measurements from on-site well tests. The most common methods used are slug tests and pump tests. The user must keep in mind that site-specific values are not exact measurements of conductivity, which can vary spatially and with depth. Therefore, a conservative approach should be used when applying the results to fate-and-transport models.</w:t>
      </w:r>
    </w:p>
    <w:p w:rsidR="00DC475E" w:rsidRDefault="00DC475E" w:rsidP="00DC475E"/>
    <w:p w:rsidR="00DC475E" w:rsidRPr="00E85858" w:rsidRDefault="00DC475E" w:rsidP="00DC475E">
      <w:r>
        <w:t>If well testing results are the basis for the QD hydraulic conductivity, then all data and calculations must be submitted to support values used in the model. This should include printouts from software (e.g., AQTESOLV) and graphs showing drawdown data and the best fits of the solution method. A narrative should explain the approach to aquifer testing, the applicability of the method, and how a representative hydraulic conductivity range was obtained from the results.</w:t>
      </w:r>
    </w:p>
    <w:p w:rsidR="005D7E01" w:rsidRDefault="005D7E01"/>
    <w:p w:rsidR="00245F8D" w:rsidRPr="004E1BFB" w:rsidRDefault="004E1BFB" w:rsidP="004E1BFB">
      <w:pPr>
        <w:tabs>
          <w:tab w:val="left" w:pos="900"/>
        </w:tabs>
        <w:rPr>
          <w:rFonts w:ascii="Arial" w:hAnsi="Arial" w:cs="Arial"/>
          <w:b/>
          <w:sz w:val="26"/>
        </w:rPr>
      </w:pPr>
      <w:r w:rsidRPr="004E1BFB">
        <w:rPr>
          <w:rFonts w:ascii="Arial" w:hAnsi="Arial" w:cs="Arial"/>
          <w:b/>
          <w:sz w:val="26"/>
        </w:rPr>
        <w:t>A2.1.1.</w:t>
      </w:r>
      <w:r w:rsidRPr="004E1BFB">
        <w:rPr>
          <w:rFonts w:ascii="Arial" w:hAnsi="Arial" w:cs="Arial"/>
          <w:b/>
          <w:sz w:val="26"/>
        </w:rPr>
        <w:tab/>
      </w:r>
      <w:r w:rsidR="00245F8D" w:rsidRPr="004E1BFB">
        <w:rPr>
          <w:rFonts w:ascii="Arial" w:hAnsi="Arial" w:cs="Arial"/>
          <w:b/>
          <w:sz w:val="26"/>
        </w:rPr>
        <w:t>Slug Tests</w:t>
      </w:r>
    </w:p>
    <w:p w:rsidR="005D7E01" w:rsidRDefault="005D7E01">
      <w:r>
        <w:t xml:space="preserve">Slug tests are performed by inserting and removing a “slug” (such as an enclosed pipe) into and out of a well (rising head test). </w:t>
      </w:r>
      <w:r w:rsidR="0018268E">
        <w:t xml:space="preserve">The change in the water level with time is measured. A solution, such as the </w:t>
      </w:r>
      <w:proofErr w:type="spellStart"/>
      <w:r w:rsidR="0018268E">
        <w:t>Bouwer</w:t>
      </w:r>
      <w:proofErr w:type="spellEnd"/>
      <w:r w:rsidR="0018268E">
        <w:t xml:space="preserve"> and Rice method for unconfined aquifers, is fit to the data to d</w:t>
      </w:r>
      <w:r w:rsidR="00FD3AF6">
        <w:t>erive a hydraulic conductivity [</w:t>
      </w:r>
      <w:r w:rsidR="0018268E">
        <w:t xml:space="preserve">e.g., </w:t>
      </w:r>
      <w:proofErr w:type="spellStart"/>
      <w:r w:rsidR="0018268E">
        <w:rPr>
          <w:i/>
        </w:rPr>
        <w:t>Kruseman</w:t>
      </w:r>
      <w:proofErr w:type="spellEnd"/>
      <w:r w:rsidR="0018268E">
        <w:rPr>
          <w:i/>
        </w:rPr>
        <w:t xml:space="preserve"> and de </w:t>
      </w:r>
      <w:proofErr w:type="spellStart"/>
      <w:r w:rsidR="0018268E">
        <w:rPr>
          <w:i/>
        </w:rPr>
        <w:t>Ridder</w:t>
      </w:r>
      <w:proofErr w:type="spellEnd"/>
      <w:r w:rsidR="00AA65F3">
        <w:t>, 199</w:t>
      </w:r>
      <w:r w:rsidR="00FD3AF6">
        <w:t>0, Ch. 16</w:t>
      </w:r>
      <w:r w:rsidR="00A93C35">
        <w:t xml:space="preserve">; </w:t>
      </w:r>
      <w:proofErr w:type="spellStart"/>
      <w:r w:rsidR="00A93C35">
        <w:rPr>
          <w:i/>
        </w:rPr>
        <w:t>Bouwer</w:t>
      </w:r>
      <w:proofErr w:type="spellEnd"/>
      <w:r w:rsidR="00A93C35">
        <w:t>, 1989</w:t>
      </w:r>
      <w:r w:rsidR="00FD3AF6">
        <w:t>]</w:t>
      </w:r>
      <w:r w:rsidR="0018268E">
        <w:t xml:space="preserve">. </w:t>
      </w:r>
    </w:p>
    <w:p w:rsidR="0018268E" w:rsidRDefault="0018268E"/>
    <w:p w:rsidR="0018268E" w:rsidRDefault="0018268E">
      <w:r>
        <w:t xml:space="preserve">Slug tests give a very limited picture of the aquifer permeability. They represent the permeability in a small volume immediately around the well. This material may have been disturbed by drilling the well. </w:t>
      </w:r>
      <w:r w:rsidR="00780ED5">
        <w:t xml:space="preserve">Also, the recovery may be influenced by flow through the filter pack. For these reasons, results of testing </w:t>
      </w:r>
      <w:r w:rsidR="00AA65F3">
        <w:t xml:space="preserve">just </w:t>
      </w:r>
      <w:r w:rsidR="00780ED5">
        <w:t xml:space="preserve">one or two wells are not </w:t>
      </w:r>
      <w:r w:rsidR="00445E12">
        <w:t xml:space="preserve">sufficient </w:t>
      </w:r>
      <w:r w:rsidR="00780ED5">
        <w:t xml:space="preserve">for </w:t>
      </w:r>
      <w:r w:rsidR="00445E12">
        <w:t xml:space="preserve">determining </w:t>
      </w:r>
      <w:r w:rsidR="00780ED5">
        <w:t>a hydraulic c</w:t>
      </w:r>
      <w:r w:rsidR="00AA65F3">
        <w:t xml:space="preserve">onductivity </w:t>
      </w:r>
      <w:r w:rsidR="00445E12">
        <w:t xml:space="preserve">value </w:t>
      </w:r>
      <w:r w:rsidR="00AA65F3">
        <w:t>for use in the QD model</w:t>
      </w:r>
      <w:r w:rsidR="00780ED5">
        <w:t>.</w:t>
      </w:r>
      <w:r w:rsidR="00AA65F3">
        <w:t xml:space="preserve"> Each well should be tested at least three times, and at least three wells should be slug tested. Wells ought to be selected in the source area and downgradient from it. </w:t>
      </w:r>
    </w:p>
    <w:p w:rsidR="00245F8D" w:rsidRDefault="00245F8D"/>
    <w:p w:rsidR="00A90E3E" w:rsidRPr="005D2D9B" w:rsidRDefault="005D2D9B">
      <w:r>
        <w:t xml:space="preserve">The slug test results at a site should </w:t>
      </w:r>
      <w:r w:rsidRPr="005D2D9B">
        <w:rPr>
          <w:i/>
        </w:rPr>
        <w:t>not</w:t>
      </w:r>
      <w:r>
        <w:t xml:space="preserve"> be used to determine an absolute, average value of </w:t>
      </w:r>
      <w:r>
        <w:rPr>
          <w:i/>
        </w:rPr>
        <w:t>K</w:t>
      </w:r>
      <w:r>
        <w:t xml:space="preserve"> for input to QD. Instead, the </w:t>
      </w:r>
      <w:r w:rsidR="00445E12">
        <w:t>test results</w:t>
      </w:r>
      <w:r>
        <w:t xml:space="preserve"> should be </w:t>
      </w:r>
      <w:r w:rsidR="00445E12">
        <w:t xml:space="preserve">evaluated </w:t>
      </w:r>
      <w:r>
        <w:t xml:space="preserve">to define a range of reasonable conductivities for the aquifer. This approach accounts for local heterogeneity and anisotropy, and it </w:t>
      </w:r>
      <w:r w:rsidR="00445E12">
        <w:t xml:space="preserve">should </w:t>
      </w:r>
      <w:r>
        <w:t xml:space="preserve">be conservative. </w:t>
      </w:r>
      <w:r w:rsidR="009B787D">
        <w:t>The range might be defined as the minimum and maximum values, the average plus or minus the standard deviation, or the 95% lower and upper confidence limits of the mean. These low and high conductivity values are then input to QD as part of the sensitivity analysis</w:t>
      </w:r>
      <w:r w:rsidR="00C50EF7">
        <w:t xml:space="preserve"> and calibration</w:t>
      </w:r>
      <w:r w:rsidR="009B787D">
        <w:t>.</w:t>
      </w:r>
    </w:p>
    <w:p w:rsidR="00245F8D" w:rsidRDefault="00245F8D"/>
    <w:p w:rsidR="00245F8D" w:rsidRPr="004E1BFB" w:rsidRDefault="004E1BFB" w:rsidP="004E1BFB">
      <w:pPr>
        <w:tabs>
          <w:tab w:val="left" w:pos="900"/>
        </w:tabs>
        <w:rPr>
          <w:rFonts w:ascii="Arial" w:hAnsi="Arial" w:cs="Arial"/>
          <w:b/>
          <w:sz w:val="26"/>
        </w:rPr>
      </w:pPr>
      <w:r w:rsidRPr="004E1BFB">
        <w:rPr>
          <w:rFonts w:ascii="Arial" w:hAnsi="Arial" w:cs="Arial"/>
          <w:b/>
          <w:sz w:val="26"/>
        </w:rPr>
        <w:t>A2.1.2.</w:t>
      </w:r>
      <w:r w:rsidRPr="004E1BFB">
        <w:rPr>
          <w:rFonts w:ascii="Arial" w:hAnsi="Arial" w:cs="Arial"/>
          <w:b/>
          <w:sz w:val="26"/>
        </w:rPr>
        <w:tab/>
      </w:r>
      <w:r w:rsidR="00C4262F" w:rsidRPr="004E1BFB">
        <w:rPr>
          <w:rFonts w:ascii="Arial" w:hAnsi="Arial" w:cs="Arial"/>
          <w:b/>
          <w:sz w:val="26"/>
        </w:rPr>
        <w:t>Pump Tests</w:t>
      </w:r>
    </w:p>
    <w:p w:rsidR="00242D28" w:rsidRDefault="001853EA">
      <w:r>
        <w:t xml:space="preserve">Pumping tests are more representative of the aquifer permeability than slug tests. They reflect a larger volume of the subsurface (encompassing the wells that respond to the pumping) and are performed for a much longer period (12–24 </w:t>
      </w:r>
      <w:proofErr w:type="spellStart"/>
      <w:r>
        <w:t>hr</w:t>
      </w:r>
      <w:proofErr w:type="spellEnd"/>
      <w:r>
        <w:t xml:space="preserve"> or more). They also allow the use of multiple independent calculations of </w:t>
      </w:r>
      <w:proofErr w:type="spellStart"/>
      <w:r>
        <w:t>transmissivity</w:t>
      </w:r>
      <w:proofErr w:type="spellEnd"/>
      <w:r>
        <w:t xml:space="preserve"> from the same test: drawdown vs. time at the pumping and observation wells, d</w:t>
      </w:r>
      <w:r w:rsidR="00FD3AF6">
        <w:t>rawdown vs. distance from the pumping well</w:t>
      </w:r>
      <w:r w:rsidR="004260C0">
        <w:t>, and recovery after cessation of pumping</w:t>
      </w:r>
      <w:r w:rsidR="00FD3AF6">
        <w:t xml:space="preserve">. </w:t>
      </w:r>
      <w:r w:rsidR="009B787D">
        <w:t>P</w:t>
      </w:r>
      <w:r w:rsidR="00FD3AF6">
        <w:t>umping tests are more involved than slug tests, though [</w:t>
      </w:r>
      <w:proofErr w:type="spellStart"/>
      <w:r w:rsidR="00FD3AF6">
        <w:rPr>
          <w:i/>
        </w:rPr>
        <w:t>Kruseman</w:t>
      </w:r>
      <w:proofErr w:type="spellEnd"/>
      <w:r w:rsidR="00FD3AF6">
        <w:rPr>
          <w:i/>
        </w:rPr>
        <w:t xml:space="preserve"> and de </w:t>
      </w:r>
      <w:proofErr w:type="spellStart"/>
      <w:r w:rsidR="00FD3AF6">
        <w:rPr>
          <w:i/>
        </w:rPr>
        <w:t>Ridder</w:t>
      </w:r>
      <w:proofErr w:type="spellEnd"/>
      <w:r w:rsidR="00FD3AF6">
        <w:t xml:space="preserve">, 1990, Ch. 2]. </w:t>
      </w:r>
    </w:p>
    <w:p w:rsidR="00FD3AF6" w:rsidRDefault="00FD3AF6"/>
    <w:p w:rsidR="00FD3AF6" w:rsidRDefault="00E85858">
      <w:r>
        <w:t>Various techniques are available for interpreting pump test data. The Cooper and Jacob method is commonly used. It is important to be aware of the assumptions and limitations of these methods. For instance,</w:t>
      </w:r>
      <w:r w:rsidR="009B787D">
        <w:t xml:space="preserve"> they include that</w:t>
      </w:r>
      <w:r>
        <w:t xml:space="preserve"> the aquifer is confined, the well is fully penetrating, </w:t>
      </w:r>
      <w:r w:rsidR="00E65A47">
        <w:t xml:space="preserve">wellbore storage is negligible, </w:t>
      </w:r>
      <w:r>
        <w:t xml:space="preserve">and dimensionless time </w:t>
      </w:r>
      <w:r w:rsidR="00E65A47">
        <w:t>is</w:t>
      </w:r>
      <w:r>
        <w:t xml:space="preserve"> small (</w:t>
      </w:r>
      <w:r>
        <w:rPr>
          <w:i/>
        </w:rPr>
        <w:t>u</w:t>
      </w:r>
      <w:r>
        <w:t xml:space="preserve"> &lt; 0.1). </w:t>
      </w:r>
      <w:r w:rsidR="00453956">
        <w:t>Acceptable solutions may be obtained if some of these assumptions are violated, but only under certain conditions that must be understood and justified.</w:t>
      </w:r>
    </w:p>
    <w:p w:rsidR="00242D28" w:rsidRPr="00242D28" w:rsidRDefault="00242D28"/>
    <w:p w:rsidR="00C14A6A" w:rsidRPr="004E1BFB" w:rsidRDefault="004E1BFB" w:rsidP="004E1BFB">
      <w:pPr>
        <w:tabs>
          <w:tab w:val="left" w:pos="900"/>
        </w:tabs>
        <w:rPr>
          <w:rFonts w:ascii="Arial" w:hAnsi="Arial" w:cs="Arial"/>
          <w:b/>
          <w:i/>
          <w:sz w:val="28"/>
        </w:rPr>
      </w:pPr>
      <w:r>
        <w:rPr>
          <w:rFonts w:ascii="Arial" w:hAnsi="Arial" w:cs="Arial"/>
          <w:b/>
          <w:i/>
          <w:sz w:val="28"/>
        </w:rPr>
        <w:t>A2.2.</w:t>
      </w:r>
      <w:r>
        <w:rPr>
          <w:rFonts w:ascii="Arial" w:hAnsi="Arial" w:cs="Arial"/>
          <w:b/>
          <w:i/>
          <w:sz w:val="28"/>
        </w:rPr>
        <w:tab/>
      </w:r>
      <w:r w:rsidR="00242D28" w:rsidRPr="004E1BFB">
        <w:rPr>
          <w:rFonts w:ascii="Arial" w:hAnsi="Arial" w:cs="Arial"/>
          <w:b/>
          <w:i/>
          <w:sz w:val="28"/>
        </w:rPr>
        <w:t xml:space="preserve">Representative </w:t>
      </w:r>
      <w:r w:rsidR="00924EE3" w:rsidRPr="004E1BFB">
        <w:rPr>
          <w:rFonts w:ascii="Arial" w:hAnsi="Arial" w:cs="Arial"/>
          <w:b/>
          <w:i/>
          <w:sz w:val="28"/>
        </w:rPr>
        <w:t>Values for Local Rock Units</w:t>
      </w:r>
    </w:p>
    <w:p w:rsidR="00C50EF7" w:rsidRPr="00E73DA3" w:rsidRDefault="00C50EF7">
      <w:r>
        <w:t xml:space="preserve">Aquifer testing may have been performed in other studies of sites in the area. The DEP regional files are a source of information for local hydraulic conductivity measurements. </w:t>
      </w:r>
      <w:r w:rsidR="008254F0">
        <w:t xml:space="preserve">The </w:t>
      </w:r>
      <w:hyperlink w:anchor="_Web_Links" w:history="1">
        <w:r w:rsidR="008254F0" w:rsidRPr="008254F0">
          <w:rPr>
            <w:rStyle w:val="Hyperlink"/>
          </w:rPr>
          <w:t>US Geological Survey</w:t>
        </w:r>
      </w:hyperlink>
      <w:r w:rsidR="008254F0">
        <w:t xml:space="preserve"> has published reports including hydraulic conductivity measurements and values used in groundwater models.</w:t>
      </w:r>
      <w:r w:rsidR="00143C49">
        <w:t xml:space="preserve"> Additional data may be found in the hydrogeology literature.</w:t>
      </w:r>
    </w:p>
    <w:p w:rsidR="00C50EF7" w:rsidRPr="00E73DA3" w:rsidRDefault="00C50EF7"/>
    <w:p w:rsidR="001538F3" w:rsidRDefault="00242D28">
      <w:r>
        <w:rPr>
          <w:i/>
        </w:rPr>
        <w:t>Low et al.</w:t>
      </w:r>
      <w:r>
        <w:t xml:space="preserve"> [2002] presented hydraulic conductivity data for the geologic units found in southeastern Pennsylvania. Their hydraulic conductivity and </w:t>
      </w:r>
      <w:proofErr w:type="spellStart"/>
      <w:r>
        <w:t>transmissivity</w:t>
      </w:r>
      <w:proofErr w:type="spellEnd"/>
      <w:r>
        <w:t xml:space="preserve"> values were calculated </w:t>
      </w:r>
      <w:r w:rsidR="009B5063">
        <w:t xml:space="preserve">from single-well aquifer tests or specific capacity tests of at least 1-hour duration. </w:t>
      </w:r>
      <w:r w:rsidR="005675FC">
        <w:t xml:space="preserve">A modified </w:t>
      </w:r>
      <w:proofErr w:type="spellStart"/>
      <w:r w:rsidR="005675FC">
        <w:t>Theis</w:t>
      </w:r>
      <w:proofErr w:type="spellEnd"/>
      <w:r w:rsidR="005675FC">
        <w:t xml:space="preserve"> method was used to solve for the </w:t>
      </w:r>
      <w:proofErr w:type="spellStart"/>
      <w:r w:rsidR="005675FC">
        <w:t>transmissivity</w:t>
      </w:r>
      <w:proofErr w:type="spellEnd"/>
      <w:r w:rsidR="005675FC">
        <w:t>.</w:t>
      </w:r>
      <w:r w:rsidR="001538F3">
        <w:t xml:space="preserve"> The authors assumed a constant value of the storage coefficient for each unit (~0.0002 for confined aquifers and ~0.007–0.2 for unconfined aquifers).</w:t>
      </w:r>
      <w:r w:rsidR="005675FC">
        <w:t xml:space="preserve"> The saturated thickness was defined as the borehole length less the depth to water to derive the </w:t>
      </w:r>
      <w:r w:rsidR="001538F3">
        <w:t xml:space="preserve">hydraulic conductivity. </w:t>
      </w:r>
    </w:p>
    <w:p w:rsidR="001538F3" w:rsidRDefault="001538F3"/>
    <w:p w:rsidR="00C14A6A" w:rsidRDefault="001538F3">
      <w:r>
        <w:t>Low</w:t>
      </w:r>
      <w:r w:rsidRPr="008D7EC9">
        <w:t xml:space="preserve"> </w:t>
      </w:r>
      <w:r w:rsidRPr="00E73DA3">
        <w:rPr>
          <w:i/>
        </w:rPr>
        <w:t>et al.</w:t>
      </w:r>
      <w:r>
        <w:t xml:space="preserve"> used statistical methods to analyze the well data, and they calculated the quartile values for each population. The </w:t>
      </w:r>
      <w:r w:rsidR="008C0E60">
        <w:t>25</w:t>
      </w:r>
      <w:r w:rsidR="008C0E60" w:rsidRPr="008C0E60">
        <w:rPr>
          <w:vertAlign w:val="superscript"/>
        </w:rPr>
        <w:t>th</w:t>
      </w:r>
      <w:r w:rsidR="008C0E60">
        <w:t xml:space="preserve"> percentile</w:t>
      </w:r>
      <w:r w:rsidR="006A381B">
        <w:t xml:space="preserve"> (P</w:t>
      </w:r>
      <w:r w:rsidR="006A381B">
        <w:rPr>
          <w:vertAlign w:val="subscript"/>
        </w:rPr>
        <w:t>25</w:t>
      </w:r>
      <w:r w:rsidR="006A381B">
        <w:t>)</w:t>
      </w:r>
      <w:r>
        <w:t xml:space="preserve"> and 75</w:t>
      </w:r>
      <w:r w:rsidRPr="001538F3">
        <w:rPr>
          <w:vertAlign w:val="superscript"/>
        </w:rPr>
        <w:t>th</w:t>
      </w:r>
      <w:r>
        <w:t xml:space="preserve"> percentile</w:t>
      </w:r>
      <w:r w:rsidR="006A381B">
        <w:t xml:space="preserve"> (P</w:t>
      </w:r>
      <w:r w:rsidR="006A381B">
        <w:rPr>
          <w:vertAlign w:val="subscript"/>
        </w:rPr>
        <w:t>75</w:t>
      </w:r>
      <w:r w:rsidR="006A381B">
        <w:t>)</w:t>
      </w:r>
      <w:r>
        <w:t xml:space="preserve"> value</w:t>
      </w:r>
      <w:r w:rsidR="008C0E60">
        <w:t>s</w:t>
      </w:r>
      <w:r>
        <w:t xml:space="preserve"> may be considered representative </w:t>
      </w:r>
      <w:r w:rsidR="008C0E60">
        <w:t xml:space="preserve">low- and </w:t>
      </w:r>
      <w:r w:rsidR="00DC475E">
        <w:t>high</w:t>
      </w:r>
      <w:r w:rsidR="0083747A">
        <w:t>-range hydraulic conductivities</w:t>
      </w:r>
      <w:r>
        <w:t>. However, the published P</w:t>
      </w:r>
      <w:r>
        <w:rPr>
          <w:vertAlign w:val="subscript"/>
        </w:rPr>
        <w:t>90</w:t>
      </w:r>
      <w:r>
        <w:t xml:space="preserve"> and maximum values often greatly exceeded P</w:t>
      </w:r>
      <w:r>
        <w:rPr>
          <w:vertAlign w:val="subscript"/>
        </w:rPr>
        <w:t>75</w:t>
      </w:r>
      <w:r>
        <w:t>, so it is not an upper bound.</w:t>
      </w:r>
    </w:p>
    <w:p w:rsidR="00924EE3" w:rsidRDefault="00924EE3"/>
    <w:p w:rsidR="00924EE3" w:rsidRPr="004E1BFB" w:rsidRDefault="004E1BFB" w:rsidP="004E1BFB">
      <w:pPr>
        <w:tabs>
          <w:tab w:val="left" w:pos="900"/>
        </w:tabs>
        <w:rPr>
          <w:rFonts w:ascii="Arial" w:hAnsi="Arial" w:cs="Arial"/>
          <w:i/>
          <w:sz w:val="28"/>
        </w:rPr>
      </w:pPr>
      <w:r w:rsidRPr="004E1BFB">
        <w:rPr>
          <w:rFonts w:ascii="Arial" w:hAnsi="Arial" w:cs="Arial"/>
          <w:b/>
          <w:i/>
          <w:sz w:val="28"/>
        </w:rPr>
        <w:t>A2.3</w:t>
      </w:r>
      <w:r>
        <w:rPr>
          <w:rFonts w:ascii="Arial" w:hAnsi="Arial" w:cs="Arial"/>
          <w:b/>
          <w:i/>
          <w:sz w:val="28"/>
        </w:rPr>
        <w:t>.</w:t>
      </w:r>
      <w:r w:rsidRPr="004E1BFB">
        <w:rPr>
          <w:rFonts w:ascii="Arial" w:hAnsi="Arial" w:cs="Arial"/>
          <w:b/>
          <w:i/>
          <w:sz w:val="28"/>
        </w:rPr>
        <w:tab/>
      </w:r>
      <w:r w:rsidR="0060591E">
        <w:rPr>
          <w:rFonts w:ascii="Arial" w:hAnsi="Arial" w:cs="Arial"/>
          <w:b/>
          <w:i/>
          <w:sz w:val="28"/>
        </w:rPr>
        <w:t>Reference</w:t>
      </w:r>
      <w:r w:rsidR="0060591E" w:rsidRPr="004E1BFB">
        <w:rPr>
          <w:rFonts w:ascii="Arial" w:hAnsi="Arial" w:cs="Arial"/>
          <w:b/>
          <w:i/>
          <w:sz w:val="28"/>
        </w:rPr>
        <w:t xml:space="preserve"> </w:t>
      </w:r>
      <w:r w:rsidR="00924EE3" w:rsidRPr="004E1BFB">
        <w:rPr>
          <w:rFonts w:ascii="Arial" w:hAnsi="Arial" w:cs="Arial"/>
          <w:b/>
          <w:i/>
          <w:sz w:val="28"/>
        </w:rPr>
        <w:t>Values</w:t>
      </w:r>
    </w:p>
    <w:p w:rsidR="00924EE3" w:rsidRDefault="007C2D33">
      <w:r>
        <w:t xml:space="preserve">Representative hydraulic conductivities have been published in many hydrogeology textbooks. The values tabulated below are from </w:t>
      </w:r>
      <w:proofErr w:type="spellStart"/>
      <w:r>
        <w:rPr>
          <w:i/>
        </w:rPr>
        <w:t>Domenico</w:t>
      </w:r>
      <w:proofErr w:type="spellEnd"/>
      <w:r>
        <w:rPr>
          <w:i/>
        </w:rPr>
        <w:t xml:space="preserve"> and Schwartz</w:t>
      </w:r>
      <w:r>
        <w:t xml:space="preserve"> [1998] (Table 3.2). “Likely </w:t>
      </w:r>
      <w:r w:rsidR="00DC475E">
        <w:t>minimum</w:t>
      </w:r>
      <w:r>
        <w:t>”</w:t>
      </w:r>
      <w:r w:rsidR="00DC475E">
        <w:t xml:space="preserve"> and “likely maximum” values as well as</w:t>
      </w:r>
      <w:r>
        <w:t xml:space="preserve"> </w:t>
      </w:r>
      <w:r w:rsidR="008205F7">
        <w:t xml:space="preserve">selected other </w:t>
      </w:r>
      <w:r w:rsidR="00DC475E">
        <w:t xml:space="preserve">hydraulic conductivities </w:t>
      </w:r>
      <w:r>
        <w:t xml:space="preserve">are drawn from </w:t>
      </w:r>
      <w:proofErr w:type="spellStart"/>
      <w:r>
        <w:rPr>
          <w:i/>
        </w:rPr>
        <w:t>Halford</w:t>
      </w:r>
      <w:proofErr w:type="spellEnd"/>
      <w:r>
        <w:rPr>
          <w:i/>
        </w:rPr>
        <w:t xml:space="preserve"> and </w:t>
      </w:r>
      <w:proofErr w:type="spellStart"/>
      <w:r>
        <w:rPr>
          <w:i/>
        </w:rPr>
        <w:t>Kuniansky</w:t>
      </w:r>
      <w:proofErr w:type="spellEnd"/>
      <w:r>
        <w:t xml:space="preserve"> [2002]. </w:t>
      </w:r>
      <w:r w:rsidR="008205F7">
        <w:t xml:space="preserve">Literature </w:t>
      </w:r>
      <w:proofErr w:type="spellStart"/>
      <w:r w:rsidR="008205F7">
        <w:t>permeabilities</w:t>
      </w:r>
      <w:proofErr w:type="spellEnd"/>
      <w:r w:rsidR="008205F7">
        <w:t xml:space="preserve"> are no substitute for site-specific data or regional studies. They may give guidance for ascertaining if results of well tests are reasonable and constrain the range of likely hydraulic conductivities when performing sensitivity tests</w:t>
      </w:r>
      <w:r w:rsidR="001364AC">
        <w:t xml:space="preserve"> and calibrating models</w:t>
      </w:r>
      <w:r w:rsidR="008205F7">
        <w:t>.</w:t>
      </w:r>
    </w:p>
    <w:p w:rsidR="00750EED" w:rsidRDefault="00750EED"/>
    <w:p w:rsidR="00963468" w:rsidRDefault="00963468">
      <w:pPr>
        <w:rPr>
          <w:b/>
        </w:rPr>
      </w:pPr>
      <w:r>
        <w:rPr>
          <w:b/>
        </w:rPr>
        <w:br w:type="page"/>
      </w:r>
    </w:p>
    <w:p w:rsidR="00A666D9" w:rsidRPr="00A666D9" w:rsidRDefault="00A666D9">
      <w:r>
        <w:rPr>
          <w:b/>
        </w:rPr>
        <w:lastRenderedPageBreak/>
        <w:t xml:space="preserve">Table A2.2. </w:t>
      </w:r>
      <w:r>
        <w:t>Typical minimum and maximum hydraulic conductivities</w:t>
      </w:r>
    </w:p>
    <w:tbl>
      <w:tblPr>
        <w:tblW w:w="0" w:type="auto"/>
        <w:tblCellMar>
          <w:left w:w="115" w:type="dxa"/>
          <w:right w:w="115" w:type="dxa"/>
        </w:tblCellMar>
        <w:tblLook w:val="0000" w:firstRow="0" w:lastRow="0" w:firstColumn="0" w:lastColumn="0" w:noHBand="0" w:noVBand="0"/>
      </w:tblPr>
      <w:tblGrid>
        <w:gridCol w:w="2903"/>
        <w:gridCol w:w="1079"/>
        <w:gridCol w:w="1371"/>
        <w:gridCol w:w="1410"/>
        <w:gridCol w:w="1078"/>
      </w:tblGrid>
      <w:tr w:rsidR="00D6132A" w:rsidTr="00A666D9">
        <w:trPr>
          <w:trHeight w:val="315"/>
          <w:tblHeader/>
        </w:trPr>
        <w:tc>
          <w:tcPr>
            <w:tcW w:w="0" w:type="auto"/>
            <w:vMerge w:val="restart"/>
            <w:tcBorders>
              <w:top w:val="single" w:sz="4" w:space="0" w:color="auto"/>
            </w:tcBorders>
            <w:shd w:val="clear" w:color="auto" w:fill="F2F2F2" w:themeFill="background1" w:themeFillShade="F2"/>
            <w:vAlign w:val="center"/>
          </w:tcPr>
          <w:p w:rsidR="00D6132A" w:rsidRPr="00B52C8E" w:rsidRDefault="00D6132A" w:rsidP="00B52C8E">
            <w:pPr>
              <w:widowControl w:val="0"/>
              <w:autoSpaceDE w:val="0"/>
              <w:autoSpaceDN w:val="0"/>
              <w:adjustRightInd w:val="0"/>
              <w:rPr>
                <w:b/>
                <w:bCs/>
              </w:rPr>
            </w:pPr>
            <w:r w:rsidRPr="00B52C8E">
              <w:rPr>
                <w:b/>
                <w:bCs/>
              </w:rPr>
              <w:t>Material</w:t>
            </w:r>
          </w:p>
        </w:tc>
        <w:tc>
          <w:tcPr>
            <w:tcW w:w="0" w:type="auto"/>
            <w:gridSpan w:val="4"/>
            <w:tcBorders>
              <w:top w:val="single" w:sz="4" w:space="0" w:color="auto"/>
              <w:bottom w:val="single" w:sz="4" w:space="0" w:color="auto"/>
            </w:tcBorders>
            <w:shd w:val="clear" w:color="auto" w:fill="F2F2F2" w:themeFill="background1" w:themeFillShade="F2"/>
          </w:tcPr>
          <w:p w:rsidR="00D6132A" w:rsidRDefault="00D6132A" w:rsidP="008E3D18">
            <w:pPr>
              <w:widowControl w:val="0"/>
              <w:autoSpaceDE w:val="0"/>
              <w:autoSpaceDN w:val="0"/>
              <w:adjustRightInd w:val="0"/>
              <w:jc w:val="center"/>
              <w:rPr>
                <w:b/>
                <w:bCs/>
              </w:rPr>
            </w:pPr>
            <w:r w:rsidRPr="008C0E60">
              <w:rPr>
                <w:b/>
                <w:bCs/>
                <w:i/>
              </w:rPr>
              <w:t>K</w:t>
            </w:r>
            <w:r>
              <w:rPr>
                <w:b/>
                <w:bCs/>
              </w:rPr>
              <w:t xml:space="preserve"> (</w:t>
            </w:r>
            <w:proofErr w:type="spellStart"/>
            <w:r>
              <w:rPr>
                <w:b/>
                <w:bCs/>
              </w:rPr>
              <w:t>ft</w:t>
            </w:r>
            <w:proofErr w:type="spellEnd"/>
            <w:r>
              <w:rPr>
                <w:b/>
                <w:bCs/>
              </w:rPr>
              <w:t>/day)</w:t>
            </w:r>
          </w:p>
        </w:tc>
      </w:tr>
      <w:tr w:rsidR="00D6132A" w:rsidTr="00A666D9">
        <w:trPr>
          <w:trHeight w:val="315"/>
          <w:tblHeader/>
        </w:trPr>
        <w:tc>
          <w:tcPr>
            <w:tcW w:w="0" w:type="auto"/>
            <w:vMerge/>
            <w:tcBorders>
              <w:bottom w:val="single" w:sz="4" w:space="0" w:color="auto"/>
            </w:tcBorders>
            <w:shd w:val="clear" w:color="auto" w:fill="F2F2F2" w:themeFill="background1" w:themeFillShade="F2"/>
          </w:tcPr>
          <w:p w:rsidR="00D6132A" w:rsidRPr="00B52C8E" w:rsidRDefault="00D6132A" w:rsidP="00B52C8E">
            <w:pPr>
              <w:widowControl w:val="0"/>
              <w:autoSpaceDE w:val="0"/>
              <w:autoSpaceDN w:val="0"/>
              <w:adjustRightInd w:val="0"/>
              <w:rPr>
                <w:b/>
                <w:bCs/>
              </w:rPr>
            </w:pPr>
          </w:p>
        </w:tc>
        <w:tc>
          <w:tcPr>
            <w:tcW w:w="0" w:type="auto"/>
            <w:tcBorders>
              <w:top w:val="single" w:sz="4" w:space="0" w:color="auto"/>
              <w:bottom w:val="single" w:sz="4" w:space="0" w:color="auto"/>
            </w:tcBorders>
            <w:shd w:val="clear" w:color="auto" w:fill="F2F2F2" w:themeFill="background1" w:themeFillShade="F2"/>
          </w:tcPr>
          <w:p w:rsidR="00D6132A" w:rsidRDefault="00D6132A" w:rsidP="00B52C8E">
            <w:pPr>
              <w:widowControl w:val="0"/>
              <w:autoSpaceDE w:val="0"/>
              <w:autoSpaceDN w:val="0"/>
              <w:adjustRightInd w:val="0"/>
              <w:jc w:val="center"/>
              <w:rPr>
                <w:b/>
                <w:bCs/>
              </w:rPr>
            </w:pPr>
            <w:r>
              <w:rPr>
                <w:b/>
                <w:bCs/>
              </w:rPr>
              <w:t>Min</w:t>
            </w:r>
          </w:p>
        </w:tc>
        <w:tc>
          <w:tcPr>
            <w:tcW w:w="0" w:type="auto"/>
            <w:tcBorders>
              <w:top w:val="single" w:sz="4" w:space="0" w:color="auto"/>
              <w:bottom w:val="single" w:sz="4" w:space="0" w:color="auto"/>
            </w:tcBorders>
            <w:shd w:val="clear" w:color="auto" w:fill="F2F2F2" w:themeFill="background1" w:themeFillShade="F2"/>
          </w:tcPr>
          <w:p w:rsidR="00D6132A" w:rsidRDefault="00D6132A" w:rsidP="00B52C8E">
            <w:pPr>
              <w:widowControl w:val="0"/>
              <w:autoSpaceDE w:val="0"/>
              <w:autoSpaceDN w:val="0"/>
              <w:adjustRightInd w:val="0"/>
              <w:jc w:val="center"/>
              <w:rPr>
                <w:b/>
                <w:bCs/>
              </w:rPr>
            </w:pPr>
            <w:r>
              <w:rPr>
                <w:b/>
                <w:bCs/>
              </w:rPr>
              <w:t>Likely Min</w:t>
            </w:r>
          </w:p>
        </w:tc>
        <w:tc>
          <w:tcPr>
            <w:tcW w:w="0" w:type="auto"/>
            <w:tcBorders>
              <w:top w:val="single" w:sz="4" w:space="0" w:color="auto"/>
              <w:bottom w:val="single" w:sz="4" w:space="0" w:color="auto"/>
            </w:tcBorders>
            <w:shd w:val="clear" w:color="auto" w:fill="F2F2F2" w:themeFill="background1" w:themeFillShade="F2"/>
          </w:tcPr>
          <w:p w:rsidR="00D6132A" w:rsidRPr="00250B99" w:rsidRDefault="00D6132A" w:rsidP="00B52C8E">
            <w:pPr>
              <w:widowControl w:val="0"/>
              <w:autoSpaceDE w:val="0"/>
              <w:autoSpaceDN w:val="0"/>
              <w:adjustRightInd w:val="0"/>
              <w:jc w:val="center"/>
              <w:rPr>
                <w:b/>
                <w:bCs/>
              </w:rPr>
            </w:pPr>
            <w:r w:rsidRPr="00250B99">
              <w:rPr>
                <w:b/>
                <w:bCs/>
              </w:rPr>
              <w:t>Likely Max</w:t>
            </w:r>
          </w:p>
        </w:tc>
        <w:tc>
          <w:tcPr>
            <w:tcW w:w="0" w:type="auto"/>
            <w:tcBorders>
              <w:top w:val="single" w:sz="4" w:space="0" w:color="auto"/>
              <w:bottom w:val="single" w:sz="4" w:space="0" w:color="auto"/>
            </w:tcBorders>
            <w:shd w:val="clear" w:color="auto" w:fill="F2F2F2" w:themeFill="background1" w:themeFillShade="F2"/>
          </w:tcPr>
          <w:p w:rsidR="00D6132A" w:rsidRDefault="00D6132A" w:rsidP="008E3D18">
            <w:pPr>
              <w:widowControl w:val="0"/>
              <w:autoSpaceDE w:val="0"/>
              <w:autoSpaceDN w:val="0"/>
              <w:adjustRightInd w:val="0"/>
              <w:jc w:val="center"/>
              <w:rPr>
                <w:b/>
                <w:bCs/>
              </w:rPr>
            </w:pPr>
            <w:r>
              <w:rPr>
                <w:b/>
                <w:bCs/>
              </w:rPr>
              <w:t>Max</w:t>
            </w:r>
          </w:p>
        </w:tc>
      </w:tr>
      <w:tr w:rsidR="008E3D18">
        <w:trPr>
          <w:trHeight w:val="315"/>
        </w:trPr>
        <w:tc>
          <w:tcPr>
            <w:tcW w:w="0" w:type="auto"/>
          </w:tcPr>
          <w:p w:rsidR="008E3D18" w:rsidRPr="00126923" w:rsidRDefault="008E3D18" w:rsidP="00B52C8E">
            <w:pPr>
              <w:widowControl w:val="0"/>
              <w:autoSpaceDE w:val="0"/>
              <w:autoSpaceDN w:val="0"/>
              <w:adjustRightInd w:val="0"/>
              <w:rPr>
                <w:b/>
                <w:bCs/>
                <w:i/>
              </w:rPr>
            </w:pPr>
            <w:r w:rsidRPr="00126923">
              <w:rPr>
                <w:b/>
                <w:bCs/>
                <w:i/>
              </w:rPr>
              <w:t>Sediments</w:t>
            </w:r>
          </w:p>
        </w:tc>
        <w:tc>
          <w:tcPr>
            <w:tcW w:w="0" w:type="auto"/>
          </w:tcPr>
          <w:p w:rsidR="008E3D18" w:rsidRDefault="008E3D18" w:rsidP="00B52C8E">
            <w:pPr>
              <w:widowControl w:val="0"/>
              <w:autoSpaceDE w:val="0"/>
              <w:autoSpaceDN w:val="0"/>
              <w:adjustRightInd w:val="0"/>
              <w:jc w:val="center"/>
            </w:pPr>
          </w:p>
        </w:tc>
        <w:tc>
          <w:tcPr>
            <w:tcW w:w="0" w:type="auto"/>
          </w:tcPr>
          <w:p w:rsidR="008E3D18" w:rsidRDefault="008E3D18" w:rsidP="00B52C8E">
            <w:pPr>
              <w:widowControl w:val="0"/>
              <w:autoSpaceDE w:val="0"/>
              <w:autoSpaceDN w:val="0"/>
              <w:adjustRightInd w:val="0"/>
              <w:jc w:val="center"/>
            </w:pPr>
          </w:p>
        </w:tc>
        <w:tc>
          <w:tcPr>
            <w:tcW w:w="0" w:type="auto"/>
            <w:shd w:val="clear" w:color="auto" w:fill="auto"/>
          </w:tcPr>
          <w:p w:rsidR="008E3D18" w:rsidRPr="00250B99" w:rsidRDefault="008E3D18" w:rsidP="00B52C8E">
            <w:pPr>
              <w:widowControl w:val="0"/>
              <w:autoSpaceDE w:val="0"/>
              <w:autoSpaceDN w:val="0"/>
              <w:adjustRightInd w:val="0"/>
              <w:jc w:val="center"/>
            </w:pPr>
          </w:p>
        </w:tc>
        <w:tc>
          <w:tcPr>
            <w:tcW w:w="0" w:type="auto"/>
          </w:tcPr>
          <w:p w:rsidR="008E3D18" w:rsidRDefault="008E3D18" w:rsidP="008E3D18">
            <w:pPr>
              <w:widowControl w:val="0"/>
              <w:autoSpaceDE w:val="0"/>
              <w:autoSpaceDN w:val="0"/>
              <w:adjustRightInd w:val="0"/>
              <w:jc w:val="center"/>
            </w:pPr>
          </w:p>
        </w:tc>
      </w:tr>
      <w:tr w:rsidR="008E3D18">
        <w:trPr>
          <w:trHeight w:val="315"/>
        </w:trPr>
        <w:tc>
          <w:tcPr>
            <w:tcW w:w="0" w:type="auto"/>
          </w:tcPr>
          <w:p w:rsidR="008E3D18" w:rsidRPr="00B52C8E" w:rsidRDefault="008E3D18" w:rsidP="00B52C8E">
            <w:pPr>
              <w:widowControl w:val="0"/>
              <w:autoSpaceDE w:val="0"/>
              <w:autoSpaceDN w:val="0"/>
              <w:adjustRightInd w:val="0"/>
            </w:pPr>
            <w:r>
              <w:t>G</w:t>
            </w:r>
            <w:r w:rsidRPr="00B52C8E">
              <w:t>ravel</w:t>
            </w:r>
          </w:p>
        </w:tc>
        <w:tc>
          <w:tcPr>
            <w:tcW w:w="0" w:type="auto"/>
          </w:tcPr>
          <w:p w:rsidR="008E3D18" w:rsidRDefault="00963468" w:rsidP="007912A7">
            <w:pPr>
              <w:widowControl w:val="0"/>
              <w:tabs>
                <w:tab w:val="decimal" w:pos="209"/>
              </w:tabs>
              <w:autoSpaceDE w:val="0"/>
              <w:autoSpaceDN w:val="0"/>
              <w:adjustRightInd w:val="0"/>
            </w:pPr>
            <w:r>
              <w:t xml:space="preserve">8 </w:t>
            </w:r>
            <w:r w:rsidR="008E3D18">
              <w:t>x 10</w:t>
            </w:r>
            <w:r w:rsidR="008E3D18" w:rsidRPr="00D61194">
              <w:rPr>
                <w:vertAlign w:val="superscript"/>
              </w:rPr>
              <w:t>1</w:t>
            </w:r>
          </w:p>
        </w:tc>
        <w:tc>
          <w:tcPr>
            <w:tcW w:w="0" w:type="auto"/>
          </w:tcPr>
          <w:p w:rsidR="008E3D18" w:rsidRPr="00A94F8E" w:rsidRDefault="00A94F8E" w:rsidP="005C3726">
            <w:pPr>
              <w:widowControl w:val="0"/>
              <w:tabs>
                <w:tab w:val="decimal" w:pos="288"/>
              </w:tabs>
              <w:autoSpaceDE w:val="0"/>
              <w:autoSpaceDN w:val="0"/>
              <w:adjustRightInd w:val="0"/>
              <w:rPr>
                <w:vertAlign w:val="superscript"/>
              </w:rPr>
            </w:pPr>
            <w:r>
              <w:t>3 x 10</w:t>
            </w:r>
            <w:r>
              <w:rPr>
                <w:vertAlign w:val="superscript"/>
              </w:rPr>
              <w:t>2</w:t>
            </w:r>
          </w:p>
        </w:tc>
        <w:tc>
          <w:tcPr>
            <w:tcW w:w="0" w:type="auto"/>
            <w:shd w:val="clear" w:color="auto" w:fill="auto"/>
          </w:tcPr>
          <w:p w:rsidR="008E3D18" w:rsidRPr="00250B99" w:rsidRDefault="008E3D18" w:rsidP="005C3726">
            <w:pPr>
              <w:widowControl w:val="0"/>
              <w:tabs>
                <w:tab w:val="decimal" w:pos="357"/>
              </w:tabs>
              <w:autoSpaceDE w:val="0"/>
              <w:autoSpaceDN w:val="0"/>
              <w:adjustRightInd w:val="0"/>
              <w:rPr>
                <w:vertAlign w:val="superscript"/>
              </w:rPr>
            </w:pPr>
            <w:r w:rsidRPr="00250B99">
              <w:t>3 x 10</w:t>
            </w:r>
            <w:r w:rsidRPr="00250B99">
              <w:rPr>
                <w:vertAlign w:val="superscript"/>
              </w:rPr>
              <w:t>3</w:t>
            </w:r>
          </w:p>
        </w:tc>
        <w:tc>
          <w:tcPr>
            <w:tcW w:w="0" w:type="auto"/>
          </w:tcPr>
          <w:p w:rsidR="008E3D18" w:rsidRDefault="00963468" w:rsidP="005C3726">
            <w:pPr>
              <w:widowControl w:val="0"/>
              <w:tabs>
                <w:tab w:val="decimal" w:pos="207"/>
              </w:tabs>
              <w:autoSpaceDE w:val="0"/>
              <w:autoSpaceDN w:val="0"/>
              <w:adjustRightInd w:val="0"/>
            </w:pPr>
            <w:r>
              <w:t xml:space="preserve">8 </w:t>
            </w:r>
            <w:r w:rsidR="008E3D18">
              <w:t>x 10</w:t>
            </w:r>
            <w:r w:rsidR="008E3D18" w:rsidRPr="00D61194">
              <w:rPr>
                <w:vertAlign w:val="superscript"/>
              </w:rPr>
              <w:t>3</w:t>
            </w:r>
          </w:p>
        </w:tc>
      </w:tr>
      <w:tr w:rsidR="008E3D18">
        <w:trPr>
          <w:trHeight w:val="315"/>
        </w:trPr>
        <w:tc>
          <w:tcPr>
            <w:tcW w:w="0" w:type="auto"/>
          </w:tcPr>
          <w:p w:rsidR="008E3D18" w:rsidRPr="00B52C8E" w:rsidRDefault="008E3D18" w:rsidP="00B52C8E">
            <w:pPr>
              <w:widowControl w:val="0"/>
              <w:autoSpaceDE w:val="0"/>
              <w:autoSpaceDN w:val="0"/>
              <w:adjustRightInd w:val="0"/>
            </w:pPr>
            <w:r>
              <w:t>Sand–gravel mix</w:t>
            </w:r>
          </w:p>
        </w:tc>
        <w:tc>
          <w:tcPr>
            <w:tcW w:w="0" w:type="auto"/>
          </w:tcPr>
          <w:p w:rsidR="008E3D18" w:rsidRDefault="008E3D18" w:rsidP="007912A7">
            <w:pPr>
              <w:widowControl w:val="0"/>
              <w:tabs>
                <w:tab w:val="decimal" w:pos="209"/>
              </w:tabs>
              <w:autoSpaceDE w:val="0"/>
              <w:autoSpaceDN w:val="0"/>
              <w:adjustRightInd w:val="0"/>
            </w:pPr>
            <w:r>
              <w:t>1 x 10</w:t>
            </w:r>
            <w:r w:rsidRPr="00D61194">
              <w:rPr>
                <w:vertAlign w:val="superscript"/>
              </w:rPr>
              <w:t>0</w:t>
            </w:r>
          </w:p>
        </w:tc>
        <w:tc>
          <w:tcPr>
            <w:tcW w:w="0" w:type="auto"/>
          </w:tcPr>
          <w:p w:rsidR="008E3D18" w:rsidRPr="00A94F8E" w:rsidRDefault="00A94F8E" w:rsidP="005C3726">
            <w:pPr>
              <w:widowControl w:val="0"/>
              <w:tabs>
                <w:tab w:val="decimal" w:pos="288"/>
              </w:tabs>
              <w:autoSpaceDE w:val="0"/>
              <w:autoSpaceDN w:val="0"/>
              <w:adjustRightInd w:val="0"/>
              <w:rPr>
                <w:vertAlign w:val="superscript"/>
              </w:rPr>
            </w:pPr>
            <w:r>
              <w:t>3 x 10</w:t>
            </w:r>
            <w:r>
              <w:rPr>
                <w:vertAlign w:val="superscript"/>
              </w:rPr>
              <w:t>1</w:t>
            </w:r>
          </w:p>
        </w:tc>
        <w:tc>
          <w:tcPr>
            <w:tcW w:w="0" w:type="auto"/>
            <w:shd w:val="clear" w:color="auto" w:fill="auto"/>
          </w:tcPr>
          <w:p w:rsidR="008E3D18" w:rsidRPr="00250B99" w:rsidRDefault="008E3D18" w:rsidP="005C3726">
            <w:pPr>
              <w:widowControl w:val="0"/>
              <w:tabs>
                <w:tab w:val="decimal" w:pos="357"/>
              </w:tabs>
              <w:autoSpaceDE w:val="0"/>
              <w:autoSpaceDN w:val="0"/>
              <w:adjustRightInd w:val="0"/>
              <w:rPr>
                <w:vertAlign w:val="superscript"/>
              </w:rPr>
            </w:pPr>
            <w:r w:rsidRPr="00250B99">
              <w:t>3 x 10</w:t>
            </w:r>
            <w:r w:rsidRPr="00250B99">
              <w:rPr>
                <w:vertAlign w:val="superscript"/>
              </w:rPr>
              <w:t>2</w:t>
            </w:r>
          </w:p>
        </w:tc>
        <w:tc>
          <w:tcPr>
            <w:tcW w:w="0" w:type="auto"/>
          </w:tcPr>
          <w:p w:rsidR="008E3D18" w:rsidRDefault="00A94F8E" w:rsidP="005C3726">
            <w:pPr>
              <w:widowControl w:val="0"/>
              <w:tabs>
                <w:tab w:val="decimal" w:pos="207"/>
              </w:tabs>
              <w:autoSpaceDE w:val="0"/>
              <w:autoSpaceDN w:val="0"/>
              <w:adjustRightInd w:val="0"/>
            </w:pPr>
            <w:r>
              <w:t>3 x 10</w:t>
            </w:r>
            <w:r w:rsidR="008E3D18" w:rsidRPr="00A94F8E">
              <w:rPr>
                <w:vertAlign w:val="superscript"/>
              </w:rPr>
              <w:t>2</w:t>
            </w:r>
          </w:p>
        </w:tc>
      </w:tr>
      <w:tr w:rsidR="008E3D18">
        <w:trPr>
          <w:trHeight w:val="315"/>
        </w:trPr>
        <w:tc>
          <w:tcPr>
            <w:tcW w:w="0" w:type="auto"/>
          </w:tcPr>
          <w:p w:rsidR="008E3D18" w:rsidRPr="00B52C8E" w:rsidRDefault="008E3D18" w:rsidP="00B52C8E">
            <w:pPr>
              <w:widowControl w:val="0"/>
              <w:autoSpaceDE w:val="0"/>
              <w:autoSpaceDN w:val="0"/>
              <w:adjustRightInd w:val="0"/>
            </w:pPr>
            <w:r>
              <w:t>C</w:t>
            </w:r>
            <w:r w:rsidRPr="00B52C8E">
              <w:t>oarse sand</w:t>
            </w:r>
          </w:p>
        </w:tc>
        <w:tc>
          <w:tcPr>
            <w:tcW w:w="0" w:type="auto"/>
          </w:tcPr>
          <w:p w:rsidR="008E3D18" w:rsidRDefault="00963468" w:rsidP="007912A7">
            <w:pPr>
              <w:widowControl w:val="0"/>
              <w:tabs>
                <w:tab w:val="decimal" w:pos="209"/>
              </w:tabs>
              <w:autoSpaceDE w:val="0"/>
              <w:autoSpaceDN w:val="0"/>
              <w:adjustRightInd w:val="0"/>
            </w:pPr>
            <w:r>
              <w:t xml:space="preserve">2 </w:t>
            </w:r>
            <w:r w:rsidR="008E3D18">
              <w:t>x 10</w:t>
            </w:r>
            <w:r w:rsidR="008E3D18">
              <w:rPr>
                <w:vertAlign w:val="superscript"/>
              </w:rPr>
              <w:t>–</w:t>
            </w:r>
            <w:r w:rsidR="008E3D18" w:rsidRPr="00D61194">
              <w:rPr>
                <w:vertAlign w:val="superscript"/>
              </w:rPr>
              <w:t>1</w:t>
            </w:r>
          </w:p>
        </w:tc>
        <w:tc>
          <w:tcPr>
            <w:tcW w:w="0" w:type="auto"/>
          </w:tcPr>
          <w:p w:rsidR="008E3D18" w:rsidRPr="00A94F8E" w:rsidRDefault="00A94F8E" w:rsidP="005C3726">
            <w:pPr>
              <w:widowControl w:val="0"/>
              <w:tabs>
                <w:tab w:val="decimal" w:pos="288"/>
              </w:tabs>
              <w:autoSpaceDE w:val="0"/>
              <w:autoSpaceDN w:val="0"/>
              <w:adjustRightInd w:val="0"/>
              <w:rPr>
                <w:vertAlign w:val="superscript"/>
              </w:rPr>
            </w:pPr>
            <w:r>
              <w:t>7 x 10</w:t>
            </w:r>
            <w:r>
              <w:rPr>
                <w:vertAlign w:val="superscript"/>
              </w:rPr>
              <w:t>1</w:t>
            </w:r>
          </w:p>
        </w:tc>
        <w:tc>
          <w:tcPr>
            <w:tcW w:w="0" w:type="auto"/>
            <w:shd w:val="clear" w:color="auto" w:fill="auto"/>
          </w:tcPr>
          <w:p w:rsidR="008E3D18" w:rsidRPr="00250B99" w:rsidRDefault="008E3D18" w:rsidP="005C3726">
            <w:pPr>
              <w:widowControl w:val="0"/>
              <w:tabs>
                <w:tab w:val="decimal" w:pos="357"/>
              </w:tabs>
              <w:autoSpaceDE w:val="0"/>
              <w:autoSpaceDN w:val="0"/>
              <w:adjustRightInd w:val="0"/>
              <w:rPr>
                <w:vertAlign w:val="superscript"/>
              </w:rPr>
            </w:pPr>
            <w:r w:rsidRPr="00250B99">
              <w:t>3 x 10</w:t>
            </w:r>
            <w:r w:rsidRPr="00250B99">
              <w:rPr>
                <w:vertAlign w:val="superscript"/>
              </w:rPr>
              <w:t>2</w:t>
            </w:r>
          </w:p>
        </w:tc>
        <w:tc>
          <w:tcPr>
            <w:tcW w:w="0" w:type="auto"/>
          </w:tcPr>
          <w:p w:rsidR="008E3D18" w:rsidRDefault="008E3D18" w:rsidP="005C3726">
            <w:pPr>
              <w:widowControl w:val="0"/>
              <w:tabs>
                <w:tab w:val="decimal" w:pos="207"/>
              </w:tabs>
              <w:autoSpaceDE w:val="0"/>
              <w:autoSpaceDN w:val="0"/>
              <w:adjustRightInd w:val="0"/>
            </w:pPr>
            <w:r>
              <w:t>2 x 10</w:t>
            </w:r>
            <w:r w:rsidRPr="00D61194">
              <w:rPr>
                <w:vertAlign w:val="superscript"/>
              </w:rPr>
              <w:t>3</w:t>
            </w:r>
          </w:p>
        </w:tc>
      </w:tr>
      <w:tr w:rsidR="008E3D18">
        <w:trPr>
          <w:trHeight w:val="315"/>
        </w:trPr>
        <w:tc>
          <w:tcPr>
            <w:tcW w:w="0" w:type="auto"/>
          </w:tcPr>
          <w:p w:rsidR="008E3D18" w:rsidRPr="00B52C8E" w:rsidRDefault="008E3D18" w:rsidP="00B52C8E">
            <w:pPr>
              <w:widowControl w:val="0"/>
              <w:autoSpaceDE w:val="0"/>
              <w:autoSpaceDN w:val="0"/>
              <w:adjustRightInd w:val="0"/>
            </w:pPr>
            <w:r>
              <w:t>M</w:t>
            </w:r>
            <w:r w:rsidRPr="00B52C8E">
              <w:t>edium sand</w:t>
            </w:r>
          </w:p>
        </w:tc>
        <w:tc>
          <w:tcPr>
            <w:tcW w:w="0" w:type="auto"/>
          </w:tcPr>
          <w:p w:rsidR="008E3D18" w:rsidRDefault="00963468" w:rsidP="007912A7">
            <w:pPr>
              <w:widowControl w:val="0"/>
              <w:tabs>
                <w:tab w:val="decimal" w:pos="209"/>
              </w:tabs>
              <w:autoSpaceDE w:val="0"/>
              <w:autoSpaceDN w:val="0"/>
              <w:adjustRightInd w:val="0"/>
            </w:pPr>
            <w:r>
              <w:t xml:space="preserve">2 </w:t>
            </w:r>
            <w:r w:rsidR="008E3D18">
              <w:t>x 10</w:t>
            </w:r>
            <w:r w:rsidR="008E3D18">
              <w:rPr>
                <w:vertAlign w:val="superscript"/>
              </w:rPr>
              <w:t>–</w:t>
            </w:r>
            <w:r w:rsidR="008E3D18" w:rsidRPr="00D61194">
              <w:rPr>
                <w:vertAlign w:val="superscript"/>
              </w:rPr>
              <w:t>1</w:t>
            </w:r>
          </w:p>
        </w:tc>
        <w:tc>
          <w:tcPr>
            <w:tcW w:w="0" w:type="auto"/>
          </w:tcPr>
          <w:p w:rsidR="008E3D18" w:rsidRPr="00A94F8E" w:rsidRDefault="00A94F8E" w:rsidP="005C3726">
            <w:pPr>
              <w:widowControl w:val="0"/>
              <w:tabs>
                <w:tab w:val="decimal" w:pos="288"/>
              </w:tabs>
              <w:autoSpaceDE w:val="0"/>
              <w:autoSpaceDN w:val="0"/>
              <w:adjustRightInd w:val="0"/>
              <w:rPr>
                <w:vertAlign w:val="superscript"/>
              </w:rPr>
            </w:pPr>
            <w:r>
              <w:t>2 x 10</w:t>
            </w:r>
            <w:r>
              <w:rPr>
                <w:vertAlign w:val="superscript"/>
              </w:rPr>
              <w:t>1</w:t>
            </w:r>
          </w:p>
        </w:tc>
        <w:tc>
          <w:tcPr>
            <w:tcW w:w="0" w:type="auto"/>
            <w:shd w:val="clear" w:color="auto" w:fill="auto"/>
          </w:tcPr>
          <w:p w:rsidR="008E3D18" w:rsidRPr="00250B99" w:rsidRDefault="008E3D18" w:rsidP="005C3726">
            <w:pPr>
              <w:widowControl w:val="0"/>
              <w:tabs>
                <w:tab w:val="decimal" w:pos="357"/>
              </w:tabs>
              <w:autoSpaceDE w:val="0"/>
              <w:autoSpaceDN w:val="0"/>
              <w:adjustRightInd w:val="0"/>
              <w:rPr>
                <w:vertAlign w:val="superscript"/>
              </w:rPr>
            </w:pPr>
            <w:r w:rsidRPr="00250B99">
              <w:t>7 x 10</w:t>
            </w:r>
            <w:r w:rsidRPr="00250B99">
              <w:rPr>
                <w:vertAlign w:val="superscript"/>
              </w:rPr>
              <w:t>1</w:t>
            </w:r>
          </w:p>
        </w:tc>
        <w:tc>
          <w:tcPr>
            <w:tcW w:w="0" w:type="auto"/>
          </w:tcPr>
          <w:p w:rsidR="008E3D18" w:rsidRDefault="00564CBE" w:rsidP="005C3726">
            <w:pPr>
              <w:widowControl w:val="0"/>
              <w:tabs>
                <w:tab w:val="decimal" w:pos="207"/>
              </w:tabs>
              <w:autoSpaceDE w:val="0"/>
              <w:autoSpaceDN w:val="0"/>
              <w:adjustRightInd w:val="0"/>
            </w:pPr>
            <w:r>
              <w:t>2</w:t>
            </w:r>
            <w:r w:rsidR="008E3D18">
              <w:t xml:space="preserve"> x 10</w:t>
            </w:r>
            <w:r w:rsidR="008E3D18" w:rsidRPr="00D61194">
              <w:rPr>
                <w:vertAlign w:val="superscript"/>
              </w:rPr>
              <w:t>2</w:t>
            </w:r>
          </w:p>
        </w:tc>
      </w:tr>
      <w:tr w:rsidR="008E3D18">
        <w:trPr>
          <w:trHeight w:val="315"/>
        </w:trPr>
        <w:tc>
          <w:tcPr>
            <w:tcW w:w="0" w:type="auto"/>
          </w:tcPr>
          <w:p w:rsidR="008E3D18" w:rsidRPr="00B52C8E" w:rsidRDefault="008E3D18" w:rsidP="00B52C8E">
            <w:pPr>
              <w:widowControl w:val="0"/>
              <w:autoSpaceDE w:val="0"/>
              <w:autoSpaceDN w:val="0"/>
              <w:adjustRightInd w:val="0"/>
            </w:pPr>
            <w:r>
              <w:t>F</w:t>
            </w:r>
            <w:r w:rsidRPr="00B52C8E">
              <w:t>ine sand</w:t>
            </w:r>
          </w:p>
        </w:tc>
        <w:tc>
          <w:tcPr>
            <w:tcW w:w="0" w:type="auto"/>
          </w:tcPr>
          <w:p w:rsidR="008E3D18" w:rsidRDefault="00963468" w:rsidP="007912A7">
            <w:pPr>
              <w:widowControl w:val="0"/>
              <w:tabs>
                <w:tab w:val="decimal" w:pos="209"/>
              </w:tabs>
              <w:autoSpaceDE w:val="0"/>
              <w:autoSpaceDN w:val="0"/>
              <w:adjustRightInd w:val="0"/>
            </w:pPr>
            <w:r>
              <w:t xml:space="preserve">5 </w:t>
            </w:r>
            <w:r w:rsidR="008E3D18">
              <w:t>x 10</w:t>
            </w:r>
            <w:r w:rsidR="008E3D18">
              <w:rPr>
                <w:vertAlign w:val="superscript"/>
              </w:rPr>
              <w:t>–</w:t>
            </w:r>
            <w:r w:rsidR="008E3D18" w:rsidRPr="00D61194">
              <w:rPr>
                <w:vertAlign w:val="superscript"/>
              </w:rPr>
              <w:t>2</w:t>
            </w:r>
          </w:p>
        </w:tc>
        <w:tc>
          <w:tcPr>
            <w:tcW w:w="0" w:type="auto"/>
          </w:tcPr>
          <w:p w:rsidR="008E3D18" w:rsidRPr="00A94F8E" w:rsidRDefault="00A94F8E" w:rsidP="005C3726">
            <w:pPr>
              <w:widowControl w:val="0"/>
              <w:tabs>
                <w:tab w:val="decimal" w:pos="288"/>
              </w:tabs>
              <w:autoSpaceDE w:val="0"/>
              <w:autoSpaceDN w:val="0"/>
              <w:adjustRightInd w:val="0"/>
              <w:rPr>
                <w:vertAlign w:val="superscript"/>
              </w:rPr>
            </w:pPr>
            <w:r>
              <w:t>3 x 10</w:t>
            </w:r>
            <w:r>
              <w:rPr>
                <w:vertAlign w:val="superscript"/>
              </w:rPr>
              <w:t>0</w:t>
            </w:r>
          </w:p>
        </w:tc>
        <w:tc>
          <w:tcPr>
            <w:tcW w:w="0" w:type="auto"/>
            <w:shd w:val="clear" w:color="auto" w:fill="auto"/>
          </w:tcPr>
          <w:p w:rsidR="008E3D18" w:rsidRPr="00250B99" w:rsidRDefault="008E3D18" w:rsidP="005C3726">
            <w:pPr>
              <w:widowControl w:val="0"/>
              <w:tabs>
                <w:tab w:val="decimal" w:pos="357"/>
              </w:tabs>
              <w:autoSpaceDE w:val="0"/>
              <w:autoSpaceDN w:val="0"/>
              <w:adjustRightInd w:val="0"/>
              <w:rPr>
                <w:vertAlign w:val="superscript"/>
              </w:rPr>
            </w:pPr>
            <w:r w:rsidRPr="00250B99">
              <w:t>2 x 10</w:t>
            </w:r>
            <w:r w:rsidRPr="00250B99">
              <w:rPr>
                <w:vertAlign w:val="superscript"/>
              </w:rPr>
              <w:t>1</w:t>
            </w:r>
          </w:p>
        </w:tc>
        <w:tc>
          <w:tcPr>
            <w:tcW w:w="0" w:type="auto"/>
          </w:tcPr>
          <w:p w:rsidR="008E3D18" w:rsidRDefault="008E3D18" w:rsidP="005C3726">
            <w:pPr>
              <w:widowControl w:val="0"/>
              <w:tabs>
                <w:tab w:val="decimal" w:pos="207"/>
              </w:tabs>
              <w:autoSpaceDE w:val="0"/>
              <w:autoSpaceDN w:val="0"/>
              <w:adjustRightInd w:val="0"/>
            </w:pPr>
            <w:r>
              <w:t>6 x 10</w:t>
            </w:r>
            <w:r w:rsidRPr="00D61194">
              <w:rPr>
                <w:vertAlign w:val="superscript"/>
              </w:rPr>
              <w:t>1</w:t>
            </w:r>
          </w:p>
        </w:tc>
      </w:tr>
      <w:tr w:rsidR="008E3D18">
        <w:trPr>
          <w:trHeight w:val="315"/>
        </w:trPr>
        <w:tc>
          <w:tcPr>
            <w:tcW w:w="0" w:type="auto"/>
          </w:tcPr>
          <w:p w:rsidR="008E3D18" w:rsidRPr="00B52C8E" w:rsidRDefault="008E3D18" w:rsidP="00B52C8E">
            <w:pPr>
              <w:widowControl w:val="0"/>
              <w:autoSpaceDE w:val="0"/>
              <w:autoSpaceDN w:val="0"/>
              <w:adjustRightInd w:val="0"/>
            </w:pPr>
            <w:r>
              <w:t>S</w:t>
            </w:r>
            <w:r w:rsidRPr="00B52C8E">
              <w:t>ilt, loess</w:t>
            </w:r>
          </w:p>
        </w:tc>
        <w:tc>
          <w:tcPr>
            <w:tcW w:w="0" w:type="auto"/>
          </w:tcPr>
          <w:p w:rsidR="008E3D18" w:rsidRDefault="008E3D18" w:rsidP="007912A7">
            <w:pPr>
              <w:widowControl w:val="0"/>
              <w:tabs>
                <w:tab w:val="decimal" w:pos="209"/>
              </w:tabs>
              <w:autoSpaceDE w:val="0"/>
              <w:autoSpaceDN w:val="0"/>
              <w:adjustRightInd w:val="0"/>
            </w:pPr>
            <w:r>
              <w:t>3 x 10</w:t>
            </w:r>
            <w:r>
              <w:rPr>
                <w:vertAlign w:val="superscript"/>
              </w:rPr>
              <w:t>–</w:t>
            </w:r>
            <w:r w:rsidRPr="00D61194">
              <w:rPr>
                <w:vertAlign w:val="superscript"/>
              </w:rPr>
              <w:t>4</w:t>
            </w:r>
          </w:p>
        </w:tc>
        <w:tc>
          <w:tcPr>
            <w:tcW w:w="0" w:type="auto"/>
          </w:tcPr>
          <w:p w:rsidR="008E3D18" w:rsidRPr="00A94F8E" w:rsidRDefault="00A94F8E" w:rsidP="005C3726">
            <w:pPr>
              <w:widowControl w:val="0"/>
              <w:tabs>
                <w:tab w:val="decimal" w:pos="288"/>
              </w:tabs>
              <w:autoSpaceDE w:val="0"/>
              <w:autoSpaceDN w:val="0"/>
              <w:adjustRightInd w:val="0"/>
              <w:rPr>
                <w:vertAlign w:val="superscript"/>
              </w:rPr>
            </w:pPr>
            <w:r>
              <w:t>1 x 10</w:t>
            </w:r>
            <w:r>
              <w:rPr>
                <w:vertAlign w:val="superscript"/>
              </w:rPr>
              <w:t>–3</w:t>
            </w:r>
          </w:p>
        </w:tc>
        <w:tc>
          <w:tcPr>
            <w:tcW w:w="0" w:type="auto"/>
            <w:shd w:val="clear" w:color="auto" w:fill="auto"/>
          </w:tcPr>
          <w:p w:rsidR="008E3D18" w:rsidRPr="00250B99" w:rsidRDefault="008E3D18" w:rsidP="005C3726">
            <w:pPr>
              <w:widowControl w:val="0"/>
              <w:tabs>
                <w:tab w:val="decimal" w:pos="357"/>
              </w:tabs>
              <w:autoSpaceDE w:val="0"/>
              <w:autoSpaceDN w:val="0"/>
              <w:adjustRightInd w:val="0"/>
              <w:rPr>
                <w:vertAlign w:val="superscript"/>
              </w:rPr>
            </w:pPr>
            <w:r w:rsidRPr="00250B99">
              <w:t>1 x 10</w:t>
            </w:r>
            <w:r w:rsidRPr="00250B99">
              <w:rPr>
                <w:vertAlign w:val="superscript"/>
              </w:rPr>
              <w:t>–1</w:t>
            </w:r>
          </w:p>
        </w:tc>
        <w:tc>
          <w:tcPr>
            <w:tcW w:w="0" w:type="auto"/>
          </w:tcPr>
          <w:p w:rsidR="008E3D18" w:rsidRDefault="008E3D18" w:rsidP="005C3726">
            <w:pPr>
              <w:widowControl w:val="0"/>
              <w:tabs>
                <w:tab w:val="decimal" w:pos="207"/>
              </w:tabs>
              <w:autoSpaceDE w:val="0"/>
              <w:autoSpaceDN w:val="0"/>
              <w:adjustRightInd w:val="0"/>
            </w:pPr>
            <w:r>
              <w:t>6 x 10</w:t>
            </w:r>
            <w:r w:rsidRPr="00D61194">
              <w:rPr>
                <w:vertAlign w:val="superscript"/>
              </w:rPr>
              <w:t>0</w:t>
            </w:r>
          </w:p>
        </w:tc>
      </w:tr>
      <w:tr w:rsidR="008E3D18">
        <w:trPr>
          <w:trHeight w:val="315"/>
        </w:trPr>
        <w:tc>
          <w:tcPr>
            <w:tcW w:w="0" w:type="auto"/>
          </w:tcPr>
          <w:p w:rsidR="008E3D18" w:rsidRPr="00B52C8E" w:rsidRDefault="008E3D18" w:rsidP="00B52C8E">
            <w:pPr>
              <w:widowControl w:val="0"/>
              <w:autoSpaceDE w:val="0"/>
              <w:autoSpaceDN w:val="0"/>
              <w:adjustRightInd w:val="0"/>
            </w:pPr>
            <w:r>
              <w:t>T</w:t>
            </w:r>
            <w:r w:rsidRPr="00B52C8E">
              <w:t>ill</w:t>
            </w:r>
          </w:p>
        </w:tc>
        <w:tc>
          <w:tcPr>
            <w:tcW w:w="0" w:type="auto"/>
          </w:tcPr>
          <w:p w:rsidR="008E3D18" w:rsidRDefault="008E3D18" w:rsidP="007912A7">
            <w:pPr>
              <w:widowControl w:val="0"/>
              <w:tabs>
                <w:tab w:val="decimal" w:pos="209"/>
              </w:tabs>
              <w:autoSpaceDE w:val="0"/>
              <w:autoSpaceDN w:val="0"/>
              <w:adjustRightInd w:val="0"/>
            </w:pPr>
            <w:r>
              <w:t>3 x 10</w:t>
            </w:r>
            <w:r>
              <w:rPr>
                <w:vertAlign w:val="superscript"/>
              </w:rPr>
              <w:t>–</w:t>
            </w:r>
            <w:r w:rsidRPr="00D61194">
              <w:rPr>
                <w:vertAlign w:val="superscript"/>
              </w:rPr>
              <w:t>7</w:t>
            </w:r>
          </w:p>
        </w:tc>
        <w:tc>
          <w:tcPr>
            <w:tcW w:w="0" w:type="auto"/>
          </w:tcPr>
          <w:p w:rsidR="008E3D18" w:rsidRPr="00A94F8E" w:rsidRDefault="00A94F8E" w:rsidP="005C3726">
            <w:pPr>
              <w:widowControl w:val="0"/>
              <w:tabs>
                <w:tab w:val="decimal" w:pos="288"/>
              </w:tabs>
              <w:autoSpaceDE w:val="0"/>
              <w:autoSpaceDN w:val="0"/>
              <w:adjustRightInd w:val="0"/>
              <w:rPr>
                <w:vertAlign w:val="superscript"/>
              </w:rPr>
            </w:pPr>
            <w:r>
              <w:t>3 x 10</w:t>
            </w:r>
            <w:r>
              <w:rPr>
                <w:vertAlign w:val="superscript"/>
              </w:rPr>
              <w:t>-3</w:t>
            </w:r>
          </w:p>
        </w:tc>
        <w:tc>
          <w:tcPr>
            <w:tcW w:w="0" w:type="auto"/>
            <w:shd w:val="clear" w:color="auto" w:fill="auto"/>
          </w:tcPr>
          <w:p w:rsidR="008E3D18" w:rsidRPr="00250B99" w:rsidRDefault="008E3D18" w:rsidP="005C3726">
            <w:pPr>
              <w:widowControl w:val="0"/>
              <w:tabs>
                <w:tab w:val="decimal" w:pos="357"/>
              </w:tabs>
              <w:autoSpaceDE w:val="0"/>
              <w:autoSpaceDN w:val="0"/>
              <w:adjustRightInd w:val="0"/>
              <w:rPr>
                <w:vertAlign w:val="superscript"/>
              </w:rPr>
            </w:pPr>
            <w:r w:rsidRPr="00250B99">
              <w:t>3 x 10</w:t>
            </w:r>
            <w:r w:rsidRPr="00250B99">
              <w:rPr>
                <w:vertAlign w:val="superscript"/>
              </w:rPr>
              <w:t>–1</w:t>
            </w:r>
          </w:p>
        </w:tc>
        <w:tc>
          <w:tcPr>
            <w:tcW w:w="0" w:type="auto"/>
          </w:tcPr>
          <w:p w:rsidR="008E3D18" w:rsidRDefault="008E3D18" w:rsidP="005C3726">
            <w:pPr>
              <w:widowControl w:val="0"/>
              <w:tabs>
                <w:tab w:val="decimal" w:pos="207"/>
              </w:tabs>
              <w:autoSpaceDE w:val="0"/>
              <w:autoSpaceDN w:val="0"/>
              <w:adjustRightInd w:val="0"/>
            </w:pPr>
            <w:r>
              <w:t>6 x 10</w:t>
            </w:r>
            <w:r>
              <w:rPr>
                <w:vertAlign w:val="superscript"/>
              </w:rPr>
              <w:t>–</w:t>
            </w:r>
            <w:r w:rsidRPr="00D61194">
              <w:rPr>
                <w:vertAlign w:val="superscript"/>
              </w:rPr>
              <w:t>1</w:t>
            </w:r>
          </w:p>
        </w:tc>
      </w:tr>
      <w:tr w:rsidR="008E3D18">
        <w:trPr>
          <w:trHeight w:val="315"/>
        </w:trPr>
        <w:tc>
          <w:tcPr>
            <w:tcW w:w="0" w:type="auto"/>
          </w:tcPr>
          <w:p w:rsidR="008E3D18" w:rsidRPr="00B52C8E" w:rsidRDefault="008E3D18" w:rsidP="00B52C8E">
            <w:pPr>
              <w:widowControl w:val="0"/>
              <w:autoSpaceDE w:val="0"/>
              <w:autoSpaceDN w:val="0"/>
              <w:adjustRightInd w:val="0"/>
            </w:pPr>
            <w:r>
              <w:t>C</w:t>
            </w:r>
            <w:r w:rsidRPr="00B52C8E">
              <w:t>lay</w:t>
            </w:r>
          </w:p>
        </w:tc>
        <w:tc>
          <w:tcPr>
            <w:tcW w:w="0" w:type="auto"/>
          </w:tcPr>
          <w:p w:rsidR="008E3D18" w:rsidRDefault="008E3D18" w:rsidP="007912A7">
            <w:pPr>
              <w:widowControl w:val="0"/>
              <w:tabs>
                <w:tab w:val="decimal" w:pos="209"/>
              </w:tabs>
              <w:autoSpaceDE w:val="0"/>
              <w:autoSpaceDN w:val="0"/>
              <w:adjustRightInd w:val="0"/>
            </w:pPr>
            <w:r>
              <w:t>3 x 10</w:t>
            </w:r>
            <w:r>
              <w:rPr>
                <w:vertAlign w:val="superscript"/>
              </w:rPr>
              <w:t>–</w:t>
            </w:r>
            <w:r w:rsidRPr="00D61194">
              <w:rPr>
                <w:vertAlign w:val="superscript"/>
              </w:rPr>
              <w:t>6</w:t>
            </w:r>
          </w:p>
        </w:tc>
        <w:tc>
          <w:tcPr>
            <w:tcW w:w="0" w:type="auto"/>
          </w:tcPr>
          <w:p w:rsidR="008E3D18" w:rsidRPr="00A94F8E" w:rsidRDefault="00A94F8E" w:rsidP="005C3726">
            <w:pPr>
              <w:widowControl w:val="0"/>
              <w:tabs>
                <w:tab w:val="decimal" w:pos="288"/>
              </w:tabs>
              <w:autoSpaceDE w:val="0"/>
              <w:autoSpaceDN w:val="0"/>
              <w:adjustRightInd w:val="0"/>
              <w:rPr>
                <w:vertAlign w:val="superscript"/>
              </w:rPr>
            </w:pPr>
            <w:r>
              <w:t>1 x 10</w:t>
            </w:r>
            <w:r>
              <w:rPr>
                <w:vertAlign w:val="superscript"/>
              </w:rPr>
              <w:t>–5</w:t>
            </w:r>
          </w:p>
        </w:tc>
        <w:tc>
          <w:tcPr>
            <w:tcW w:w="0" w:type="auto"/>
            <w:shd w:val="clear" w:color="auto" w:fill="auto"/>
          </w:tcPr>
          <w:p w:rsidR="008E3D18" w:rsidRPr="00250B99" w:rsidRDefault="008E3D18" w:rsidP="005C3726">
            <w:pPr>
              <w:widowControl w:val="0"/>
              <w:tabs>
                <w:tab w:val="decimal" w:pos="357"/>
              </w:tabs>
              <w:autoSpaceDE w:val="0"/>
              <w:autoSpaceDN w:val="0"/>
              <w:adjustRightInd w:val="0"/>
              <w:rPr>
                <w:vertAlign w:val="superscript"/>
              </w:rPr>
            </w:pPr>
            <w:r w:rsidRPr="00250B99">
              <w:t>1 x 10</w:t>
            </w:r>
            <w:r w:rsidRPr="00250B99">
              <w:rPr>
                <w:vertAlign w:val="superscript"/>
              </w:rPr>
              <w:t>–4</w:t>
            </w:r>
          </w:p>
        </w:tc>
        <w:tc>
          <w:tcPr>
            <w:tcW w:w="0" w:type="auto"/>
          </w:tcPr>
          <w:p w:rsidR="008E3D18" w:rsidRDefault="008E3D18" w:rsidP="005C3726">
            <w:pPr>
              <w:widowControl w:val="0"/>
              <w:tabs>
                <w:tab w:val="decimal" w:pos="207"/>
              </w:tabs>
              <w:autoSpaceDE w:val="0"/>
              <w:autoSpaceDN w:val="0"/>
              <w:adjustRightInd w:val="0"/>
            </w:pPr>
            <w:r>
              <w:t>1 x 10</w:t>
            </w:r>
            <w:r>
              <w:rPr>
                <w:vertAlign w:val="superscript"/>
              </w:rPr>
              <w:t>–</w:t>
            </w:r>
            <w:r w:rsidRPr="00D61194">
              <w:rPr>
                <w:vertAlign w:val="superscript"/>
              </w:rPr>
              <w:t>3</w:t>
            </w:r>
          </w:p>
        </w:tc>
      </w:tr>
      <w:tr w:rsidR="008E3D18">
        <w:trPr>
          <w:trHeight w:val="315"/>
        </w:trPr>
        <w:tc>
          <w:tcPr>
            <w:tcW w:w="0" w:type="auto"/>
          </w:tcPr>
          <w:p w:rsidR="008E3D18" w:rsidRPr="00B52C8E" w:rsidRDefault="008E3D18" w:rsidP="00B52C8E">
            <w:pPr>
              <w:widowControl w:val="0"/>
              <w:autoSpaceDE w:val="0"/>
              <w:autoSpaceDN w:val="0"/>
              <w:adjustRightInd w:val="0"/>
            </w:pPr>
          </w:p>
        </w:tc>
        <w:tc>
          <w:tcPr>
            <w:tcW w:w="0" w:type="auto"/>
          </w:tcPr>
          <w:p w:rsidR="008E3D18" w:rsidRDefault="008E3D18" w:rsidP="007912A7">
            <w:pPr>
              <w:widowControl w:val="0"/>
              <w:tabs>
                <w:tab w:val="decimal" w:pos="209"/>
              </w:tabs>
              <w:autoSpaceDE w:val="0"/>
              <w:autoSpaceDN w:val="0"/>
              <w:adjustRightInd w:val="0"/>
            </w:pPr>
          </w:p>
        </w:tc>
        <w:tc>
          <w:tcPr>
            <w:tcW w:w="0" w:type="auto"/>
          </w:tcPr>
          <w:p w:rsidR="008E3D18" w:rsidRDefault="008E3D18" w:rsidP="005C3726">
            <w:pPr>
              <w:widowControl w:val="0"/>
              <w:tabs>
                <w:tab w:val="decimal" w:pos="288"/>
              </w:tabs>
              <w:autoSpaceDE w:val="0"/>
              <w:autoSpaceDN w:val="0"/>
              <w:adjustRightInd w:val="0"/>
            </w:pPr>
          </w:p>
        </w:tc>
        <w:tc>
          <w:tcPr>
            <w:tcW w:w="0" w:type="auto"/>
            <w:shd w:val="clear" w:color="auto" w:fill="auto"/>
          </w:tcPr>
          <w:p w:rsidR="008E3D18" w:rsidRPr="00250B99" w:rsidRDefault="008E3D18" w:rsidP="005C3726">
            <w:pPr>
              <w:widowControl w:val="0"/>
              <w:tabs>
                <w:tab w:val="decimal" w:pos="357"/>
              </w:tabs>
              <w:autoSpaceDE w:val="0"/>
              <w:autoSpaceDN w:val="0"/>
              <w:adjustRightInd w:val="0"/>
            </w:pPr>
          </w:p>
        </w:tc>
        <w:tc>
          <w:tcPr>
            <w:tcW w:w="0" w:type="auto"/>
          </w:tcPr>
          <w:p w:rsidR="008E3D18" w:rsidRDefault="008E3D18" w:rsidP="005C3726">
            <w:pPr>
              <w:widowControl w:val="0"/>
              <w:tabs>
                <w:tab w:val="decimal" w:pos="207"/>
              </w:tabs>
              <w:autoSpaceDE w:val="0"/>
              <w:autoSpaceDN w:val="0"/>
              <w:adjustRightInd w:val="0"/>
            </w:pPr>
          </w:p>
        </w:tc>
      </w:tr>
      <w:tr w:rsidR="008E3D18">
        <w:trPr>
          <w:trHeight w:val="315"/>
        </w:trPr>
        <w:tc>
          <w:tcPr>
            <w:tcW w:w="0" w:type="auto"/>
          </w:tcPr>
          <w:p w:rsidR="008E3D18" w:rsidRPr="00126923" w:rsidRDefault="008E3D18" w:rsidP="00B52C8E">
            <w:pPr>
              <w:widowControl w:val="0"/>
              <w:autoSpaceDE w:val="0"/>
              <w:autoSpaceDN w:val="0"/>
              <w:adjustRightInd w:val="0"/>
              <w:rPr>
                <w:b/>
                <w:bCs/>
                <w:i/>
              </w:rPr>
            </w:pPr>
            <w:r w:rsidRPr="00126923">
              <w:rPr>
                <w:b/>
                <w:bCs/>
                <w:i/>
              </w:rPr>
              <w:t>Sedimentary Rocks</w:t>
            </w:r>
          </w:p>
        </w:tc>
        <w:tc>
          <w:tcPr>
            <w:tcW w:w="0" w:type="auto"/>
          </w:tcPr>
          <w:p w:rsidR="008E3D18" w:rsidRDefault="008E3D18" w:rsidP="007912A7">
            <w:pPr>
              <w:widowControl w:val="0"/>
              <w:tabs>
                <w:tab w:val="decimal" w:pos="209"/>
              </w:tabs>
              <w:autoSpaceDE w:val="0"/>
              <w:autoSpaceDN w:val="0"/>
              <w:adjustRightInd w:val="0"/>
            </w:pPr>
          </w:p>
        </w:tc>
        <w:tc>
          <w:tcPr>
            <w:tcW w:w="0" w:type="auto"/>
          </w:tcPr>
          <w:p w:rsidR="008E3D18" w:rsidRDefault="008E3D18" w:rsidP="005C3726">
            <w:pPr>
              <w:widowControl w:val="0"/>
              <w:tabs>
                <w:tab w:val="decimal" w:pos="288"/>
              </w:tabs>
              <w:autoSpaceDE w:val="0"/>
              <w:autoSpaceDN w:val="0"/>
              <w:adjustRightInd w:val="0"/>
            </w:pPr>
          </w:p>
        </w:tc>
        <w:tc>
          <w:tcPr>
            <w:tcW w:w="0" w:type="auto"/>
            <w:shd w:val="clear" w:color="auto" w:fill="auto"/>
          </w:tcPr>
          <w:p w:rsidR="008E3D18" w:rsidRPr="00250B99" w:rsidRDefault="008E3D18" w:rsidP="005C3726">
            <w:pPr>
              <w:widowControl w:val="0"/>
              <w:tabs>
                <w:tab w:val="decimal" w:pos="357"/>
              </w:tabs>
              <w:autoSpaceDE w:val="0"/>
              <w:autoSpaceDN w:val="0"/>
              <w:adjustRightInd w:val="0"/>
            </w:pPr>
          </w:p>
        </w:tc>
        <w:tc>
          <w:tcPr>
            <w:tcW w:w="0" w:type="auto"/>
          </w:tcPr>
          <w:p w:rsidR="008E3D18" w:rsidRDefault="008E3D18" w:rsidP="005C3726">
            <w:pPr>
              <w:widowControl w:val="0"/>
              <w:tabs>
                <w:tab w:val="decimal" w:pos="207"/>
              </w:tabs>
              <w:autoSpaceDE w:val="0"/>
              <w:autoSpaceDN w:val="0"/>
              <w:adjustRightInd w:val="0"/>
            </w:pPr>
          </w:p>
        </w:tc>
      </w:tr>
      <w:tr w:rsidR="008E3D18">
        <w:trPr>
          <w:trHeight w:val="315"/>
        </w:trPr>
        <w:tc>
          <w:tcPr>
            <w:tcW w:w="0" w:type="auto"/>
          </w:tcPr>
          <w:p w:rsidR="008E3D18" w:rsidRPr="00B52C8E" w:rsidRDefault="00703F8A" w:rsidP="00B52C8E">
            <w:pPr>
              <w:widowControl w:val="0"/>
              <w:autoSpaceDE w:val="0"/>
              <w:autoSpaceDN w:val="0"/>
              <w:adjustRightInd w:val="0"/>
            </w:pPr>
            <w:r>
              <w:t>K</w:t>
            </w:r>
            <w:r w:rsidR="008E3D18" w:rsidRPr="00B52C8E">
              <w:t>arst, reef limestone</w:t>
            </w:r>
          </w:p>
        </w:tc>
        <w:tc>
          <w:tcPr>
            <w:tcW w:w="0" w:type="auto"/>
          </w:tcPr>
          <w:p w:rsidR="008E3D18" w:rsidRDefault="00963468" w:rsidP="007912A7">
            <w:pPr>
              <w:widowControl w:val="0"/>
              <w:tabs>
                <w:tab w:val="decimal" w:pos="209"/>
              </w:tabs>
              <w:autoSpaceDE w:val="0"/>
              <w:autoSpaceDN w:val="0"/>
              <w:adjustRightInd w:val="0"/>
            </w:pPr>
            <w:r>
              <w:t xml:space="preserve">2 </w:t>
            </w:r>
            <w:r w:rsidR="008E3D18">
              <w:t>x 10</w:t>
            </w:r>
            <w:r w:rsidR="008E3D18">
              <w:rPr>
                <w:vertAlign w:val="superscript"/>
              </w:rPr>
              <w:t>–</w:t>
            </w:r>
            <w:r w:rsidR="008E3D18" w:rsidRPr="00D61194">
              <w:rPr>
                <w:vertAlign w:val="superscript"/>
              </w:rPr>
              <w:t>1</w:t>
            </w:r>
          </w:p>
        </w:tc>
        <w:tc>
          <w:tcPr>
            <w:tcW w:w="0" w:type="auto"/>
          </w:tcPr>
          <w:p w:rsidR="008E3D18" w:rsidRPr="00763321" w:rsidRDefault="00763321" w:rsidP="005C3726">
            <w:pPr>
              <w:widowControl w:val="0"/>
              <w:tabs>
                <w:tab w:val="decimal" w:pos="288"/>
              </w:tabs>
              <w:autoSpaceDE w:val="0"/>
              <w:autoSpaceDN w:val="0"/>
              <w:adjustRightInd w:val="0"/>
              <w:rPr>
                <w:vertAlign w:val="superscript"/>
              </w:rPr>
            </w:pPr>
            <w:r>
              <w:t>1 x 10</w:t>
            </w:r>
            <w:r>
              <w:rPr>
                <w:vertAlign w:val="superscript"/>
              </w:rPr>
              <w:t>1</w:t>
            </w:r>
          </w:p>
        </w:tc>
        <w:tc>
          <w:tcPr>
            <w:tcW w:w="0" w:type="auto"/>
            <w:shd w:val="clear" w:color="auto" w:fill="auto"/>
          </w:tcPr>
          <w:p w:rsidR="008E3D18" w:rsidRPr="00250B99" w:rsidRDefault="008E3D18" w:rsidP="005C3726">
            <w:pPr>
              <w:widowControl w:val="0"/>
              <w:tabs>
                <w:tab w:val="decimal" w:pos="357"/>
              </w:tabs>
              <w:autoSpaceDE w:val="0"/>
              <w:autoSpaceDN w:val="0"/>
              <w:adjustRightInd w:val="0"/>
              <w:rPr>
                <w:vertAlign w:val="superscript"/>
              </w:rPr>
            </w:pPr>
            <w:r w:rsidRPr="00250B99">
              <w:t>1 x 10</w:t>
            </w:r>
            <w:r w:rsidRPr="00250B99">
              <w:rPr>
                <w:vertAlign w:val="superscript"/>
              </w:rPr>
              <w:t>3</w:t>
            </w:r>
          </w:p>
        </w:tc>
        <w:tc>
          <w:tcPr>
            <w:tcW w:w="0" w:type="auto"/>
          </w:tcPr>
          <w:p w:rsidR="008E3D18" w:rsidRDefault="00564CBE" w:rsidP="005C3726">
            <w:pPr>
              <w:widowControl w:val="0"/>
              <w:tabs>
                <w:tab w:val="decimal" w:pos="207"/>
              </w:tabs>
              <w:autoSpaceDE w:val="0"/>
              <w:autoSpaceDN w:val="0"/>
              <w:adjustRightInd w:val="0"/>
            </w:pPr>
            <w:r>
              <w:t>1</w:t>
            </w:r>
            <w:r w:rsidR="008E3D18">
              <w:t xml:space="preserve"> x 10</w:t>
            </w:r>
            <w:r w:rsidRPr="00564CBE">
              <w:rPr>
                <w:vertAlign w:val="superscript"/>
              </w:rPr>
              <w:t>4</w:t>
            </w:r>
          </w:p>
        </w:tc>
      </w:tr>
      <w:tr w:rsidR="008E3D18">
        <w:trPr>
          <w:trHeight w:val="315"/>
        </w:trPr>
        <w:tc>
          <w:tcPr>
            <w:tcW w:w="0" w:type="auto"/>
          </w:tcPr>
          <w:p w:rsidR="008E3D18" w:rsidRPr="00B52C8E" w:rsidRDefault="00D569C4" w:rsidP="00B52C8E">
            <w:pPr>
              <w:widowControl w:val="0"/>
              <w:autoSpaceDE w:val="0"/>
              <w:autoSpaceDN w:val="0"/>
              <w:adjustRightInd w:val="0"/>
            </w:pPr>
            <w:r>
              <w:t>Li</w:t>
            </w:r>
            <w:r w:rsidR="008E3D18" w:rsidRPr="00B52C8E">
              <w:t>mestone, dolomite</w:t>
            </w:r>
          </w:p>
        </w:tc>
        <w:tc>
          <w:tcPr>
            <w:tcW w:w="0" w:type="auto"/>
          </w:tcPr>
          <w:p w:rsidR="008E3D18" w:rsidRDefault="008E3D18" w:rsidP="007912A7">
            <w:pPr>
              <w:widowControl w:val="0"/>
              <w:tabs>
                <w:tab w:val="decimal" w:pos="209"/>
              </w:tabs>
              <w:autoSpaceDE w:val="0"/>
              <w:autoSpaceDN w:val="0"/>
              <w:adjustRightInd w:val="0"/>
            </w:pPr>
            <w:r>
              <w:t>3 x 10</w:t>
            </w:r>
            <w:r>
              <w:rPr>
                <w:vertAlign w:val="superscript"/>
              </w:rPr>
              <w:t>–</w:t>
            </w:r>
            <w:r w:rsidRPr="00D61194">
              <w:rPr>
                <w:vertAlign w:val="superscript"/>
              </w:rPr>
              <w:t>4</w:t>
            </w:r>
          </w:p>
        </w:tc>
        <w:tc>
          <w:tcPr>
            <w:tcW w:w="0" w:type="auto"/>
          </w:tcPr>
          <w:p w:rsidR="008E3D18" w:rsidRPr="00763321" w:rsidRDefault="00763321" w:rsidP="005C3726">
            <w:pPr>
              <w:widowControl w:val="0"/>
              <w:tabs>
                <w:tab w:val="decimal" w:pos="288"/>
              </w:tabs>
              <w:autoSpaceDE w:val="0"/>
              <w:autoSpaceDN w:val="0"/>
              <w:adjustRightInd w:val="0"/>
              <w:rPr>
                <w:vertAlign w:val="superscript"/>
              </w:rPr>
            </w:pPr>
            <w:r>
              <w:t>4 x 10</w:t>
            </w:r>
            <w:r>
              <w:rPr>
                <w:vertAlign w:val="superscript"/>
              </w:rPr>
              <w:t>–3</w:t>
            </w:r>
          </w:p>
        </w:tc>
        <w:tc>
          <w:tcPr>
            <w:tcW w:w="0" w:type="auto"/>
            <w:shd w:val="clear" w:color="auto" w:fill="auto"/>
          </w:tcPr>
          <w:p w:rsidR="008E3D18" w:rsidRPr="00250B99" w:rsidRDefault="008E3D18" w:rsidP="005C3726">
            <w:pPr>
              <w:widowControl w:val="0"/>
              <w:tabs>
                <w:tab w:val="decimal" w:pos="357"/>
              </w:tabs>
              <w:autoSpaceDE w:val="0"/>
              <w:autoSpaceDN w:val="0"/>
              <w:adjustRightInd w:val="0"/>
              <w:rPr>
                <w:vertAlign w:val="superscript"/>
              </w:rPr>
            </w:pPr>
            <w:r w:rsidRPr="00250B99">
              <w:t>1 x 10</w:t>
            </w:r>
            <w:r w:rsidRPr="00250B99">
              <w:rPr>
                <w:vertAlign w:val="superscript"/>
              </w:rPr>
              <w:t>–1</w:t>
            </w:r>
          </w:p>
        </w:tc>
        <w:tc>
          <w:tcPr>
            <w:tcW w:w="0" w:type="auto"/>
          </w:tcPr>
          <w:p w:rsidR="008E3D18" w:rsidRDefault="008E3D18" w:rsidP="005C3726">
            <w:pPr>
              <w:widowControl w:val="0"/>
              <w:tabs>
                <w:tab w:val="decimal" w:pos="207"/>
              </w:tabs>
              <w:autoSpaceDE w:val="0"/>
              <w:autoSpaceDN w:val="0"/>
              <w:adjustRightInd w:val="0"/>
            </w:pPr>
            <w:r>
              <w:t>2 x 10</w:t>
            </w:r>
            <w:r w:rsidRPr="00D61194">
              <w:rPr>
                <w:vertAlign w:val="superscript"/>
              </w:rPr>
              <w:t>0</w:t>
            </w:r>
          </w:p>
        </w:tc>
      </w:tr>
      <w:tr w:rsidR="008E3D18">
        <w:trPr>
          <w:trHeight w:val="315"/>
        </w:trPr>
        <w:tc>
          <w:tcPr>
            <w:tcW w:w="0" w:type="auto"/>
          </w:tcPr>
          <w:p w:rsidR="008E3D18" w:rsidRPr="00B52C8E" w:rsidRDefault="00D569C4" w:rsidP="00B52C8E">
            <w:pPr>
              <w:widowControl w:val="0"/>
              <w:autoSpaceDE w:val="0"/>
              <w:autoSpaceDN w:val="0"/>
              <w:adjustRightInd w:val="0"/>
            </w:pPr>
            <w:r>
              <w:t>S</w:t>
            </w:r>
            <w:r w:rsidR="008E3D18">
              <w:t>andstone, medium grained</w:t>
            </w:r>
          </w:p>
        </w:tc>
        <w:tc>
          <w:tcPr>
            <w:tcW w:w="0" w:type="auto"/>
          </w:tcPr>
          <w:p w:rsidR="008E3D18" w:rsidRPr="008C463C" w:rsidRDefault="008E3D18" w:rsidP="007912A7">
            <w:pPr>
              <w:widowControl w:val="0"/>
              <w:tabs>
                <w:tab w:val="decimal" w:pos="209"/>
              </w:tabs>
              <w:autoSpaceDE w:val="0"/>
              <w:autoSpaceDN w:val="0"/>
              <w:adjustRightInd w:val="0"/>
              <w:rPr>
                <w:vertAlign w:val="superscript"/>
              </w:rPr>
            </w:pPr>
            <w:r>
              <w:t>1 x 10</w:t>
            </w:r>
            <w:r>
              <w:rPr>
                <w:vertAlign w:val="superscript"/>
              </w:rPr>
              <w:t>–3</w:t>
            </w:r>
          </w:p>
        </w:tc>
        <w:tc>
          <w:tcPr>
            <w:tcW w:w="0" w:type="auto"/>
          </w:tcPr>
          <w:p w:rsidR="008E3D18" w:rsidRPr="00763321" w:rsidRDefault="00763321" w:rsidP="005C3726">
            <w:pPr>
              <w:widowControl w:val="0"/>
              <w:tabs>
                <w:tab w:val="decimal" w:pos="288"/>
              </w:tabs>
              <w:autoSpaceDE w:val="0"/>
              <w:autoSpaceDN w:val="0"/>
              <w:adjustRightInd w:val="0"/>
              <w:rPr>
                <w:vertAlign w:val="superscript"/>
              </w:rPr>
            </w:pPr>
            <w:r>
              <w:t>1 x 10</w:t>
            </w:r>
            <w:r>
              <w:rPr>
                <w:vertAlign w:val="superscript"/>
              </w:rPr>
              <w:t>0</w:t>
            </w:r>
          </w:p>
        </w:tc>
        <w:tc>
          <w:tcPr>
            <w:tcW w:w="0" w:type="auto"/>
            <w:shd w:val="clear" w:color="auto" w:fill="auto"/>
          </w:tcPr>
          <w:p w:rsidR="008E3D18" w:rsidRPr="00250B99" w:rsidRDefault="008E3D18" w:rsidP="005C3726">
            <w:pPr>
              <w:widowControl w:val="0"/>
              <w:tabs>
                <w:tab w:val="decimal" w:pos="357"/>
              </w:tabs>
              <w:autoSpaceDE w:val="0"/>
              <w:autoSpaceDN w:val="0"/>
              <w:adjustRightInd w:val="0"/>
              <w:rPr>
                <w:vertAlign w:val="superscript"/>
              </w:rPr>
            </w:pPr>
            <w:r w:rsidRPr="00250B99">
              <w:t>1 x 10</w:t>
            </w:r>
            <w:r w:rsidRPr="00250B99">
              <w:rPr>
                <w:vertAlign w:val="superscript"/>
              </w:rPr>
              <w:t>1</w:t>
            </w:r>
          </w:p>
        </w:tc>
        <w:tc>
          <w:tcPr>
            <w:tcW w:w="0" w:type="auto"/>
          </w:tcPr>
          <w:p w:rsidR="008E3D18" w:rsidRPr="008C463C" w:rsidRDefault="008E3D18" w:rsidP="005C3726">
            <w:pPr>
              <w:widowControl w:val="0"/>
              <w:tabs>
                <w:tab w:val="decimal" w:pos="207"/>
              </w:tabs>
              <w:autoSpaceDE w:val="0"/>
              <w:autoSpaceDN w:val="0"/>
              <w:adjustRightInd w:val="0"/>
              <w:rPr>
                <w:vertAlign w:val="superscript"/>
              </w:rPr>
            </w:pPr>
            <w:r>
              <w:t>8 x 10</w:t>
            </w:r>
            <w:r>
              <w:rPr>
                <w:vertAlign w:val="superscript"/>
              </w:rPr>
              <w:t>1</w:t>
            </w:r>
          </w:p>
        </w:tc>
      </w:tr>
      <w:tr w:rsidR="008E3D18">
        <w:trPr>
          <w:trHeight w:val="315"/>
        </w:trPr>
        <w:tc>
          <w:tcPr>
            <w:tcW w:w="0" w:type="auto"/>
          </w:tcPr>
          <w:p w:rsidR="008E3D18" w:rsidRPr="00B52C8E" w:rsidRDefault="00D569C4" w:rsidP="00B52C8E">
            <w:pPr>
              <w:widowControl w:val="0"/>
              <w:autoSpaceDE w:val="0"/>
              <w:autoSpaceDN w:val="0"/>
              <w:adjustRightInd w:val="0"/>
            </w:pPr>
            <w:r>
              <w:t>S</w:t>
            </w:r>
            <w:r w:rsidR="008E3D18" w:rsidRPr="00B52C8E">
              <w:t>andstone</w:t>
            </w:r>
            <w:r w:rsidR="008E3D18">
              <w:t>, fine grained</w:t>
            </w:r>
          </w:p>
        </w:tc>
        <w:tc>
          <w:tcPr>
            <w:tcW w:w="0" w:type="auto"/>
          </w:tcPr>
          <w:p w:rsidR="008E3D18" w:rsidRDefault="008E3D18" w:rsidP="007912A7">
            <w:pPr>
              <w:widowControl w:val="0"/>
              <w:tabs>
                <w:tab w:val="decimal" w:pos="209"/>
              </w:tabs>
              <w:autoSpaceDE w:val="0"/>
              <w:autoSpaceDN w:val="0"/>
              <w:adjustRightInd w:val="0"/>
            </w:pPr>
            <w:r>
              <w:t>9 x 10</w:t>
            </w:r>
            <w:r>
              <w:rPr>
                <w:vertAlign w:val="superscript"/>
              </w:rPr>
              <w:t>–</w:t>
            </w:r>
            <w:r w:rsidRPr="00D61194">
              <w:rPr>
                <w:vertAlign w:val="superscript"/>
              </w:rPr>
              <w:t>5</w:t>
            </w:r>
          </w:p>
        </w:tc>
        <w:tc>
          <w:tcPr>
            <w:tcW w:w="0" w:type="auto"/>
          </w:tcPr>
          <w:p w:rsidR="008E3D18" w:rsidRPr="00763321" w:rsidRDefault="00763321" w:rsidP="005C3726">
            <w:pPr>
              <w:widowControl w:val="0"/>
              <w:tabs>
                <w:tab w:val="decimal" w:pos="288"/>
              </w:tabs>
              <w:autoSpaceDE w:val="0"/>
              <w:autoSpaceDN w:val="0"/>
              <w:adjustRightInd w:val="0"/>
              <w:rPr>
                <w:vertAlign w:val="superscript"/>
              </w:rPr>
            </w:pPr>
            <w:r>
              <w:t>1 x 10</w:t>
            </w:r>
            <w:r>
              <w:rPr>
                <w:vertAlign w:val="superscript"/>
              </w:rPr>
              <w:t>–3</w:t>
            </w:r>
          </w:p>
        </w:tc>
        <w:tc>
          <w:tcPr>
            <w:tcW w:w="0" w:type="auto"/>
            <w:shd w:val="clear" w:color="auto" w:fill="auto"/>
          </w:tcPr>
          <w:p w:rsidR="008E3D18" w:rsidRPr="00250B99" w:rsidRDefault="008E3D18" w:rsidP="005C3726">
            <w:pPr>
              <w:widowControl w:val="0"/>
              <w:tabs>
                <w:tab w:val="decimal" w:pos="357"/>
              </w:tabs>
              <w:autoSpaceDE w:val="0"/>
              <w:autoSpaceDN w:val="0"/>
              <w:adjustRightInd w:val="0"/>
              <w:rPr>
                <w:vertAlign w:val="superscript"/>
              </w:rPr>
            </w:pPr>
            <w:r w:rsidRPr="00250B99">
              <w:t>1 x 10</w:t>
            </w:r>
            <w:r w:rsidRPr="00250B99">
              <w:rPr>
                <w:vertAlign w:val="superscript"/>
              </w:rPr>
              <w:t>0</w:t>
            </w:r>
          </w:p>
        </w:tc>
        <w:tc>
          <w:tcPr>
            <w:tcW w:w="0" w:type="auto"/>
          </w:tcPr>
          <w:p w:rsidR="008E3D18" w:rsidRDefault="008E3D18" w:rsidP="005C3726">
            <w:pPr>
              <w:widowControl w:val="0"/>
              <w:tabs>
                <w:tab w:val="decimal" w:pos="207"/>
              </w:tabs>
              <w:autoSpaceDE w:val="0"/>
              <w:autoSpaceDN w:val="0"/>
              <w:adjustRightInd w:val="0"/>
            </w:pPr>
            <w:r>
              <w:t>6 x 10</w:t>
            </w:r>
            <w:r w:rsidRPr="00D61194">
              <w:rPr>
                <w:vertAlign w:val="superscript"/>
              </w:rPr>
              <w:t>0</w:t>
            </w:r>
          </w:p>
        </w:tc>
      </w:tr>
      <w:tr w:rsidR="008E3D18">
        <w:trPr>
          <w:trHeight w:val="315"/>
        </w:trPr>
        <w:tc>
          <w:tcPr>
            <w:tcW w:w="0" w:type="auto"/>
          </w:tcPr>
          <w:p w:rsidR="008E3D18" w:rsidRPr="00B52C8E" w:rsidRDefault="00D569C4" w:rsidP="00B52C8E">
            <w:pPr>
              <w:widowControl w:val="0"/>
              <w:autoSpaceDE w:val="0"/>
              <w:autoSpaceDN w:val="0"/>
              <w:adjustRightInd w:val="0"/>
            </w:pPr>
            <w:r>
              <w:t>S</w:t>
            </w:r>
            <w:r w:rsidR="008E3D18" w:rsidRPr="00B52C8E">
              <w:t>iltstone</w:t>
            </w:r>
          </w:p>
        </w:tc>
        <w:tc>
          <w:tcPr>
            <w:tcW w:w="0" w:type="auto"/>
          </w:tcPr>
          <w:p w:rsidR="008E3D18" w:rsidRDefault="008E3D18" w:rsidP="007912A7">
            <w:pPr>
              <w:widowControl w:val="0"/>
              <w:tabs>
                <w:tab w:val="decimal" w:pos="209"/>
              </w:tabs>
              <w:autoSpaceDE w:val="0"/>
              <w:autoSpaceDN w:val="0"/>
              <w:adjustRightInd w:val="0"/>
            </w:pPr>
            <w:r>
              <w:t>3 x 10</w:t>
            </w:r>
            <w:r>
              <w:rPr>
                <w:vertAlign w:val="superscript"/>
              </w:rPr>
              <w:t>–</w:t>
            </w:r>
            <w:r w:rsidRPr="00D61194">
              <w:rPr>
                <w:vertAlign w:val="superscript"/>
              </w:rPr>
              <w:t>6</w:t>
            </w:r>
          </w:p>
        </w:tc>
        <w:tc>
          <w:tcPr>
            <w:tcW w:w="0" w:type="auto"/>
          </w:tcPr>
          <w:p w:rsidR="008E3D18" w:rsidRPr="00763321" w:rsidRDefault="00763321" w:rsidP="005C3726">
            <w:pPr>
              <w:widowControl w:val="0"/>
              <w:tabs>
                <w:tab w:val="decimal" w:pos="288"/>
              </w:tabs>
              <w:autoSpaceDE w:val="0"/>
              <w:autoSpaceDN w:val="0"/>
              <w:adjustRightInd w:val="0"/>
              <w:rPr>
                <w:vertAlign w:val="superscript"/>
              </w:rPr>
            </w:pPr>
            <w:r>
              <w:t>1 x 10</w:t>
            </w:r>
            <w:r>
              <w:rPr>
                <w:vertAlign w:val="superscript"/>
              </w:rPr>
              <w:t>–5</w:t>
            </w:r>
          </w:p>
        </w:tc>
        <w:tc>
          <w:tcPr>
            <w:tcW w:w="0" w:type="auto"/>
            <w:shd w:val="clear" w:color="auto" w:fill="auto"/>
          </w:tcPr>
          <w:p w:rsidR="008E3D18" w:rsidRPr="00250B99" w:rsidRDefault="008E3D18" w:rsidP="005C3726">
            <w:pPr>
              <w:widowControl w:val="0"/>
              <w:tabs>
                <w:tab w:val="decimal" w:pos="357"/>
              </w:tabs>
              <w:autoSpaceDE w:val="0"/>
              <w:autoSpaceDN w:val="0"/>
              <w:adjustRightInd w:val="0"/>
              <w:rPr>
                <w:vertAlign w:val="superscript"/>
              </w:rPr>
            </w:pPr>
            <w:r w:rsidRPr="00250B99">
              <w:t>5 x 10</w:t>
            </w:r>
            <w:r w:rsidRPr="00250B99">
              <w:rPr>
                <w:vertAlign w:val="superscript"/>
              </w:rPr>
              <w:t>–3</w:t>
            </w:r>
          </w:p>
        </w:tc>
        <w:tc>
          <w:tcPr>
            <w:tcW w:w="0" w:type="auto"/>
          </w:tcPr>
          <w:p w:rsidR="008E3D18" w:rsidRDefault="008E3D18" w:rsidP="005C3726">
            <w:pPr>
              <w:widowControl w:val="0"/>
              <w:tabs>
                <w:tab w:val="decimal" w:pos="207"/>
              </w:tabs>
              <w:autoSpaceDE w:val="0"/>
              <w:autoSpaceDN w:val="0"/>
              <w:adjustRightInd w:val="0"/>
            </w:pPr>
            <w:r>
              <w:t>4 x 10</w:t>
            </w:r>
            <w:r>
              <w:rPr>
                <w:vertAlign w:val="superscript"/>
              </w:rPr>
              <w:t>–</w:t>
            </w:r>
            <w:r w:rsidR="00564CBE">
              <w:rPr>
                <w:vertAlign w:val="superscript"/>
              </w:rPr>
              <w:t>2</w:t>
            </w:r>
          </w:p>
        </w:tc>
      </w:tr>
      <w:tr w:rsidR="00601EA0">
        <w:trPr>
          <w:trHeight w:val="315"/>
        </w:trPr>
        <w:tc>
          <w:tcPr>
            <w:tcW w:w="0" w:type="auto"/>
          </w:tcPr>
          <w:p w:rsidR="00601EA0" w:rsidRPr="00B52C8E" w:rsidRDefault="00D569C4" w:rsidP="00601EA0">
            <w:pPr>
              <w:widowControl w:val="0"/>
              <w:autoSpaceDE w:val="0"/>
              <w:autoSpaceDN w:val="0"/>
              <w:adjustRightInd w:val="0"/>
            </w:pPr>
            <w:r>
              <w:t>S</w:t>
            </w:r>
            <w:r w:rsidR="00601EA0" w:rsidRPr="00B52C8E">
              <w:t>hale</w:t>
            </w:r>
          </w:p>
        </w:tc>
        <w:tc>
          <w:tcPr>
            <w:tcW w:w="0" w:type="auto"/>
          </w:tcPr>
          <w:p w:rsidR="00601EA0" w:rsidRDefault="00601EA0" w:rsidP="007912A7">
            <w:pPr>
              <w:widowControl w:val="0"/>
              <w:tabs>
                <w:tab w:val="decimal" w:pos="209"/>
              </w:tabs>
              <w:autoSpaceDE w:val="0"/>
              <w:autoSpaceDN w:val="0"/>
              <w:adjustRightInd w:val="0"/>
            </w:pPr>
            <w:r>
              <w:t>3 x 10</w:t>
            </w:r>
            <w:r>
              <w:rPr>
                <w:vertAlign w:val="superscript"/>
              </w:rPr>
              <w:t>–</w:t>
            </w:r>
            <w:r w:rsidRPr="00D61194">
              <w:rPr>
                <w:vertAlign w:val="superscript"/>
              </w:rPr>
              <w:t>8</w:t>
            </w:r>
          </w:p>
        </w:tc>
        <w:tc>
          <w:tcPr>
            <w:tcW w:w="0" w:type="auto"/>
          </w:tcPr>
          <w:p w:rsidR="00601EA0" w:rsidRPr="00763321" w:rsidRDefault="00601EA0" w:rsidP="005C3726">
            <w:pPr>
              <w:widowControl w:val="0"/>
              <w:tabs>
                <w:tab w:val="decimal" w:pos="288"/>
              </w:tabs>
              <w:autoSpaceDE w:val="0"/>
              <w:autoSpaceDN w:val="0"/>
              <w:adjustRightInd w:val="0"/>
              <w:rPr>
                <w:vertAlign w:val="superscript"/>
              </w:rPr>
            </w:pPr>
            <w:r>
              <w:t>1 x 10</w:t>
            </w:r>
            <w:r>
              <w:rPr>
                <w:vertAlign w:val="superscript"/>
              </w:rPr>
              <w:t>–7</w:t>
            </w:r>
          </w:p>
        </w:tc>
        <w:tc>
          <w:tcPr>
            <w:tcW w:w="0" w:type="auto"/>
            <w:shd w:val="clear" w:color="auto" w:fill="auto"/>
          </w:tcPr>
          <w:p w:rsidR="00601EA0" w:rsidRPr="00250B99" w:rsidRDefault="00601EA0" w:rsidP="005C3726">
            <w:pPr>
              <w:widowControl w:val="0"/>
              <w:tabs>
                <w:tab w:val="decimal" w:pos="357"/>
              </w:tabs>
              <w:autoSpaceDE w:val="0"/>
              <w:autoSpaceDN w:val="0"/>
              <w:adjustRightInd w:val="0"/>
              <w:rPr>
                <w:vertAlign w:val="superscript"/>
              </w:rPr>
            </w:pPr>
            <w:r w:rsidRPr="00250B99">
              <w:t>1 x 10</w:t>
            </w:r>
            <w:r w:rsidRPr="00250B99">
              <w:rPr>
                <w:vertAlign w:val="superscript"/>
              </w:rPr>
              <w:t>–4</w:t>
            </w:r>
          </w:p>
        </w:tc>
        <w:tc>
          <w:tcPr>
            <w:tcW w:w="0" w:type="auto"/>
          </w:tcPr>
          <w:p w:rsidR="00601EA0" w:rsidRPr="00564CBE" w:rsidRDefault="00601EA0" w:rsidP="005C3726">
            <w:pPr>
              <w:widowControl w:val="0"/>
              <w:tabs>
                <w:tab w:val="decimal" w:pos="207"/>
              </w:tabs>
              <w:autoSpaceDE w:val="0"/>
              <w:autoSpaceDN w:val="0"/>
              <w:adjustRightInd w:val="0"/>
              <w:rPr>
                <w:vertAlign w:val="superscript"/>
              </w:rPr>
            </w:pPr>
            <w:r>
              <w:t>1 x 10</w:t>
            </w:r>
            <w:r>
              <w:rPr>
                <w:vertAlign w:val="superscript"/>
              </w:rPr>
              <w:t>0</w:t>
            </w:r>
          </w:p>
        </w:tc>
      </w:tr>
      <w:tr w:rsidR="008E3D18">
        <w:trPr>
          <w:trHeight w:val="315"/>
        </w:trPr>
        <w:tc>
          <w:tcPr>
            <w:tcW w:w="0" w:type="auto"/>
          </w:tcPr>
          <w:p w:rsidR="008E3D18" w:rsidRPr="00B52C8E" w:rsidRDefault="00D569C4" w:rsidP="00B52C8E">
            <w:pPr>
              <w:widowControl w:val="0"/>
              <w:autoSpaceDE w:val="0"/>
              <w:autoSpaceDN w:val="0"/>
              <w:adjustRightInd w:val="0"/>
            </w:pPr>
            <w:r>
              <w:t>S</w:t>
            </w:r>
            <w:r w:rsidR="008E3D18" w:rsidRPr="00B52C8E">
              <w:t>alt</w:t>
            </w:r>
          </w:p>
        </w:tc>
        <w:tc>
          <w:tcPr>
            <w:tcW w:w="0" w:type="auto"/>
          </w:tcPr>
          <w:p w:rsidR="008E3D18" w:rsidRDefault="008E3D18" w:rsidP="007912A7">
            <w:pPr>
              <w:widowControl w:val="0"/>
              <w:tabs>
                <w:tab w:val="decimal" w:pos="209"/>
              </w:tabs>
              <w:autoSpaceDE w:val="0"/>
              <w:autoSpaceDN w:val="0"/>
              <w:adjustRightInd w:val="0"/>
            </w:pPr>
            <w:r>
              <w:t>3 x 10</w:t>
            </w:r>
            <w:r>
              <w:rPr>
                <w:vertAlign w:val="superscript"/>
              </w:rPr>
              <w:t>–</w:t>
            </w:r>
            <w:r w:rsidRPr="00D61194">
              <w:rPr>
                <w:vertAlign w:val="superscript"/>
              </w:rPr>
              <w:t>7</w:t>
            </w:r>
          </w:p>
        </w:tc>
        <w:tc>
          <w:tcPr>
            <w:tcW w:w="0" w:type="auto"/>
          </w:tcPr>
          <w:p w:rsidR="008E3D18" w:rsidRDefault="008E3D18" w:rsidP="005C3726">
            <w:pPr>
              <w:widowControl w:val="0"/>
              <w:tabs>
                <w:tab w:val="decimal" w:pos="288"/>
              </w:tabs>
              <w:autoSpaceDE w:val="0"/>
              <w:autoSpaceDN w:val="0"/>
              <w:adjustRightInd w:val="0"/>
            </w:pPr>
          </w:p>
        </w:tc>
        <w:tc>
          <w:tcPr>
            <w:tcW w:w="0" w:type="auto"/>
            <w:shd w:val="clear" w:color="auto" w:fill="auto"/>
          </w:tcPr>
          <w:p w:rsidR="008E3D18" w:rsidRPr="00250B99" w:rsidRDefault="008E3D18" w:rsidP="005C3726">
            <w:pPr>
              <w:widowControl w:val="0"/>
              <w:tabs>
                <w:tab w:val="decimal" w:pos="357"/>
              </w:tabs>
              <w:autoSpaceDE w:val="0"/>
              <w:autoSpaceDN w:val="0"/>
              <w:adjustRightInd w:val="0"/>
            </w:pPr>
          </w:p>
        </w:tc>
        <w:tc>
          <w:tcPr>
            <w:tcW w:w="0" w:type="auto"/>
          </w:tcPr>
          <w:p w:rsidR="008E3D18" w:rsidRDefault="008E3D18" w:rsidP="005C3726">
            <w:pPr>
              <w:widowControl w:val="0"/>
              <w:tabs>
                <w:tab w:val="decimal" w:pos="207"/>
              </w:tabs>
              <w:autoSpaceDE w:val="0"/>
              <w:autoSpaceDN w:val="0"/>
              <w:adjustRightInd w:val="0"/>
            </w:pPr>
            <w:r>
              <w:t>3 x 10</w:t>
            </w:r>
            <w:r>
              <w:rPr>
                <w:vertAlign w:val="superscript"/>
              </w:rPr>
              <w:t>–</w:t>
            </w:r>
            <w:r w:rsidRPr="00D61194">
              <w:rPr>
                <w:vertAlign w:val="superscript"/>
              </w:rPr>
              <w:t>5</w:t>
            </w:r>
          </w:p>
        </w:tc>
      </w:tr>
      <w:tr w:rsidR="008E3D18">
        <w:trPr>
          <w:trHeight w:val="315"/>
        </w:trPr>
        <w:tc>
          <w:tcPr>
            <w:tcW w:w="0" w:type="auto"/>
          </w:tcPr>
          <w:p w:rsidR="008E3D18" w:rsidRPr="00B52C8E" w:rsidRDefault="00D569C4" w:rsidP="00B52C8E">
            <w:pPr>
              <w:widowControl w:val="0"/>
              <w:autoSpaceDE w:val="0"/>
              <w:autoSpaceDN w:val="0"/>
              <w:adjustRightInd w:val="0"/>
            </w:pPr>
            <w:r>
              <w:t>A</w:t>
            </w:r>
            <w:r w:rsidR="008E3D18" w:rsidRPr="00B52C8E">
              <w:t>nhydrite</w:t>
            </w:r>
          </w:p>
        </w:tc>
        <w:tc>
          <w:tcPr>
            <w:tcW w:w="0" w:type="auto"/>
          </w:tcPr>
          <w:p w:rsidR="008E3D18" w:rsidRDefault="008E3D18" w:rsidP="007912A7">
            <w:pPr>
              <w:widowControl w:val="0"/>
              <w:tabs>
                <w:tab w:val="decimal" w:pos="209"/>
              </w:tabs>
              <w:autoSpaceDE w:val="0"/>
              <w:autoSpaceDN w:val="0"/>
              <w:adjustRightInd w:val="0"/>
            </w:pPr>
            <w:r>
              <w:t>1 x 10</w:t>
            </w:r>
            <w:r>
              <w:rPr>
                <w:vertAlign w:val="superscript"/>
              </w:rPr>
              <w:t>–</w:t>
            </w:r>
            <w:r w:rsidRPr="00D61194">
              <w:rPr>
                <w:vertAlign w:val="superscript"/>
              </w:rPr>
              <w:t>7</w:t>
            </w:r>
          </w:p>
        </w:tc>
        <w:tc>
          <w:tcPr>
            <w:tcW w:w="0" w:type="auto"/>
          </w:tcPr>
          <w:p w:rsidR="008E3D18" w:rsidRPr="00763321" w:rsidRDefault="00763321" w:rsidP="005C3726">
            <w:pPr>
              <w:widowControl w:val="0"/>
              <w:tabs>
                <w:tab w:val="decimal" w:pos="288"/>
              </w:tabs>
              <w:autoSpaceDE w:val="0"/>
              <w:autoSpaceDN w:val="0"/>
              <w:adjustRightInd w:val="0"/>
              <w:rPr>
                <w:vertAlign w:val="superscript"/>
              </w:rPr>
            </w:pPr>
            <w:r>
              <w:t>1 x 10</w:t>
            </w:r>
            <w:r>
              <w:rPr>
                <w:vertAlign w:val="superscript"/>
              </w:rPr>
              <w:t>–7</w:t>
            </w:r>
          </w:p>
        </w:tc>
        <w:tc>
          <w:tcPr>
            <w:tcW w:w="0" w:type="auto"/>
            <w:shd w:val="clear" w:color="auto" w:fill="auto"/>
          </w:tcPr>
          <w:p w:rsidR="008E3D18" w:rsidRPr="00250B99" w:rsidRDefault="008E3D18" w:rsidP="005C3726">
            <w:pPr>
              <w:widowControl w:val="0"/>
              <w:tabs>
                <w:tab w:val="decimal" w:pos="357"/>
              </w:tabs>
              <w:autoSpaceDE w:val="0"/>
              <w:autoSpaceDN w:val="0"/>
              <w:adjustRightInd w:val="0"/>
              <w:rPr>
                <w:vertAlign w:val="superscript"/>
              </w:rPr>
            </w:pPr>
            <w:r w:rsidRPr="00250B99">
              <w:t>6 x 10</w:t>
            </w:r>
            <w:r w:rsidRPr="00250B99">
              <w:rPr>
                <w:vertAlign w:val="superscript"/>
              </w:rPr>
              <w:t>–3</w:t>
            </w:r>
          </w:p>
        </w:tc>
        <w:tc>
          <w:tcPr>
            <w:tcW w:w="0" w:type="auto"/>
          </w:tcPr>
          <w:p w:rsidR="008E3D18" w:rsidRDefault="008E3D18" w:rsidP="005C3726">
            <w:pPr>
              <w:widowControl w:val="0"/>
              <w:tabs>
                <w:tab w:val="decimal" w:pos="207"/>
              </w:tabs>
              <w:autoSpaceDE w:val="0"/>
              <w:autoSpaceDN w:val="0"/>
              <w:adjustRightInd w:val="0"/>
            </w:pPr>
            <w:r>
              <w:t>6 x 10</w:t>
            </w:r>
            <w:r>
              <w:rPr>
                <w:vertAlign w:val="superscript"/>
              </w:rPr>
              <w:t>–</w:t>
            </w:r>
            <w:r w:rsidRPr="00D61194">
              <w:rPr>
                <w:vertAlign w:val="superscript"/>
              </w:rPr>
              <w:t>3</w:t>
            </w:r>
          </w:p>
        </w:tc>
      </w:tr>
      <w:tr w:rsidR="008E3D18">
        <w:trPr>
          <w:trHeight w:val="315"/>
        </w:trPr>
        <w:tc>
          <w:tcPr>
            <w:tcW w:w="0" w:type="auto"/>
          </w:tcPr>
          <w:p w:rsidR="008E3D18" w:rsidRPr="00B52C8E" w:rsidRDefault="008E3D18" w:rsidP="00B52C8E">
            <w:pPr>
              <w:widowControl w:val="0"/>
              <w:autoSpaceDE w:val="0"/>
              <w:autoSpaceDN w:val="0"/>
              <w:adjustRightInd w:val="0"/>
            </w:pPr>
          </w:p>
        </w:tc>
        <w:tc>
          <w:tcPr>
            <w:tcW w:w="0" w:type="auto"/>
          </w:tcPr>
          <w:p w:rsidR="008E3D18" w:rsidRDefault="008E3D18" w:rsidP="007912A7">
            <w:pPr>
              <w:widowControl w:val="0"/>
              <w:tabs>
                <w:tab w:val="decimal" w:pos="209"/>
              </w:tabs>
              <w:autoSpaceDE w:val="0"/>
              <w:autoSpaceDN w:val="0"/>
              <w:adjustRightInd w:val="0"/>
            </w:pPr>
          </w:p>
        </w:tc>
        <w:tc>
          <w:tcPr>
            <w:tcW w:w="0" w:type="auto"/>
          </w:tcPr>
          <w:p w:rsidR="008E3D18" w:rsidRDefault="008E3D18" w:rsidP="005C3726">
            <w:pPr>
              <w:widowControl w:val="0"/>
              <w:tabs>
                <w:tab w:val="decimal" w:pos="288"/>
              </w:tabs>
              <w:autoSpaceDE w:val="0"/>
              <w:autoSpaceDN w:val="0"/>
              <w:adjustRightInd w:val="0"/>
            </w:pPr>
          </w:p>
        </w:tc>
        <w:tc>
          <w:tcPr>
            <w:tcW w:w="0" w:type="auto"/>
            <w:shd w:val="clear" w:color="auto" w:fill="auto"/>
          </w:tcPr>
          <w:p w:rsidR="008E3D18" w:rsidRPr="00250B99" w:rsidRDefault="008E3D18" w:rsidP="005C3726">
            <w:pPr>
              <w:widowControl w:val="0"/>
              <w:tabs>
                <w:tab w:val="decimal" w:pos="357"/>
              </w:tabs>
              <w:autoSpaceDE w:val="0"/>
              <w:autoSpaceDN w:val="0"/>
              <w:adjustRightInd w:val="0"/>
            </w:pPr>
          </w:p>
        </w:tc>
        <w:tc>
          <w:tcPr>
            <w:tcW w:w="0" w:type="auto"/>
          </w:tcPr>
          <w:p w:rsidR="008E3D18" w:rsidRDefault="008E3D18" w:rsidP="005C3726">
            <w:pPr>
              <w:widowControl w:val="0"/>
              <w:tabs>
                <w:tab w:val="decimal" w:pos="207"/>
              </w:tabs>
              <w:autoSpaceDE w:val="0"/>
              <w:autoSpaceDN w:val="0"/>
              <w:adjustRightInd w:val="0"/>
            </w:pPr>
          </w:p>
        </w:tc>
      </w:tr>
      <w:tr w:rsidR="008E3D18" w:rsidRPr="005C4DB4">
        <w:trPr>
          <w:trHeight w:val="315"/>
        </w:trPr>
        <w:tc>
          <w:tcPr>
            <w:tcW w:w="0" w:type="auto"/>
          </w:tcPr>
          <w:p w:rsidR="008E3D18" w:rsidRPr="005C4DB4" w:rsidRDefault="008E3D18" w:rsidP="00B52C8E">
            <w:pPr>
              <w:widowControl w:val="0"/>
              <w:autoSpaceDE w:val="0"/>
              <w:autoSpaceDN w:val="0"/>
              <w:adjustRightInd w:val="0"/>
              <w:rPr>
                <w:b/>
                <w:bCs/>
                <w:i/>
              </w:rPr>
            </w:pPr>
            <w:r w:rsidRPr="005C4DB4">
              <w:rPr>
                <w:b/>
                <w:bCs/>
                <w:i/>
              </w:rPr>
              <w:t>Crystalline Rocks</w:t>
            </w:r>
          </w:p>
        </w:tc>
        <w:tc>
          <w:tcPr>
            <w:tcW w:w="0" w:type="auto"/>
          </w:tcPr>
          <w:p w:rsidR="008E3D18" w:rsidRPr="005C4DB4" w:rsidRDefault="008E3D18" w:rsidP="007912A7">
            <w:pPr>
              <w:widowControl w:val="0"/>
              <w:tabs>
                <w:tab w:val="decimal" w:pos="209"/>
              </w:tabs>
              <w:autoSpaceDE w:val="0"/>
              <w:autoSpaceDN w:val="0"/>
              <w:adjustRightInd w:val="0"/>
              <w:rPr>
                <w:i/>
              </w:rPr>
            </w:pPr>
          </w:p>
        </w:tc>
        <w:tc>
          <w:tcPr>
            <w:tcW w:w="0" w:type="auto"/>
          </w:tcPr>
          <w:p w:rsidR="008E3D18" w:rsidRPr="005C4DB4" w:rsidRDefault="008E3D18" w:rsidP="005C3726">
            <w:pPr>
              <w:widowControl w:val="0"/>
              <w:tabs>
                <w:tab w:val="decimal" w:pos="288"/>
              </w:tabs>
              <w:autoSpaceDE w:val="0"/>
              <w:autoSpaceDN w:val="0"/>
              <w:adjustRightInd w:val="0"/>
              <w:rPr>
                <w:i/>
              </w:rPr>
            </w:pPr>
          </w:p>
        </w:tc>
        <w:tc>
          <w:tcPr>
            <w:tcW w:w="0" w:type="auto"/>
            <w:shd w:val="clear" w:color="auto" w:fill="auto"/>
          </w:tcPr>
          <w:p w:rsidR="008E3D18" w:rsidRPr="00250B99" w:rsidRDefault="008E3D18" w:rsidP="005C3726">
            <w:pPr>
              <w:widowControl w:val="0"/>
              <w:tabs>
                <w:tab w:val="decimal" w:pos="357"/>
              </w:tabs>
              <w:autoSpaceDE w:val="0"/>
              <w:autoSpaceDN w:val="0"/>
              <w:adjustRightInd w:val="0"/>
              <w:rPr>
                <w:i/>
              </w:rPr>
            </w:pPr>
          </w:p>
        </w:tc>
        <w:tc>
          <w:tcPr>
            <w:tcW w:w="0" w:type="auto"/>
          </w:tcPr>
          <w:p w:rsidR="008E3D18" w:rsidRPr="005C4DB4" w:rsidRDefault="008E3D18" w:rsidP="005C3726">
            <w:pPr>
              <w:widowControl w:val="0"/>
              <w:tabs>
                <w:tab w:val="decimal" w:pos="207"/>
              </w:tabs>
              <w:autoSpaceDE w:val="0"/>
              <w:autoSpaceDN w:val="0"/>
              <w:adjustRightInd w:val="0"/>
              <w:rPr>
                <w:i/>
              </w:rPr>
            </w:pPr>
          </w:p>
        </w:tc>
      </w:tr>
      <w:tr w:rsidR="00601EA0">
        <w:trPr>
          <w:trHeight w:val="315"/>
        </w:trPr>
        <w:tc>
          <w:tcPr>
            <w:tcW w:w="0" w:type="auto"/>
          </w:tcPr>
          <w:p w:rsidR="00601EA0" w:rsidRPr="00B52C8E" w:rsidRDefault="00D569C4" w:rsidP="00601EA0">
            <w:pPr>
              <w:widowControl w:val="0"/>
              <w:autoSpaceDE w:val="0"/>
              <w:autoSpaceDN w:val="0"/>
              <w:adjustRightInd w:val="0"/>
            </w:pPr>
            <w:r>
              <w:t>B</w:t>
            </w:r>
            <w:r w:rsidR="00601EA0" w:rsidRPr="00B52C8E">
              <w:t>asalt</w:t>
            </w:r>
          </w:p>
        </w:tc>
        <w:tc>
          <w:tcPr>
            <w:tcW w:w="0" w:type="auto"/>
          </w:tcPr>
          <w:p w:rsidR="00601EA0" w:rsidRDefault="00963468" w:rsidP="007912A7">
            <w:pPr>
              <w:widowControl w:val="0"/>
              <w:tabs>
                <w:tab w:val="decimal" w:pos="209"/>
              </w:tabs>
              <w:autoSpaceDE w:val="0"/>
              <w:autoSpaceDN w:val="0"/>
              <w:adjustRightInd w:val="0"/>
            </w:pPr>
            <w:r>
              <w:t xml:space="preserve">5 </w:t>
            </w:r>
            <w:r w:rsidR="00601EA0">
              <w:t>x 10</w:t>
            </w:r>
            <w:r w:rsidR="00601EA0">
              <w:rPr>
                <w:vertAlign w:val="superscript"/>
              </w:rPr>
              <w:t>–</w:t>
            </w:r>
            <w:r w:rsidR="00601EA0" w:rsidRPr="00D61194">
              <w:rPr>
                <w:vertAlign w:val="superscript"/>
              </w:rPr>
              <w:t>6</w:t>
            </w:r>
          </w:p>
        </w:tc>
        <w:tc>
          <w:tcPr>
            <w:tcW w:w="0" w:type="auto"/>
          </w:tcPr>
          <w:p w:rsidR="00601EA0" w:rsidRPr="00D6132A" w:rsidRDefault="00601EA0" w:rsidP="005C3726">
            <w:pPr>
              <w:widowControl w:val="0"/>
              <w:tabs>
                <w:tab w:val="decimal" w:pos="288"/>
              </w:tabs>
              <w:autoSpaceDE w:val="0"/>
              <w:autoSpaceDN w:val="0"/>
              <w:adjustRightInd w:val="0"/>
              <w:rPr>
                <w:vertAlign w:val="superscript"/>
              </w:rPr>
            </w:pPr>
            <w:r>
              <w:t>3 x 10</w:t>
            </w:r>
            <w:r>
              <w:rPr>
                <w:vertAlign w:val="superscript"/>
              </w:rPr>
              <w:t>–2</w:t>
            </w:r>
          </w:p>
        </w:tc>
        <w:tc>
          <w:tcPr>
            <w:tcW w:w="0" w:type="auto"/>
            <w:shd w:val="clear" w:color="auto" w:fill="auto"/>
          </w:tcPr>
          <w:p w:rsidR="00601EA0" w:rsidRPr="00250B99" w:rsidRDefault="00601EA0" w:rsidP="005C3726">
            <w:pPr>
              <w:widowControl w:val="0"/>
              <w:tabs>
                <w:tab w:val="decimal" w:pos="357"/>
              </w:tabs>
              <w:autoSpaceDE w:val="0"/>
              <w:autoSpaceDN w:val="0"/>
              <w:adjustRightInd w:val="0"/>
              <w:rPr>
                <w:vertAlign w:val="superscript"/>
              </w:rPr>
            </w:pPr>
            <w:r w:rsidRPr="00250B99">
              <w:t>1 x 10</w:t>
            </w:r>
            <w:r w:rsidRPr="00250B99">
              <w:rPr>
                <w:vertAlign w:val="superscript"/>
              </w:rPr>
              <w:t>–1</w:t>
            </w:r>
          </w:p>
        </w:tc>
        <w:tc>
          <w:tcPr>
            <w:tcW w:w="0" w:type="auto"/>
          </w:tcPr>
          <w:p w:rsidR="00601EA0" w:rsidRDefault="00601EA0" w:rsidP="005C3726">
            <w:pPr>
              <w:widowControl w:val="0"/>
              <w:tabs>
                <w:tab w:val="decimal" w:pos="207"/>
              </w:tabs>
              <w:autoSpaceDE w:val="0"/>
              <w:autoSpaceDN w:val="0"/>
              <w:adjustRightInd w:val="0"/>
            </w:pPr>
            <w:r>
              <w:t>1 x 10</w:t>
            </w:r>
            <w:r>
              <w:rPr>
                <w:vertAlign w:val="superscript"/>
              </w:rPr>
              <w:t>–</w:t>
            </w:r>
            <w:r w:rsidRPr="00D61194">
              <w:rPr>
                <w:vertAlign w:val="superscript"/>
              </w:rPr>
              <w:t>1</w:t>
            </w:r>
          </w:p>
        </w:tc>
      </w:tr>
      <w:tr w:rsidR="008E3D18">
        <w:trPr>
          <w:trHeight w:val="315"/>
        </w:trPr>
        <w:tc>
          <w:tcPr>
            <w:tcW w:w="0" w:type="auto"/>
          </w:tcPr>
          <w:p w:rsidR="008E3D18" w:rsidRPr="00B52C8E" w:rsidRDefault="00D569C4" w:rsidP="00B52C8E">
            <w:pPr>
              <w:widowControl w:val="0"/>
              <w:autoSpaceDE w:val="0"/>
              <w:autoSpaceDN w:val="0"/>
              <w:adjustRightInd w:val="0"/>
            </w:pPr>
            <w:r>
              <w:t>P</w:t>
            </w:r>
            <w:r w:rsidR="008E3D18" w:rsidRPr="00B52C8E">
              <w:t>ermeable basalt</w:t>
            </w:r>
          </w:p>
        </w:tc>
        <w:tc>
          <w:tcPr>
            <w:tcW w:w="0" w:type="auto"/>
          </w:tcPr>
          <w:p w:rsidR="008E3D18" w:rsidRDefault="008E3D18" w:rsidP="007912A7">
            <w:pPr>
              <w:widowControl w:val="0"/>
              <w:tabs>
                <w:tab w:val="decimal" w:pos="209"/>
              </w:tabs>
              <w:autoSpaceDE w:val="0"/>
              <w:autoSpaceDN w:val="0"/>
              <w:adjustRightInd w:val="0"/>
            </w:pPr>
            <w:r>
              <w:t>1 x 10</w:t>
            </w:r>
            <w:r>
              <w:rPr>
                <w:vertAlign w:val="superscript"/>
              </w:rPr>
              <w:t>–</w:t>
            </w:r>
            <w:r w:rsidRPr="00D61194">
              <w:rPr>
                <w:vertAlign w:val="superscript"/>
              </w:rPr>
              <w:t>1</w:t>
            </w:r>
          </w:p>
        </w:tc>
        <w:tc>
          <w:tcPr>
            <w:tcW w:w="0" w:type="auto"/>
          </w:tcPr>
          <w:p w:rsidR="008E3D18" w:rsidRPr="00D6132A" w:rsidRDefault="00D6132A" w:rsidP="005C3726">
            <w:pPr>
              <w:widowControl w:val="0"/>
              <w:tabs>
                <w:tab w:val="decimal" w:pos="288"/>
              </w:tabs>
              <w:autoSpaceDE w:val="0"/>
              <w:autoSpaceDN w:val="0"/>
              <w:adjustRightInd w:val="0"/>
              <w:rPr>
                <w:vertAlign w:val="superscript"/>
              </w:rPr>
            </w:pPr>
            <w:r>
              <w:t>1 x 10</w:t>
            </w:r>
            <w:r>
              <w:rPr>
                <w:vertAlign w:val="superscript"/>
              </w:rPr>
              <w:t>0</w:t>
            </w:r>
          </w:p>
        </w:tc>
        <w:tc>
          <w:tcPr>
            <w:tcW w:w="0" w:type="auto"/>
            <w:shd w:val="clear" w:color="auto" w:fill="auto"/>
          </w:tcPr>
          <w:p w:rsidR="008E3D18" w:rsidRPr="00250B99" w:rsidRDefault="008E3D18" w:rsidP="005C3726">
            <w:pPr>
              <w:widowControl w:val="0"/>
              <w:tabs>
                <w:tab w:val="decimal" w:pos="357"/>
              </w:tabs>
              <w:autoSpaceDE w:val="0"/>
              <w:autoSpaceDN w:val="0"/>
              <w:adjustRightInd w:val="0"/>
              <w:rPr>
                <w:vertAlign w:val="superscript"/>
              </w:rPr>
            </w:pPr>
            <w:r w:rsidRPr="00250B99">
              <w:t>1 x 10</w:t>
            </w:r>
            <w:r w:rsidRPr="00250B99">
              <w:rPr>
                <w:vertAlign w:val="superscript"/>
              </w:rPr>
              <w:t>2</w:t>
            </w:r>
          </w:p>
        </w:tc>
        <w:tc>
          <w:tcPr>
            <w:tcW w:w="0" w:type="auto"/>
          </w:tcPr>
          <w:p w:rsidR="008E3D18" w:rsidRDefault="008E3D18" w:rsidP="005C3726">
            <w:pPr>
              <w:widowControl w:val="0"/>
              <w:tabs>
                <w:tab w:val="decimal" w:pos="207"/>
              </w:tabs>
              <w:autoSpaceDE w:val="0"/>
              <w:autoSpaceDN w:val="0"/>
              <w:adjustRightInd w:val="0"/>
            </w:pPr>
            <w:r>
              <w:t>6 x 10</w:t>
            </w:r>
            <w:r w:rsidRPr="00D61194">
              <w:rPr>
                <w:vertAlign w:val="superscript"/>
              </w:rPr>
              <w:t>3</w:t>
            </w:r>
          </w:p>
        </w:tc>
      </w:tr>
      <w:tr w:rsidR="00601EA0">
        <w:trPr>
          <w:trHeight w:val="315"/>
        </w:trPr>
        <w:tc>
          <w:tcPr>
            <w:tcW w:w="0" w:type="auto"/>
          </w:tcPr>
          <w:p w:rsidR="00601EA0" w:rsidRPr="00B52C8E" w:rsidRDefault="00D569C4" w:rsidP="00601EA0">
            <w:pPr>
              <w:widowControl w:val="0"/>
              <w:autoSpaceDE w:val="0"/>
              <w:autoSpaceDN w:val="0"/>
              <w:adjustRightInd w:val="0"/>
            </w:pPr>
            <w:proofErr w:type="spellStart"/>
            <w:r>
              <w:t>U</w:t>
            </w:r>
            <w:r w:rsidR="00601EA0" w:rsidRPr="00B52C8E">
              <w:t>nfractured</w:t>
            </w:r>
            <w:proofErr w:type="spellEnd"/>
            <w:r w:rsidR="00601EA0" w:rsidRPr="00B52C8E">
              <w:t xml:space="preserve"> rock</w:t>
            </w:r>
          </w:p>
        </w:tc>
        <w:tc>
          <w:tcPr>
            <w:tcW w:w="0" w:type="auto"/>
          </w:tcPr>
          <w:p w:rsidR="00601EA0" w:rsidRDefault="00963468" w:rsidP="007912A7">
            <w:pPr>
              <w:widowControl w:val="0"/>
              <w:tabs>
                <w:tab w:val="decimal" w:pos="209"/>
              </w:tabs>
              <w:autoSpaceDE w:val="0"/>
              <w:autoSpaceDN w:val="0"/>
              <w:adjustRightInd w:val="0"/>
            </w:pPr>
            <w:r>
              <w:t xml:space="preserve">8 </w:t>
            </w:r>
            <w:r w:rsidR="00601EA0">
              <w:t>x 10</w:t>
            </w:r>
            <w:r w:rsidR="00601EA0">
              <w:rPr>
                <w:vertAlign w:val="superscript"/>
              </w:rPr>
              <w:t>–</w:t>
            </w:r>
            <w:r w:rsidR="00601EA0" w:rsidRPr="00D61194">
              <w:rPr>
                <w:vertAlign w:val="superscript"/>
              </w:rPr>
              <w:t>9</w:t>
            </w:r>
          </w:p>
        </w:tc>
        <w:tc>
          <w:tcPr>
            <w:tcW w:w="0" w:type="auto"/>
          </w:tcPr>
          <w:p w:rsidR="00601EA0" w:rsidRPr="00D6132A" w:rsidRDefault="00601EA0" w:rsidP="005C3726">
            <w:pPr>
              <w:widowControl w:val="0"/>
              <w:tabs>
                <w:tab w:val="decimal" w:pos="288"/>
              </w:tabs>
              <w:autoSpaceDE w:val="0"/>
              <w:autoSpaceDN w:val="0"/>
              <w:adjustRightInd w:val="0"/>
              <w:rPr>
                <w:vertAlign w:val="superscript"/>
              </w:rPr>
            </w:pPr>
            <w:r>
              <w:t>1 x 10</w:t>
            </w:r>
            <w:r>
              <w:rPr>
                <w:vertAlign w:val="superscript"/>
              </w:rPr>
              <w:t>–8</w:t>
            </w:r>
          </w:p>
        </w:tc>
        <w:tc>
          <w:tcPr>
            <w:tcW w:w="0" w:type="auto"/>
            <w:shd w:val="clear" w:color="auto" w:fill="auto"/>
          </w:tcPr>
          <w:p w:rsidR="00601EA0" w:rsidRPr="00250B99" w:rsidRDefault="00601EA0" w:rsidP="005C3726">
            <w:pPr>
              <w:widowControl w:val="0"/>
              <w:tabs>
                <w:tab w:val="decimal" w:pos="357"/>
              </w:tabs>
              <w:autoSpaceDE w:val="0"/>
              <w:autoSpaceDN w:val="0"/>
              <w:adjustRightInd w:val="0"/>
              <w:rPr>
                <w:vertAlign w:val="superscript"/>
              </w:rPr>
            </w:pPr>
            <w:r w:rsidRPr="00250B99">
              <w:t>6 x 10</w:t>
            </w:r>
            <w:r w:rsidRPr="00250B99">
              <w:rPr>
                <w:vertAlign w:val="superscript"/>
              </w:rPr>
              <w:t>–5</w:t>
            </w:r>
          </w:p>
        </w:tc>
        <w:tc>
          <w:tcPr>
            <w:tcW w:w="0" w:type="auto"/>
          </w:tcPr>
          <w:p w:rsidR="00601EA0" w:rsidRDefault="00601EA0" w:rsidP="005C3726">
            <w:pPr>
              <w:widowControl w:val="0"/>
              <w:tabs>
                <w:tab w:val="decimal" w:pos="207"/>
              </w:tabs>
              <w:autoSpaceDE w:val="0"/>
              <w:autoSpaceDN w:val="0"/>
              <w:adjustRightInd w:val="0"/>
            </w:pPr>
            <w:r>
              <w:t>6 x 10</w:t>
            </w:r>
            <w:r>
              <w:rPr>
                <w:vertAlign w:val="superscript"/>
              </w:rPr>
              <w:t>–</w:t>
            </w:r>
            <w:r w:rsidRPr="00D61194">
              <w:rPr>
                <w:vertAlign w:val="superscript"/>
              </w:rPr>
              <w:t>5</w:t>
            </w:r>
          </w:p>
        </w:tc>
      </w:tr>
      <w:tr w:rsidR="008E3D18">
        <w:trPr>
          <w:trHeight w:val="315"/>
        </w:trPr>
        <w:tc>
          <w:tcPr>
            <w:tcW w:w="0" w:type="auto"/>
          </w:tcPr>
          <w:p w:rsidR="008E3D18" w:rsidRPr="00B52C8E" w:rsidRDefault="00D569C4" w:rsidP="00B52C8E">
            <w:pPr>
              <w:widowControl w:val="0"/>
              <w:autoSpaceDE w:val="0"/>
              <w:autoSpaceDN w:val="0"/>
              <w:adjustRightInd w:val="0"/>
            </w:pPr>
            <w:r>
              <w:t>F</w:t>
            </w:r>
            <w:r w:rsidR="008E3D18" w:rsidRPr="00B52C8E">
              <w:t>ractured rock</w:t>
            </w:r>
          </w:p>
        </w:tc>
        <w:tc>
          <w:tcPr>
            <w:tcW w:w="0" w:type="auto"/>
          </w:tcPr>
          <w:p w:rsidR="008E3D18" w:rsidRDefault="008E3D18" w:rsidP="007912A7">
            <w:pPr>
              <w:widowControl w:val="0"/>
              <w:tabs>
                <w:tab w:val="decimal" w:pos="209"/>
              </w:tabs>
              <w:autoSpaceDE w:val="0"/>
              <w:autoSpaceDN w:val="0"/>
              <w:adjustRightInd w:val="0"/>
            </w:pPr>
            <w:r>
              <w:t>2 x 10</w:t>
            </w:r>
            <w:r>
              <w:rPr>
                <w:vertAlign w:val="superscript"/>
              </w:rPr>
              <w:t>–</w:t>
            </w:r>
            <w:r w:rsidRPr="00D61194">
              <w:rPr>
                <w:vertAlign w:val="superscript"/>
              </w:rPr>
              <w:t>3</w:t>
            </w:r>
          </w:p>
        </w:tc>
        <w:tc>
          <w:tcPr>
            <w:tcW w:w="0" w:type="auto"/>
          </w:tcPr>
          <w:p w:rsidR="008E3D18" w:rsidRPr="00D6132A" w:rsidRDefault="00D6132A" w:rsidP="005C3726">
            <w:pPr>
              <w:widowControl w:val="0"/>
              <w:tabs>
                <w:tab w:val="decimal" w:pos="288"/>
              </w:tabs>
              <w:autoSpaceDE w:val="0"/>
              <w:autoSpaceDN w:val="0"/>
              <w:adjustRightInd w:val="0"/>
              <w:rPr>
                <w:vertAlign w:val="superscript"/>
              </w:rPr>
            </w:pPr>
            <w:r>
              <w:t>5 x 10</w:t>
            </w:r>
            <w:r>
              <w:rPr>
                <w:vertAlign w:val="superscript"/>
              </w:rPr>
              <w:t>–2</w:t>
            </w:r>
          </w:p>
        </w:tc>
        <w:tc>
          <w:tcPr>
            <w:tcW w:w="0" w:type="auto"/>
            <w:shd w:val="clear" w:color="auto" w:fill="auto"/>
          </w:tcPr>
          <w:p w:rsidR="008E3D18" w:rsidRPr="00250B99" w:rsidRDefault="008E3D18" w:rsidP="005C3726">
            <w:pPr>
              <w:widowControl w:val="0"/>
              <w:tabs>
                <w:tab w:val="decimal" w:pos="357"/>
              </w:tabs>
              <w:autoSpaceDE w:val="0"/>
              <w:autoSpaceDN w:val="0"/>
              <w:adjustRightInd w:val="0"/>
              <w:rPr>
                <w:vertAlign w:val="superscript"/>
              </w:rPr>
            </w:pPr>
            <w:r w:rsidRPr="00250B99">
              <w:t>1 x 10</w:t>
            </w:r>
            <w:r w:rsidRPr="00250B99">
              <w:rPr>
                <w:vertAlign w:val="superscript"/>
              </w:rPr>
              <w:t>1</w:t>
            </w:r>
          </w:p>
        </w:tc>
        <w:tc>
          <w:tcPr>
            <w:tcW w:w="0" w:type="auto"/>
          </w:tcPr>
          <w:p w:rsidR="008E3D18" w:rsidRDefault="00601EA0" w:rsidP="005C3726">
            <w:pPr>
              <w:widowControl w:val="0"/>
              <w:tabs>
                <w:tab w:val="decimal" w:pos="207"/>
              </w:tabs>
              <w:autoSpaceDE w:val="0"/>
              <w:autoSpaceDN w:val="0"/>
              <w:adjustRightInd w:val="0"/>
            </w:pPr>
            <w:r>
              <w:t>1</w:t>
            </w:r>
            <w:r w:rsidR="008E3D18">
              <w:t xml:space="preserve"> x 10</w:t>
            </w:r>
            <w:r>
              <w:rPr>
                <w:vertAlign w:val="superscript"/>
              </w:rPr>
              <w:t>2</w:t>
            </w:r>
          </w:p>
        </w:tc>
      </w:tr>
      <w:tr w:rsidR="008E3D18">
        <w:trPr>
          <w:trHeight w:val="315"/>
        </w:trPr>
        <w:tc>
          <w:tcPr>
            <w:tcW w:w="0" w:type="auto"/>
          </w:tcPr>
          <w:p w:rsidR="008E3D18" w:rsidRPr="00B52C8E" w:rsidRDefault="00D569C4" w:rsidP="00B52C8E">
            <w:pPr>
              <w:widowControl w:val="0"/>
              <w:autoSpaceDE w:val="0"/>
              <w:autoSpaceDN w:val="0"/>
              <w:adjustRightInd w:val="0"/>
            </w:pPr>
            <w:r>
              <w:t>W</w:t>
            </w:r>
            <w:r w:rsidR="008E3D18" w:rsidRPr="00B52C8E">
              <w:t>eathered gabbro</w:t>
            </w:r>
          </w:p>
        </w:tc>
        <w:tc>
          <w:tcPr>
            <w:tcW w:w="0" w:type="auto"/>
          </w:tcPr>
          <w:p w:rsidR="008E3D18" w:rsidRDefault="00601EA0" w:rsidP="007912A7">
            <w:pPr>
              <w:widowControl w:val="0"/>
              <w:tabs>
                <w:tab w:val="decimal" w:pos="209"/>
              </w:tabs>
              <w:autoSpaceDE w:val="0"/>
              <w:autoSpaceDN w:val="0"/>
              <w:adjustRightInd w:val="0"/>
            </w:pPr>
            <w:r>
              <w:t>1</w:t>
            </w:r>
            <w:r w:rsidR="008E3D18">
              <w:t xml:space="preserve"> x 10</w:t>
            </w:r>
            <w:r w:rsidR="008E3D18">
              <w:rPr>
                <w:vertAlign w:val="superscript"/>
              </w:rPr>
              <w:t>–</w:t>
            </w:r>
            <w:r w:rsidR="008E3D18" w:rsidRPr="00D61194">
              <w:rPr>
                <w:vertAlign w:val="superscript"/>
              </w:rPr>
              <w:t>1</w:t>
            </w:r>
          </w:p>
        </w:tc>
        <w:tc>
          <w:tcPr>
            <w:tcW w:w="0" w:type="auto"/>
          </w:tcPr>
          <w:p w:rsidR="008E3D18" w:rsidRPr="00D6132A" w:rsidRDefault="00D6132A" w:rsidP="005C3726">
            <w:pPr>
              <w:widowControl w:val="0"/>
              <w:tabs>
                <w:tab w:val="decimal" w:pos="288"/>
              </w:tabs>
              <w:autoSpaceDE w:val="0"/>
              <w:autoSpaceDN w:val="0"/>
              <w:adjustRightInd w:val="0"/>
              <w:rPr>
                <w:vertAlign w:val="superscript"/>
              </w:rPr>
            </w:pPr>
            <w:r>
              <w:t>1 x 10</w:t>
            </w:r>
            <w:r>
              <w:rPr>
                <w:vertAlign w:val="superscript"/>
              </w:rPr>
              <w:t>–1</w:t>
            </w:r>
          </w:p>
        </w:tc>
        <w:tc>
          <w:tcPr>
            <w:tcW w:w="0" w:type="auto"/>
            <w:shd w:val="clear" w:color="auto" w:fill="auto"/>
          </w:tcPr>
          <w:p w:rsidR="008E3D18" w:rsidRPr="00250B99" w:rsidRDefault="008E3D18" w:rsidP="005C3726">
            <w:pPr>
              <w:widowControl w:val="0"/>
              <w:tabs>
                <w:tab w:val="decimal" w:pos="357"/>
              </w:tabs>
              <w:autoSpaceDE w:val="0"/>
              <w:autoSpaceDN w:val="0"/>
              <w:adjustRightInd w:val="0"/>
              <w:rPr>
                <w:vertAlign w:val="superscript"/>
              </w:rPr>
            </w:pPr>
            <w:r w:rsidRPr="00250B99">
              <w:t>1 x 10</w:t>
            </w:r>
            <w:r w:rsidRPr="00250B99">
              <w:rPr>
                <w:vertAlign w:val="superscript"/>
              </w:rPr>
              <w:t>0</w:t>
            </w:r>
          </w:p>
        </w:tc>
        <w:tc>
          <w:tcPr>
            <w:tcW w:w="0" w:type="auto"/>
          </w:tcPr>
          <w:p w:rsidR="008E3D18" w:rsidRDefault="008E3D18" w:rsidP="005C3726">
            <w:pPr>
              <w:widowControl w:val="0"/>
              <w:tabs>
                <w:tab w:val="decimal" w:pos="207"/>
              </w:tabs>
              <w:autoSpaceDE w:val="0"/>
              <w:autoSpaceDN w:val="0"/>
              <w:adjustRightInd w:val="0"/>
            </w:pPr>
            <w:r>
              <w:t>1 x 10</w:t>
            </w:r>
            <w:r w:rsidRPr="00D61194">
              <w:rPr>
                <w:vertAlign w:val="superscript"/>
              </w:rPr>
              <w:t>0</w:t>
            </w:r>
          </w:p>
        </w:tc>
      </w:tr>
      <w:tr w:rsidR="00601EA0">
        <w:trPr>
          <w:trHeight w:val="315"/>
        </w:trPr>
        <w:tc>
          <w:tcPr>
            <w:tcW w:w="0" w:type="auto"/>
            <w:tcBorders>
              <w:bottom w:val="single" w:sz="4" w:space="0" w:color="auto"/>
            </w:tcBorders>
          </w:tcPr>
          <w:p w:rsidR="00601EA0" w:rsidRPr="00B52C8E" w:rsidRDefault="00D569C4" w:rsidP="00601EA0">
            <w:pPr>
              <w:widowControl w:val="0"/>
              <w:autoSpaceDE w:val="0"/>
              <w:autoSpaceDN w:val="0"/>
              <w:adjustRightInd w:val="0"/>
            </w:pPr>
            <w:r>
              <w:t>W</w:t>
            </w:r>
            <w:r w:rsidR="00601EA0" w:rsidRPr="00B52C8E">
              <w:t>eathered granite</w:t>
            </w:r>
          </w:p>
        </w:tc>
        <w:tc>
          <w:tcPr>
            <w:tcW w:w="0" w:type="auto"/>
            <w:tcBorders>
              <w:bottom w:val="single" w:sz="4" w:space="0" w:color="auto"/>
            </w:tcBorders>
          </w:tcPr>
          <w:p w:rsidR="00601EA0" w:rsidRDefault="00601EA0" w:rsidP="007912A7">
            <w:pPr>
              <w:widowControl w:val="0"/>
              <w:tabs>
                <w:tab w:val="decimal" w:pos="209"/>
              </w:tabs>
              <w:autoSpaceDE w:val="0"/>
              <w:autoSpaceDN w:val="0"/>
              <w:adjustRightInd w:val="0"/>
            </w:pPr>
            <w:r>
              <w:t>9 x 10</w:t>
            </w:r>
            <w:r>
              <w:rPr>
                <w:vertAlign w:val="superscript"/>
              </w:rPr>
              <w:t>–</w:t>
            </w:r>
            <w:r w:rsidRPr="00D61194">
              <w:rPr>
                <w:vertAlign w:val="superscript"/>
              </w:rPr>
              <w:t>1</w:t>
            </w:r>
          </w:p>
        </w:tc>
        <w:tc>
          <w:tcPr>
            <w:tcW w:w="0" w:type="auto"/>
            <w:tcBorders>
              <w:bottom w:val="single" w:sz="4" w:space="0" w:color="auto"/>
            </w:tcBorders>
          </w:tcPr>
          <w:p w:rsidR="00601EA0" w:rsidRPr="00D6132A" w:rsidRDefault="00601EA0" w:rsidP="005C3726">
            <w:pPr>
              <w:widowControl w:val="0"/>
              <w:tabs>
                <w:tab w:val="decimal" w:pos="288"/>
              </w:tabs>
              <w:autoSpaceDE w:val="0"/>
              <w:autoSpaceDN w:val="0"/>
              <w:adjustRightInd w:val="0"/>
              <w:rPr>
                <w:vertAlign w:val="superscript"/>
              </w:rPr>
            </w:pPr>
            <w:r>
              <w:t>1 x 10</w:t>
            </w:r>
            <w:r>
              <w:rPr>
                <w:vertAlign w:val="superscript"/>
              </w:rPr>
              <w:t>0</w:t>
            </w:r>
          </w:p>
        </w:tc>
        <w:tc>
          <w:tcPr>
            <w:tcW w:w="0" w:type="auto"/>
            <w:tcBorders>
              <w:bottom w:val="single" w:sz="4" w:space="0" w:color="auto"/>
            </w:tcBorders>
            <w:shd w:val="clear" w:color="auto" w:fill="auto"/>
          </w:tcPr>
          <w:p w:rsidR="00601EA0" w:rsidRPr="00250B99" w:rsidRDefault="00601EA0" w:rsidP="005C3726">
            <w:pPr>
              <w:widowControl w:val="0"/>
              <w:tabs>
                <w:tab w:val="decimal" w:pos="357"/>
              </w:tabs>
              <w:autoSpaceDE w:val="0"/>
              <w:autoSpaceDN w:val="0"/>
              <w:adjustRightInd w:val="0"/>
              <w:rPr>
                <w:vertAlign w:val="superscript"/>
              </w:rPr>
            </w:pPr>
            <w:r w:rsidRPr="00250B99">
              <w:t>1 x 10</w:t>
            </w:r>
            <w:r w:rsidRPr="00250B99">
              <w:rPr>
                <w:vertAlign w:val="superscript"/>
              </w:rPr>
              <w:t>1</w:t>
            </w:r>
          </w:p>
        </w:tc>
        <w:tc>
          <w:tcPr>
            <w:tcW w:w="0" w:type="auto"/>
            <w:tcBorders>
              <w:bottom w:val="single" w:sz="4" w:space="0" w:color="auto"/>
            </w:tcBorders>
          </w:tcPr>
          <w:p w:rsidR="00601EA0" w:rsidRDefault="00601EA0" w:rsidP="005C3726">
            <w:pPr>
              <w:widowControl w:val="0"/>
              <w:tabs>
                <w:tab w:val="decimal" w:pos="207"/>
              </w:tabs>
              <w:autoSpaceDE w:val="0"/>
              <w:autoSpaceDN w:val="0"/>
              <w:adjustRightInd w:val="0"/>
            </w:pPr>
            <w:r>
              <w:t>2 x 10</w:t>
            </w:r>
            <w:r w:rsidRPr="00D61194">
              <w:rPr>
                <w:vertAlign w:val="superscript"/>
              </w:rPr>
              <w:t>1</w:t>
            </w:r>
          </w:p>
        </w:tc>
      </w:tr>
    </w:tbl>
    <w:p w:rsidR="00924EE3" w:rsidRDefault="00924EE3"/>
    <w:p w:rsidR="006A688A" w:rsidRDefault="006A688A"/>
    <w:p w:rsidR="006A688A" w:rsidRDefault="006A688A" w:rsidP="00E5652D">
      <w:pPr>
        <w:pStyle w:val="Appendix1"/>
      </w:pPr>
      <w:r>
        <w:br w:type="page"/>
      </w:r>
      <w:bookmarkStart w:id="62" w:name="App3"/>
      <w:bookmarkStart w:id="63" w:name="_Toc381357808"/>
      <w:bookmarkEnd w:id="62"/>
      <w:r>
        <w:lastRenderedPageBreak/>
        <w:t>Mechanical Dispersion</w:t>
      </w:r>
      <w:bookmarkEnd w:id="63"/>
    </w:p>
    <w:p w:rsidR="006A688A" w:rsidRDefault="006A688A"/>
    <w:p w:rsidR="006A688A" w:rsidRDefault="00A34A0B">
      <w:r>
        <w:t xml:space="preserve">Dispersion is the process of mechanical mixing of </w:t>
      </w:r>
      <w:r w:rsidR="00707E57">
        <w:t>a solute</w:t>
      </w:r>
      <w:r>
        <w:t xml:space="preserve"> in groundwater. The </w:t>
      </w:r>
      <w:r w:rsidR="00076700">
        <w:t xml:space="preserve">origin </w:t>
      </w:r>
      <w:r>
        <w:t xml:space="preserve">of dispersion is the </w:t>
      </w:r>
      <w:r w:rsidR="00076700">
        <w:t xml:space="preserve">heterogeneity </w:t>
      </w:r>
      <w:r>
        <w:t>of aquifer</w:t>
      </w:r>
      <w:r w:rsidR="000A5EE4">
        <w:t xml:space="preserve"> permeability</w:t>
      </w:r>
      <w:r>
        <w:t>. This causes local velocities to be faster or slower</w:t>
      </w:r>
      <w:r w:rsidR="006A4E2A">
        <w:t xml:space="preserve"> than the average</w:t>
      </w:r>
      <w:r>
        <w:t xml:space="preserve">, and for the local direction of flow to vary from the overall potentiometric gradient. Dispersion causes spreading of the contamination forward of the </w:t>
      </w:r>
      <w:proofErr w:type="spellStart"/>
      <w:r>
        <w:t>advective</w:t>
      </w:r>
      <w:proofErr w:type="spellEnd"/>
      <w:r>
        <w:t xml:space="preserve"> front as well as laterally</w:t>
      </w:r>
      <w:r w:rsidR="00250B99">
        <w:t xml:space="preserve"> and vertically</w:t>
      </w:r>
      <w:r>
        <w:t>.</w:t>
      </w:r>
    </w:p>
    <w:p w:rsidR="00A34A0B" w:rsidRDefault="00A34A0B"/>
    <w:p w:rsidR="00A34A0B" w:rsidRDefault="00A34A0B">
      <w:proofErr w:type="spellStart"/>
      <w:r>
        <w:t>Dispersivity</w:t>
      </w:r>
      <w:proofErr w:type="spellEnd"/>
      <w:r>
        <w:t xml:space="preserve"> cannot be measured at the site; therefore, it must be a </w:t>
      </w:r>
      <w:r w:rsidR="00DD30E0">
        <w:t>variable</w:t>
      </w:r>
      <w:r>
        <w:t xml:space="preserve"> in the modeling. Nonetheless, there are some general guidelines and constraints on the magnitude of </w:t>
      </w:r>
      <w:proofErr w:type="spellStart"/>
      <w:r>
        <w:t>dispersivity</w:t>
      </w:r>
      <w:proofErr w:type="spellEnd"/>
      <w:r>
        <w:t xml:space="preserve">. These are based on studies that have estimated the longitudinal </w:t>
      </w:r>
      <w:proofErr w:type="spellStart"/>
      <w:r>
        <w:t>dispersivity</w:t>
      </w:r>
      <w:proofErr w:type="spellEnd"/>
      <w:r>
        <w:t xml:space="preserve"> of conservative tracers in laboratory experiments and field investigations. Conservative tracers do not react, biodegrade, or adsorb, so their transport should be controlled by only advection and dispersion. </w:t>
      </w:r>
      <w:r w:rsidR="000A5EE4">
        <w:t xml:space="preserve">A model is still </w:t>
      </w:r>
      <w:r w:rsidR="00916637">
        <w:t xml:space="preserve">used </w:t>
      </w:r>
      <w:r w:rsidR="000A5EE4">
        <w:t xml:space="preserve">to elucidate the value of </w:t>
      </w:r>
      <w:proofErr w:type="spellStart"/>
      <w:r w:rsidR="000A5EE4">
        <w:t>dispersivity</w:t>
      </w:r>
      <w:proofErr w:type="spellEnd"/>
      <w:r w:rsidR="000A5EE4">
        <w:t xml:space="preserve"> from the lab or field data.</w:t>
      </w:r>
    </w:p>
    <w:p w:rsidR="000A5EE4" w:rsidRDefault="000A5EE4"/>
    <w:p w:rsidR="000A5EE4" w:rsidRDefault="000A5EE4">
      <w:r>
        <w:t xml:space="preserve">Figure A3-1 shows </w:t>
      </w:r>
      <w:r w:rsidR="00707E57">
        <w:t xml:space="preserve">compiled </w:t>
      </w:r>
      <w:r>
        <w:t xml:space="preserve">longitudinal </w:t>
      </w:r>
      <w:proofErr w:type="spellStart"/>
      <w:r>
        <w:t>dispersivity</w:t>
      </w:r>
      <w:proofErr w:type="spellEnd"/>
      <w:r>
        <w:t xml:space="preserve"> estimates [</w:t>
      </w:r>
      <w:proofErr w:type="spellStart"/>
      <w:r>
        <w:rPr>
          <w:i/>
        </w:rPr>
        <w:t>Schultze-Makuch</w:t>
      </w:r>
      <w:proofErr w:type="spellEnd"/>
      <w:r>
        <w:t xml:space="preserve">, 2005]. As </w:t>
      </w:r>
      <w:proofErr w:type="spellStart"/>
      <w:r>
        <w:t>dispersivity</w:t>
      </w:r>
      <w:proofErr w:type="spellEnd"/>
      <w:r>
        <w:t xml:space="preserve"> is understood to be a function</w:t>
      </w:r>
      <w:r w:rsidR="001611BE">
        <w:t xml:space="preserve"> of transport scale, the data are</w:t>
      </w:r>
      <w:r>
        <w:t xml:space="preserve"> plotted against the estimated length scale for each site.</w:t>
      </w:r>
      <w:r w:rsidR="00C54862">
        <w:t xml:space="preserve"> Results for unconsolidated (blue circles) and bedrock (green squares) aquifers are shown, although there is no </w:t>
      </w:r>
      <w:r w:rsidR="00916637">
        <w:t xml:space="preserve">apparent </w:t>
      </w:r>
      <w:r w:rsidR="00C54862">
        <w:t xml:space="preserve">distinction between them in terms of the magnitude or trend of </w:t>
      </w:r>
      <w:proofErr w:type="spellStart"/>
      <w:r w:rsidR="00C54862">
        <w:t>dispersivity</w:t>
      </w:r>
      <w:proofErr w:type="spellEnd"/>
      <w:r w:rsidR="00C54862">
        <w:t>.</w:t>
      </w:r>
      <w:r>
        <w:t xml:space="preserve"> Note that both axes are logarithmic. </w:t>
      </w:r>
      <w:r w:rsidR="00C54862">
        <w:t>V</w:t>
      </w:r>
      <w:r>
        <w:t xml:space="preserve">ery little data </w:t>
      </w:r>
      <w:r w:rsidR="001611BE">
        <w:t>are</w:t>
      </w:r>
      <w:r w:rsidR="00C54862">
        <w:t xml:space="preserve"> available </w:t>
      </w:r>
      <w:r>
        <w:t xml:space="preserve">for distances of ~1000 </w:t>
      </w:r>
      <w:proofErr w:type="spellStart"/>
      <w:r>
        <w:t>ft</w:t>
      </w:r>
      <w:proofErr w:type="spellEnd"/>
      <w:r>
        <w:t xml:space="preserve"> or greater.</w:t>
      </w:r>
    </w:p>
    <w:p w:rsidR="000A5EE4" w:rsidRDefault="000A5EE4"/>
    <w:p w:rsidR="000A5EE4" w:rsidRDefault="000A5EE4">
      <w:r>
        <w:t xml:space="preserve">Clearly there is a lot of scatter in the data, reflecting the complex, </w:t>
      </w:r>
      <w:r w:rsidR="00707E57">
        <w:t>localized</w:t>
      </w:r>
      <w:r>
        <w:t xml:space="preserve"> processes that cause dispersion. Several authors have proposed equations for longitudinal dispersion as a function of scale</w:t>
      </w:r>
      <w:r w:rsidR="004D5D58">
        <w:t xml:space="preserve">. These all pass through the clustered data, but none of them account for the range of possible </w:t>
      </w:r>
      <w:proofErr w:type="spellStart"/>
      <w:r w:rsidR="004D5D58">
        <w:t>dispersivities</w:t>
      </w:r>
      <w:proofErr w:type="spellEnd"/>
      <w:r w:rsidR="004D5D58">
        <w:t xml:space="preserve"> at a given </w:t>
      </w:r>
      <w:r w:rsidR="00707E57">
        <w:t>transport distance</w:t>
      </w:r>
      <w:r w:rsidR="004D5D58">
        <w:t xml:space="preserve">. Two common relationships are the 10% rule (i.e., </w:t>
      </w:r>
      <w:proofErr w:type="spellStart"/>
      <w:r w:rsidR="004D5D58">
        <w:t>dispersivity</w:t>
      </w:r>
      <w:proofErr w:type="spellEnd"/>
      <w:r w:rsidR="004D5D58">
        <w:t xml:space="preserve"> is one-tenth the scale, shown by the solid black line) and </w:t>
      </w:r>
      <w:r w:rsidR="004D5D58">
        <w:rPr>
          <w:i/>
        </w:rPr>
        <w:t>Xu and Eckstein’s</w:t>
      </w:r>
      <w:r w:rsidR="004D5D58">
        <w:t xml:space="preserve"> [1995] formula (dashed curve).</w:t>
      </w:r>
      <w:r w:rsidR="00EA47D2">
        <w:t xml:space="preserve"> The latter </w:t>
      </w:r>
      <w:r w:rsidR="00076700">
        <w:t xml:space="preserve">relationship </w:t>
      </w:r>
      <w:r w:rsidR="00EA47D2">
        <w:t xml:space="preserve">is </w:t>
      </w:r>
      <w:r w:rsidR="00EA47D2">
        <w:rPr>
          <w:rFonts w:ascii="Symbol" w:hAnsi="Symbol"/>
          <w:i/>
        </w:rPr>
        <w:t></w:t>
      </w:r>
      <w:r w:rsidR="00EA47D2">
        <w:rPr>
          <w:i/>
          <w:vertAlign w:val="subscript"/>
        </w:rPr>
        <w:t>x</w:t>
      </w:r>
      <w:r w:rsidR="00EA47D2">
        <w:t xml:space="preserve"> = 2.7[</w:t>
      </w:r>
      <w:proofErr w:type="gramStart"/>
      <w:r w:rsidR="00EA47D2">
        <w:t>log(</w:t>
      </w:r>
      <w:proofErr w:type="gramEnd"/>
      <w:r w:rsidR="00EA47D2">
        <w:t>0.3</w:t>
      </w:r>
      <w:r w:rsidR="00EA47D2">
        <w:rPr>
          <w:i/>
        </w:rPr>
        <w:t>x</w:t>
      </w:r>
      <w:r w:rsidR="00EA47D2">
        <w:t>)]</w:t>
      </w:r>
      <w:r w:rsidR="00EA47D2">
        <w:rPr>
          <w:vertAlign w:val="superscript"/>
        </w:rPr>
        <w:t>2.4</w:t>
      </w:r>
      <w:r w:rsidR="00EA47D2">
        <w:t xml:space="preserve"> (in units of feet).</w:t>
      </w:r>
      <w:r w:rsidR="00C54862">
        <w:t xml:space="preserve"> Other </w:t>
      </w:r>
      <w:r w:rsidR="006D11C8">
        <w:t xml:space="preserve">equations </w:t>
      </w:r>
      <w:r w:rsidR="00C54862">
        <w:t xml:space="preserve">are given by </w:t>
      </w:r>
      <w:proofErr w:type="spellStart"/>
      <w:r w:rsidR="00C54862">
        <w:rPr>
          <w:i/>
        </w:rPr>
        <w:t>Neuman</w:t>
      </w:r>
      <w:proofErr w:type="spellEnd"/>
      <w:r w:rsidR="00C54862">
        <w:t xml:space="preserve"> [1995] and </w:t>
      </w:r>
      <w:proofErr w:type="spellStart"/>
      <w:r w:rsidR="00C54862">
        <w:rPr>
          <w:i/>
        </w:rPr>
        <w:t>Schultz</w:t>
      </w:r>
      <w:r w:rsidR="00EA47D2">
        <w:rPr>
          <w:i/>
        </w:rPr>
        <w:t>e</w:t>
      </w:r>
      <w:r w:rsidR="00C54862">
        <w:rPr>
          <w:i/>
        </w:rPr>
        <w:t>-Makuch</w:t>
      </w:r>
      <w:proofErr w:type="spellEnd"/>
      <w:r w:rsidR="00EA47D2">
        <w:t xml:space="preserve"> [2005].</w:t>
      </w:r>
    </w:p>
    <w:p w:rsidR="00EA47D2" w:rsidRDefault="00EA47D2"/>
    <w:p w:rsidR="00EA47D2" w:rsidRDefault="00000188">
      <w:r>
        <w:t xml:space="preserve">The field data demonstrate that </w:t>
      </w:r>
      <w:proofErr w:type="spellStart"/>
      <w:r>
        <w:t>dispersivity</w:t>
      </w:r>
      <w:proofErr w:type="spellEnd"/>
      <w:r>
        <w:t xml:space="preserve"> virtually never exceeds 100% of the scale length, and 10% of scale is a representative relationship. However, there </w:t>
      </w:r>
      <w:r w:rsidR="00707E57">
        <w:t>is</w:t>
      </w:r>
      <w:r>
        <w:t xml:space="preserve"> commonly </w:t>
      </w:r>
      <w:r w:rsidR="002726E6">
        <w:t xml:space="preserve">a </w:t>
      </w:r>
      <w:r>
        <w:t xml:space="preserve">two </w:t>
      </w:r>
      <w:r w:rsidR="002726E6">
        <w:t>order-</w:t>
      </w:r>
      <w:r>
        <w:t>of</w:t>
      </w:r>
      <w:r w:rsidR="002726E6">
        <w:t>-</w:t>
      </w:r>
      <w:r>
        <w:t xml:space="preserve">magnitude </w:t>
      </w:r>
      <w:r w:rsidR="002726E6">
        <w:t xml:space="preserve">range </w:t>
      </w:r>
      <w:r>
        <w:t xml:space="preserve">in </w:t>
      </w:r>
      <w:proofErr w:type="spellStart"/>
      <w:r>
        <w:t>dispersivity</w:t>
      </w:r>
      <w:proofErr w:type="spellEnd"/>
      <w:r>
        <w:t xml:space="preserve"> observed at a given scale, </w:t>
      </w:r>
      <w:r w:rsidR="000E13DB">
        <w:t xml:space="preserve">and this needs to be considered when calibrating fate-and-transport models. The 10% rule is a reasonable starting point, but sensitivity testing must account for variations of 5–10 </w:t>
      </w:r>
      <w:r w:rsidR="006D11C8">
        <w:t xml:space="preserve">times </w:t>
      </w:r>
      <w:r w:rsidR="000E13DB">
        <w:t>around this value.</w:t>
      </w:r>
    </w:p>
    <w:p w:rsidR="00EA47D2" w:rsidRDefault="00EA47D2"/>
    <w:p w:rsidR="00EA47D2" w:rsidRDefault="00EA47D2"/>
    <w:p w:rsidR="00EA47D2" w:rsidRPr="00EA47D2" w:rsidRDefault="0098713F">
      <w:r>
        <w:rPr>
          <w:noProof/>
        </w:rPr>
        <w:lastRenderedPageBreak/>
        <w:drawing>
          <wp:inline distT="0" distB="0" distL="0" distR="0" wp14:anchorId="41E18FB6" wp14:editId="05531788">
            <wp:extent cx="5935980" cy="4038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935980" cy="4038600"/>
                    </a:xfrm>
                    <a:prstGeom prst="rect">
                      <a:avLst/>
                    </a:prstGeom>
                    <a:noFill/>
                    <a:ln>
                      <a:noFill/>
                    </a:ln>
                  </pic:spPr>
                </pic:pic>
              </a:graphicData>
            </a:graphic>
          </wp:inline>
        </w:drawing>
      </w:r>
    </w:p>
    <w:p w:rsidR="006A688A" w:rsidRDefault="00EA47D2">
      <w:r w:rsidRPr="00EA47D2">
        <w:rPr>
          <w:b/>
        </w:rPr>
        <w:t xml:space="preserve">Figure A3-1. </w:t>
      </w:r>
      <w:r w:rsidR="002726E6">
        <w:t>Plot</w:t>
      </w:r>
      <w:r w:rsidR="002726E6" w:rsidRPr="00EA47D2">
        <w:t xml:space="preserve"> </w:t>
      </w:r>
      <w:r w:rsidRPr="00EA47D2">
        <w:t xml:space="preserve">of </w:t>
      </w:r>
      <w:proofErr w:type="spellStart"/>
      <w:r w:rsidRPr="00EA47D2">
        <w:t>dispersivity</w:t>
      </w:r>
      <w:proofErr w:type="spellEnd"/>
      <w:r w:rsidR="002726E6">
        <w:t xml:space="preserve"> versus </w:t>
      </w:r>
      <w:r w:rsidRPr="00EA47D2">
        <w:t xml:space="preserve">scale data compiled by </w:t>
      </w:r>
      <w:proofErr w:type="spellStart"/>
      <w:r w:rsidRPr="00EA47D2">
        <w:rPr>
          <w:i/>
        </w:rPr>
        <w:t>Schultze-Makuch</w:t>
      </w:r>
      <w:proofErr w:type="spellEnd"/>
      <w:r w:rsidRPr="00EA47D2">
        <w:t xml:space="preserve"> [2005]. Two common relationships, the “10% Rule” </w:t>
      </w:r>
      <w:r w:rsidR="000F2341">
        <w:t xml:space="preserve">(solid) </w:t>
      </w:r>
      <w:r w:rsidRPr="00EA47D2">
        <w:t xml:space="preserve">and </w:t>
      </w:r>
      <w:r w:rsidRPr="00EA47D2">
        <w:rPr>
          <w:i/>
        </w:rPr>
        <w:t>Xu and Eckstein’s</w:t>
      </w:r>
      <w:r w:rsidRPr="00EA47D2">
        <w:t xml:space="preserve"> [1995] </w:t>
      </w:r>
      <w:r w:rsidR="006D11C8">
        <w:t>equation</w:t>
      </w:r>
      <w:r w:rsidR="006D11C8" w:rsidRPr="00EA47D2">
        <w:t xml:space="preserve"> </w:t>
      </w:r>
      <w:r w:rsidR="000F2341">
        <w:t xml:space="preserve">(dashed) </w:t>
      </w:r>
      <w:r w:rsidRPr="00EA47D2">
        <w:t>are plotted for comparison.</w:t>
      </w:r>
    </w:p>
    <w:p w:rsidR="006A688A" w:rsidRDefault="006A688A"/>
    <w:p w:rsidR="006A688A" w:rsidRDefault="006A688A" w:rsidP="00E5652D">
      <w:pPr>
        <w:pStyle w:val="Appendix1"/>
      </w:pPr>
      <w:r>
        <w:br w:type="page"/>
      </w:r>
      <w:bookmarkStart w:id="64" w:name="App5"/>
      <w:bookmarkStart w:id="65" w:name="_Toc381357809"/>
      <w:bookmarkEnd w:id="64"/>
      <w:r w:rsidR="004D52AA">
        <w:lastRenderedPageBreak/>
        <w:t>Example Problems</w:t>
      </w:r>
      <w:bookmarkEnd w:id="65"/>
    </w:p>
    <w:p w:rsidR="006A688A" w:rsidRDefault="006A688A"/>
    <w:p w:rsidR="006A688A" w:rsidRDefault="006A688A"/>
    <w:p w:rsidR="006A688A" w:rsidRDefault="003D2C85">
      <w:hyperlink r:id="rId57" w:tgtFrame="_blank" w:history="1">
        <w:proofErr w:type="gramStart"/>
        <w:r w:rsidR="007B123B" w:rsidRPr="00F97F29">
          <w:rPr>
            <w:rStyle w:val="Hyperlink"/>
          </w:rPr>
          <w:t>Example A</w:t>
        </w:r>
        <w:r w:rsidR="0020546F">
          <w:rPr>
            <w:rStyle w:val="Hyperlink"/>
          </w:rPr>
          <w:t>4</w:t>
        </w:r>
        <w:r w:rsidR="007B123B" w:rsidRPr="00F97F29">
          <w:rPr>
            <w:rStyle w:val="Hyperlink"/>
          </w:rPr>
          <w:t>.1.</w:t>
        </w:r>
        <w:proofErr w:type="gramEnd"/>
      </w:hyperlink>
      <w:r w:rsidR="007B123B">
        <w:t xml:space="preserve"> Quick </w:t>
      </w:r>
      <w:proofErr w:type="spellStart"/>
      <w:r w:rsidR="007B123B">
        <w:t>Domenico</w:t>
      </w:r>
      <w:proofErr w:type="spellEnd"/>
      <w:r w:rsidR="007B123B">
        <w:t xml:space="preserve"> applied </w:t>
      </w:r>
      <w:r w:rsidR="000F2AF9">
        <w:t>to a UST corrective action site</w:t>
      </w:r>
      <w:r w:rsidR="00034297">
        <w:t>.</w:t>
      </w:r>
    </w:p>
    <w:p w:rsidR="007B123B" w:rsidRDefault="007B123B"/>
    <w:p w:rsidR="007B123B" w:rsidRDefault="003D2C85">
      <w:hyperlink r:id="rId58" w:history="1">
        <w:proofErr w:type="gramStart"/>
        <w:r w:rsidR="007B123B" w:rsidRPr="00F97F29">
          <w:rPr>
            <w:rStyle w:val="Hyperlink"/>
          </w:rPr>
          <w:t>Example A</w:t>
        </w:r>
        <w:r w:rsidR="0020546F">
          <w:rPr>
            <w:rStyle w:val="Hyperlink"/>
          </w:rPr>
          <w:t>4</w:t>
        </w:r>
        <w:r w:rsidR="007B123B" w:rsidRPr="00F97F29">
          <w:rPr>
            <w:rStyle w:val="Hyperlink"/>
          </w:rPr>
          <w:t>.2.</w:t>
        </w:r>
        <w:proofErr w:type="gramEnd"/>
      </w:hyperlink>
      <w:r w:rsidR="007B123B">
        <w:t xml:space="preserve"> </w:t>
      </w:r>
      <w:proofErr w:type="spellStart"/>
      <w:r w:rsidR="007B123B">
        <w:t>Bioscreen</w:t>
      </w:r>
      <w:proofErr w:type="spellEnd"/>
      <w:r w:rsidR="007B123B">
        <w:t xml:space="preserve">-AT applied to a petroleum site with </w:t>
      </w:r>
      <w:r w:rsidR="00F97F29">
        <w:t>source decay.</w:t>
      </w:r>
    </w:p>
    <w:p w:rsidR="006A688A" w:rsidRDefault="006A688A"/>
    <w:p w:rsidR="006A688A" w:rsidRDefault="006A688A"/>
    <w:p w:rsidR="006A688A" w:rsidRDefault="006A688A"/>
    <w:p w:rsidR="006A688A" w:rsidRDefault="006A688A"/>
    <w:p w:rsidR="006A688A" w:rsidRDefault="006A688A"/>
    <w:p w:rsidR="00365E82" w:rsidRDefault="00365E82"/>
    <w:p w:rsidR="00365E82" w:rsidRDefault="00365E82"/>
    <w:sectPr w:rsidR="00365E82" w:rsidSect="00914D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C85" w:rsidRDefault="003D2C85">
      <w:r>
        <w:separator/>
      </w:r>
    </w:p>
  </w:endnote>
  <w:endnote w:type="continuationSeparator" w:id="0">
    <w:p w:rsidR="003D2C85" w:rsidRDefault="003D2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79A" w:rsidRDefault="00D9679A" w:rsidP="005533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9679A" w:rsidRDefault="00D9679A" w:rsidP="0055336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79A" w:rsidRDefault="00D9679A" w:rsidP="00553360">
    <w:pPr>
      <w:pStyle w:val="Footer"/>
      <w:tabs>
        <w:tab w:val="clear" w:pos="4320"/>
        <w:tab w:val="clear" w:pos="8640"/>
        <w:tab w:val="center" w:pos="4680"/>
        <w:tab w:val="right" w:pos="9360"/>
      </w:tabs>
      <w:ind w:right="360"/>
    </w:pPr>
    <w:r w:rsidRPr="005E6E93">
      <w:rPr>
        <w:sz w:val="20"/>
      </w:rPr>
      <w:t>PA DEP QD Manual</w:t>
    </w:r>
    <w:r>
      <w:ptab w:relativeTo="margin" w:alignment="center" w:leader="none"/>
    </w:r>
    <w:r>
      <w:fldChar w:fldCharType="begin"/>
    </w:r>
    <w:r>
      <w:instrText xml:space="preserve"> PAGE  \* Arabic  \* MERGEFORMAT </w:instrText>
    </w:r>
    <w:r>
      <w:fldChar w:fldCharType="separate"/>
    </w:r>
    <w:r>
      <w:rPr>
        <w:noProof/>
      </w:rPr>
      <w:t>1</w:t>
    </w:r>
    <w:r>
      <w:fldChar w:fldCharType="end"/>
    </w:r>
    <w:r>
      <w:ptab w:relativeTo="margin" w:alignment="right" w:leader="none"/>
    </w:r>
    <w:r w:rsidRPr="005E6E93">
      <w:rPr>
        <w:sz w:val="20"/>
      </w:rPr>
      <w:fldChar w:fldCharType="begin"/>
    </w:r>
    <w:r w:rsidRPr="005E6E93">
      <w:rPr>
        <w:sz w:val="20"/>
      </w:rPr>
      <w:instrText xml:space="preserve"> DATE \@ "d MMMM yyyy" </w:instrText>
    </w:r>
    <w:r w:rsidRPr="005E6E93">
      <w:rPr>
        <w:sz w:val="20"/>
      </w:rPr>
      <w:fldChar w:fldCharType="separate"/>
    </w:r>
    <w:r w:rsidR="008D36A0">
      <w:rPr>
        <w:noProof/>
        <w:sz w:val="20"/>
      </w:rPr>
      <w:t>17 March 2014</w:t>
    </w:r>
    <w:r w:rsidRPr="005E6E93">
      <w:rP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79A" w:rsidRDefault="00D9679A" w:rsidP="00553360">
    <w:pPr>
      <w:pStyle w:val="Footer"/>
      <w:tabs>
        <w:tab w:val="clear" w:pos="4320"/>
        <w:tab w:val="center" w:pos="468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79A" w:rsidRDefault="00D9679A" w:rsidP="00553360">
    <w:pPr>
      <w:pStyle w:val="Footer"/>
      <w:tabs>
        <w:tab w:val="clear" w:pos="4320"/>
        <w:tab w:val="clear" w:pos="8640"/>
        <w:tab w:val="center" w:pos="4680"/>
        <w:tab w:val="right" w:pos="9360"/>
      </w:tabs>
      <w:ind w:right="360"/>
    </w:pPr>
    <w:r w:rsidRPr="005E6E93">
      <w:rPr>
        <w:sz w:val="20"/>
      </w:rPr>
      <w:t>PA DEP QD Manual</w:t>
    </w:r>
    <w:r>
      <w:ptab w:relativeTo="margin" w:alignment="center" w:leader="none"/>
    </w:r>
    <w:r>
      <w:fldChar w:fldCharType="begin"/>
    </w:r>
    <w:r>
      <w:instrText xml:space="preserve"> PAGE  \* roman  \* MERGEFORMAT </w:instrText>
    </w:r>
    <w:r>
      <w:fldChar w:fldCharType="separate"/>
    </w:r>
    <w:r w:rsidR="008D36A0">
      <w:rPr>
        <w:noProof/>
      </w:rPr>
      <w:t>i</w:t>
    </w:r>
    <w:r>
      <w:fldChar w:fldCharType="end"/>
    </w:r>
    <w:r>
      <w:ptab w:relativeTo="margin" w:alignment="right" w:leader="none"/>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79A" w:rsidRDefault="00D9679A" w:rsidP="00553360">
    <w:pPr>
      <w:pStyle w:val="Footer"/>
      <w:tabs>
        <w:tab w:val="clear" w:pos="4320"/>
        <w:tab w:val="clear" w:pos="8640"/>
        <w:tab w:val="center" w:pos="4680"/>
        <w:tab w:val="right" w:pos="9360"/>
      </w:tabs>
      <w:ind w:right="360"/>
    </w:pPr>
    <w:r w:rsidRPr="005E6E93">
      <w:rPr>
        <w:sz w:val="20"/>
      </w:rPr>
      <w:t>PA DEP QD Manual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C85" w:rsidRDefault="003D2C85">
      <w:r>
        <w:separator/>
      </w:r>
    </w:p>
  </w:footnote>
  <w:footnote w:type="continuationSeparator" w:id="0">
    <w:p w:rsidR="003D2C85" w:rsidRDefault="003D2C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79A" w:rsidRDefault="00D9679A" w:rsidP="003E2F28">
    <w:pPr>
      <w:pStyle w:val="Header"/>
      <w:tabs>
        <w:tab w:val="clear" w:pos="864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1079"/>
    <w:multiLevelType w:val="multilevel"/>
    <w:tmpl w:val="BE204810"/>
    <w:lvl w:ilvl="0">
      <w:start w:val="1"/>
      <w:numFmt w:val="decimal"/>
      <w:pStyle w:val="Appendix1"/>
      <w:lvlText w:val="Appendix %1."/>
      <w:lvlJc w:val="left"/>
      <w:pPr>
        <w:tabs>
          <w:tab w:val="num" w:pos="360"/>
        </w:tabs>
        <w:ind w:left="360" w:hanging="360"/>
      </w:pPr>
      <w:rPr>
        <w:rFonts w:hint="default"/>
      </w:rPr>
    </w:lvl>
    <w:lvl w:ilvl="1">
      <w:start w:val="1"/>
      <w:numFmt w:val="decimal"/>
      <w:lvlRestart w:val="0"/>
      <w:lvlText w:val="%1.%2."/>
      <w:lvlJc w:val="left"/>
      <w:pPr>
        <w:tabs>
          <w:tab w:val="num" w:pos="504"/>
        </w:tabs>
        <w:ind w:left="504" w:hanging="504"/>
      </w:pPr>
      <w:rPr>
        <w:rFonts w:hint="default"/>
      </w:rPr>
    </w:lvl>
    <w:lvl w:ilvl="2">
      <w:start w:val="1"/>
      <w:numFmt w:val="decimal"/>
      <w:lvlText w:val="%1.%2.%3."/>
      <w:lvlJc w:val="left"/>
      <w:pPr>
        <w:tabs>
          <w:tab w:val="num" w:pos="648"/>
        </w:tabs>
        <w:ind w:left="648" w:hanging="64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E00356A"/>
    <w:multiLevelType w:val="multilevel"/>
    <w:tmpl w:val="C226CF9E"/>
    <w:lvl w:ilvl="0">
      <w:start w:val="1"/>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504"/>
        </w:tabs>
        <w:ind w:left="504" w:hanging="504"/>
      </w:pPr>
      <w:rPr>
        <w:rFonts w:hint="default"/>
      </w:rPr>
    </w:lvl>
    <w:lvl w:ilvl="2">
      <w:start w:val="1"/>
      <w:numFmt w:val="decimal"/>
      <w:lvlText w:val="%1.%2.%3."/>
      <w:lvlJc w:val="left"/>
      <w:pPr>
        <w:tabs>
          <w:tab w:val="num" w:pos="648"/>
        </w:tabs>
        <w:ind w:left="648" w:hanging="64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176B0711"/>
    <w:multiLevelType w:val="multilevel"/>
    <w:tmpl w:val="717E6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F672FB"/>
    <w:multiLevelType w:val="multilevel"/>
    <w:tmpl w:val="2B640BB8"/>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504"/>
        </w:tabs>
        <w:ind w:left="504" w:hanging="504"/>
      </w:pPr>
      <w:rPr>
        <w:rFonts w:hint="default"/>
      </w:rPr>
    </w:lvl>
    <w:lvl w:ilvl="2">
      <w:start w:val="1"/>
      <w:numFmt w:val="decimal"/>
      <w:pStyle w:val="Heading3"/>
      <w:lvlText w:val="%1.%2.%3."/>
      <w:lvlJc w:val="left"/>
      <w:pPr>
        <w:tabs>
          <w:tab w:val="num" w:pos="648"/>
        </w:tabs>
        <w:ind w:left="648" w:hanging="64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1DE7658A"/>
    <w:multiLevelType w:val="multilevel"/>
    <w:tmpl w:val="A1803B52"/>
    <w:lvl w:ilvl="0">
      <w:start w:val="1"/>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504"/>
        </w:tabs>
        <w:ind w:left="504" w:hanging="504"/>
      </w:pPr>
      <w:rPr>
        <w:rFonts w:hint="default"/>
      </w:rPr>
    </w:lvl>
    <w:lvl w:ilvl="2">
      <w:start w:val="1"/>
      <w:numFmt w:val="decimal"/>
      <w:lvlText w:val="%1.%2.%3."/>
      <w:lvlJc w:val="left"/>
      <w:pPr>
        <w:tabs>
          <w:tab w:val="num" w:pos="648"/>
        </w:tabs>
        <w:ind w:left="648" w:hanging="64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2458774B"/>
    <w:multiLevelType w:val="hybridMultilevel"/>
    <w:tmpl w:val="B5D689C4"/>
    <w:lvl w:ilvl="0" w:tplc="798A1C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B6E5302"/>
    <w:multiLevelType w:val="multilevel"/>
    <w:tmpl w:val="44C00CF0"/>
    <w:lvl w:ilvl="0">
      <w:start w:val="1"/>
      <w:numFmt w:val="decimal"/>
      <w:lvlText w:val="Appendix %1."/>
      <w:lvlJc w:val="left"/>
      <w:pPr>
        <w:tabs>
          <w:tab w:val="num" w:pos="360"/>
        </w:tabs>
        <w:ind w:left="360" w:hanging="360"/>
      </w:pPr>
      <w:rPr>
        <w:rFonts w:hint="default"/>
      </w:rPr>
    </w:lvl>
    <w:lvl w:ilvl="1">
      <w:start w:val="1"/>
      <w:numFmt w:val="decimal"/>
      <w:lvlRestart w:val="0"/>
      <w:lvlText w:val="%1.%2."/>
      <w:lvlJc w:val="left"/>
      <w:pPr>
        <w:tabs>
          <w:tab w:val="num" w:pos="504"/>
        </w:tabs>
        <w:ind w:left="504" w:hanging="504"/>
      </w:pPr>
      <w:rPr>
        <w:rFonts w:hint="default"/>
      </w:rPr>
    </w:lvl>
    <w:lvl w:ilvl="2">
      <w:start w:val="1"/>
      <w:numFmt w:val="decimal"/>
      <w:lvlText w:val="%1.%2.%3."/>
      <w:lvlJc w:val="left"/>
      <w:pPr>
        <w:tabs>
          <w:tab w:val="num" w:pos="648"/>
        </w:tabs>
        <w:ind w:left="648" w:hanging="64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2F7254BE"/>
    <w:multiLevelType w:val="multilevel"/>
    <w:tmpl w:val="B5D689C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4F671D3"/>
    <w:multiLevelType w:val="multilevel"/>
    <w:tmpl w:val="C226CF9E"/>
    <w:lvl w:ilvl="0">
      <w:start w:val="1"/>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504"/>
        </w:tabs>
        <w:ind w:left="504" w:hanging="504"/>
      </w:pPr>
      <w:rPr>
        <w:rFonts w:hint="default"/>
      </w:rPr>
    </w:lvl>
    <w:lvl w:ilvl="2">
      <w:start w:val="1"/>
      <w:numFmt w:val="decimal"/>
      <w:lvlText w:val="%1.%2.%3."/>
      <w:lvlJc w:val="left"/>
      <w:pPr>
        <w:tabs>
          <w:tab w:val="num" w:pos="648"/>
        </w:tabs>
        <w:ind w:left="648" w:hanging="64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38AC5F50"/>
    <w:multiLevelType w:val="multilevel"/>
    <w:tmpl w:val="28548830"/>
    <w:lvl w:ilvl="0">
      <w:start w:val="1"/>
      <w:numFmt w:val="decimal"/>
      <w:lvlText w:val="%1."/>
      <w:lvlJc w:val="left"/>
      <w:pPr>
        <w:tabs>
          <w:tab w:val="num" w:pos="504"/>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2.%1.%3."/>
      <w:lvlJc w:val="left"/>
      <w:pPr>
        <w:tabs>
          <w:tab w:val="num" w:pos="792"/>
        </w:tabs>
        <w:ind w:left="792" w:hanging="72"/>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411B6FF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9921B50"/>
    <w:multiLevelType w:val="hybridMultilevel"/>
    <w:tmpl w:val="0F28DB14"/>
    <w:lvl w:ilvl="0" w:tplc="BD0AC3CE">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E4D7A4E"/>
    <w:multiLevelType w:val="multilevel"/>
    <w:tmpl w:val="F982BD28"/>
    <w:lvl w:ilvl="0">
      <w:start w:val="1"/>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504"/>
        </w:tabs>
        <w:ind w:left="504" w:hanging="504"/>
      </w:pPr>
      <w:rPr>
        <w:rFonts w:hint="default"/>
      </w:rPr>
    </w:lvl>
    <w:lvl w:ilvl="2">
      <w:start w:val="1"/>
      <w:numFmt w:val="decimal"/>
      <w:lvlText w:val="%1.%2.%3."/>
      <w:lvlJc w:val="left"/>
      <w:pPr>
        <w:tabs>
          <w:tab w:val="num" w:pos="648"/>
        </w:tabs>
        <w:ind w:left="648" w:hanging="64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5F2550C7"/>
    <w:multiLevelType w:val="multilevel"/>
    <w:tmpl w:val="25188EDE"/>
    <w:lvl w:ilvl="0">
      <w:start w:val="1"/>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504"/>
        </w:tabs>
        <w:ind w:left="504" w:hanging="504"/>
      </w:pPr>
      <w:rPr>
        <w:rFonts w:hint="default"/>
      </w:rPr>
    </w:lvl>
    <w:lvl w:ilvl="2">
      <w:start w:val="1"/>
      <w:numFmt w:val="decimal"/>
      <w:lvlText w:val="%1.%2.%3."/>
      <w:lvlJc w:val="left"/>
      <w:pPr>
        <w:tabs>
          <w:tab w:val="num" w:pos="648"/>
        </w:tabs>
        <w:ind w:left="648" w:hanging="64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67A86143"/>
    <w:multiLevelType w:val="multilevel"/>
    <w:tmpl w:val="00C273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hint="default"/>
      </w:rPr>
    </w:lvl>
    <w:lvl w:ilvl="2">
      <w:start w:val="1"/>
      <w:numFmt w:val="decimal"/>
      <w:lvlText w:val="%1.%2.%3."/>
      <w:lvlJc w:val="left"/>
      <w:pPr>
        <w:tabs>
          <w:tab w:val="num" w:pos="648"/>
        </w:tabs>
        <w:ind w:left="648" w:hanging="64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6A1D1BD9"/>
    <w:multiLevelType w:val="multilevel"/>
    <w:tmpl w:val="C84A5380"/>
    <w:lvl w:ilvl="0">
      <w:start w:val="1"/>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504"/>
        </w:tabs>
        <w:ind w:left="504" w:hanging="504"/>
      </w:pPr>
      <w:rPr>
        <w:rFonts w:hint="default"/>
      </w:rPr>
    </w:lvl>
    <w:lvl w:ilvl="2">
      <w:start w:val="1"/>
      <w:numFmt w:val="decimal"/>
      <w:lvlText w:val="%1.%2.%3."/>
      <w:lvlJc w:val="left"/>
      <w:pPr>
        <w:tabs>
          <w:tab w:val="num" w:pos="648"/>
        </w:tabs>
        <w:ind w:left="648" w:hanging="64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74484D4A"/>
    <w:multiLevelType w:val="multilevel"/>
    <w:tmpl w:val="71D69092"/>
    <w:lvl w:ilvl="0">
      <w:start w:val="1"/>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504"/>
        </w:tabs>
        <w:ind w:left="504" w:hanging="504"/>
      </w:pPr>
      <w:rPr>
        <w:rFonts w:hint="default"/>
      </w:rPr>
    </w:lvl>
    <w:lvl w:ilvl="2">
      <w:start w:val="1"/>
      <w:numFmt w:val="decimal"/>
      <w:lvlText w:val="%1.%2.%3."/>
      <w:lvlJc w:val="left"/>
      <w:pPr>
        <w:tabs>
          <w:tab w:val="num" w:pos="648"/>
        </w:tabs>
        <w:ind w:left="648" w:hanging="64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76AD0F63"/>
    <w:multiLevelType w:val="multilevel"/>
    <w:tmpl w:val="F26E1B86"/>
    <w:lvl w:ilvl="0">
      <w:start w:val="1"/>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504"/>
        </w:tabs>
        <w:ind w:left="504" w:hanging="504"/>
      </w:pPr>
      <w:rPr>
        <w:rFonts w:hint="default"/>
      </w:rPr>
    </w:lvl>
    <w:lvl w:ilvl="2">
      <w:start w:val="1"/>
      <w:numFmt w:val="decimal"/>
      <w:lvlText w:val="%1.%2.%3."/>
      <w:lvlJc w:val="left"/>
      <w:pPr>
        <w:tabs>
          <w:tab w:val="num" w:pos="648"/>
        </w:tabs>
        <w:ind w:left="648" w:hanging="64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7"/>
  </w:num>
  <w:num w:numId="2">
    <w:abstractNumId w:val="17"/>
  </w:num>
  <w:num w:numId="3">
    <w:abstractNumId w:val="9"/>
  </w:num>
  <w:num w:numId="4">
    <w:abstractNumId w:val="4"/>
  </w:num>
  <w:num w:numId="5">
    <w:abstractNumId w:val="13"/>
  </w:num>
  <w:num w:numId="6">
    <w:abstractNumId w:val="15"/>
  </w:num>
  <w:num w:numId="7">
    <w:abstractNumId w:val="12"/>
  </w:num>
  <w:num w:numId="8">
    <w:abstractNumId w:val="0"/>
  </w:num>
  <w:num w:numId="9">
    <w:abstractNumId w:val="10"/>
  </w:num>
  <w:num w:numId="10">
    <w:abstractNumId w:val="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6"/>
  </w:num>
  <w:num w:numId="14">
    <w:abstractNumId w:val="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
  </w:num>
  <w:num w:numId="19">
    <w:abstractNumId w:val="8"/>
  </w:num>
  <w:num w:numId="20">
    <w:abstractNumId w:val="14"/>
  </w:num>
  <w:num w:numId="21">
    <w:abstractNumId w:val="5"/>
  </w:num>
  <w:num w:numId="22">
    <w:abstractNumId w:val="7"/>
  </w:num>
  <w:num w:numId="23">
    <w:abstractNumId w:val="11"/>
  </w:num>
  <w:num w:numId="24">
    <w:abstractNumId w:val="2"/>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77"/>
    <w:rsid w:val="00000188"/>
    <w:rsid w:val="00002218"/>
    <w:rsid w:val="00004B4D"/>
    <w:rsid w:val="00011BDE"/>
    <w:rsid w:val="00020628"/>
    <w:rsid w:val="00021042"/>
    <w:rsid w:val="00026454"/>
    <w:rsid w:val="00027A76"/>
    <w:rsid w:val="00034297"/>
    <w:rsid w:val="00040476"/>
    <w:rsid w:val="0004131E"/>
    <w:rsid w:val="00043055"/>
    <w:rsid w:val="000437B4"/>
    <w:rsid w:val="0005345B"/>
    <w:rsid w:val="00054551"/>
    <w:rsid w:val="000572A1"/>
    <w:rsid w:val="00063A1A"/>
    <w:rsid w:val="00064437"/>
    <w:rsid w:val="00065790"/>
    <w:rsid w:val="00072DDF"/>
    <w:rsid w:val="000755C9"/>
    <w:rsid w:val="00075AAA"/>
    <w:rsid w:val="00076700"/>
    <w:rsid w:val="00085003"/>
    <w:rsid w:val="00087F95"/>
    <w:rsid w:val="00090FC4"/>
    <w:rsid w:val="00094C7F"/>
    <w:rsid w:val="000971FB"/>
    <w:rsid w:val="00097545"/>
    <w:rsid w:val="000A03A8"/>
    <w:rsid w:val="000A185C"/>
    <w:rsid w:val="000A5EE4"/>
    <w:rsid w:val="000A758A"/>
    <w:rsid w:val="000B2F86"/>
    <w:rsid w:val="000B44BA"/>
    <w:rsid w:val="000C543D"/>
    <w:rsid w:val="000C7233"/>
    <w:rsid w:val="000C7D04"/>
    <w:rsid w:val="000D2A16"/>
    <w:rsid w:val="000D33B1"/>
    <w:rsid w:val="000D3E5E"/>
    <w:rsid w:val="000E13DB"/>
    <w:rsid w:val="000E18E9"/>
    <w:rsid w:val="000E29DA"/>
    <w:rsid w:val="000F1D26"/>
    <w:rsid w:val="000F2341"/>
    <w:rsid w:val="000F2AF9"/>
    <w:rsid w:val="000F469F"/>
    <w:rsid w:val="000F4B78"/>
    <w:rsid w:val="00107068"/>
    <w:rsid w:val="00107670"/>
    <w:rsid w:val="001220A1"/>
    <w:rsid w:val="00125768"/>
    <w:rsid w:val="00125B7C"/>
    <w:rsid w:val="0012630D"/>
    <w:rsid w:val="00126923"/>
    <w:rsid w:val="00126A42"/>
    <w:rsid w:val="001364AC"/>
    <w:rsid w:val="0013669A"/>
    <w:rsid w:val="00143857"/>
    <w:rsid w:val="00143C49"/>
    <w:rsid w:val="00144468"/>
    <w:rsid w:val="0015093B"/>
    <w:rsid w:val="00151BBF"/>
    <w:rsid w:val="001538F3"/>
    <w:rsid w:val="00157377"/>
    <w:rsid w:val="001601D0"/>
    <w:rsid w:val="001611BE"/>
    <w:rsid w:val="0016430A"/>
    <w:rsid w:val="00165476"/>
    <w:rsid w:val="00174D03"/>
    <w:rsid w:val="00175384"/>
    <w:rsid w:val="00175AE2"/>
    <w:rsid w:val="001823D7"/>
    <w:rsid w:val="0018268E"/>
    <w:rsid w:val="001827FB"/>
    <w:rsid w:val="0018405D"/>
    <w:rsid w:val="001853EA"/>
    <w:rsid w:val="00187BE9"/>
    <w:rsid w:val="001952EB"/>
    <w:rsid w:val="001A164A"/>
    <w:rsid w:val="001A3E0F"/>
    <w:rsid w:val="001A403C"/>
    <w:rsid w:val="001A4DA1"/>
    <w:rsid w:val="001A61B7"/>
    <w:rsid w:val="001A75C0"/>
    <w:rsid w:val="001B57AD"/>
    <w:rsid w:val="001B7E0F"/>
    <w:rsid w:val="001C27A5"/>
    <w:rsid w:val="001C4674"/>
    <w:rsid w:val="001D1507"/>
    <w:rsid w:val="001D18DE"/>
    <w:rsid w:val="001D558E"/>
    <w:rsid w:val="001E41B1"/>
    <w:rsid w:val="001E4FA4"/>
    <w:rsid w:val="001F4D1F"/>
    <w:rsid w:val="001F6C9F"/>
    <w:rsid w:val="001F7D61"/>
    <w:rsid w:val="002009B0"/>
    <w:rsid w:val="00202AAB"/>
    <w:rsid w:val="0020546F"/>
    <w:rsid w:val="00205968"/>
    <w:rsid w:val="00216F9B"/>
    <w:rsid w:val="00224B99"/>
    <w:rsid w:val="00224D46"/>
    <w:rsid w:val="0022750E"/>
    <w:rsid w:val="00227D24"/>
    <w:rsid w:val="002303E4"/>
    <w:rsid w:val="0024002D"/>
    <w:rsid w:val="00242D28"/>
    <w:rsid w:val="00243A3B"/>
    <w:rsid w:val="00244599"/>
    <w:rsid w:val="0024551F"/>
    <w:rsid w:val="002459B8"/>
    <w:rsid w:val="00245F8D"/>
    <w:rsid w:val="00250B99"/>
    <w:rsid w:val="00253FDA"/>
    <w:rsid w:val="002569ED"/>
    <w:rsid w:val="00257A15"/>
    <w:rsid w:val="0026062C"/>
    <w:rsid w:val="0026073E"/>
    <w:rsid w:val="0026082B"/>
    <w:rsid w:val="00264697"/>
    <w:rsid w:val="00265E0F"/>
    <w:rsid w:val="00265E2D"/>
    <w:rsid w:val="002726E6"/>
    <w:rsid w:val="00281DC2"/>
    <w:rsid w:val="00282505"/>
    <w:rsid w:val="00282903"/>
    <w:rsid w:val="00283508"/>
    <w:rsid w:val="00292A2D"/>
    <w:rsid w:val="00293F92"/>
    <w:rsid w:val="002A15F6"/>
    <w:rsid w:val="002A7D90"/>
    <w:rsid w:val="002B0B8A"/>
    <w:rsid w:val="002B28A3"/>
    <w:rsid w:val="002B5508"/>
    <w:rsid w:val="002B55D5"/>
    <w:rsid w:val="002C17F2"/>
    <w:rsid w:val="002C1C56"/>
    <w:rsid w:val="002C47D0"/>
    <w:rsid w:val="002D0D48"/>
    <w:rsid w:val="002D3203"/>
    <w:rsid w:val="002D50BA"/>
    <w:rsid w:val="002D665D"/>
    <w:rsid w:val="002D6EA3"/>
    <w:rsid w:val="002E012A"/>
    <w:rsid w:val="002E10A8"/>
    <w:rsid w:val="002E4310"/>
    <w:rsid w:val="002E44DE"/>
    <w:rsid w:val="002E7079"/>
    <w:rsid w:val="002F1C04"/>
    <w:rsid w:val="002F20F4"/>
    <w:rsid w:val="002F4A4C"/>
    <w:rsid w:val="002F6E2B"/>
    <w:rsid w:val="002F7370"/>
    <w:rsid w:val="0030449D"/>
    <w:rsid w:val="003044CC"/>
    <w:rsid w:val="003140F1"/>
    <w:rsid w:val="00322453"/>
    <w:rsid w:val="00324581"/>
    <w:rsid w:val="00324B48"/>
    <w:rsid w:val="00326CDB"/>
    <w:rsid w:val="00342BB3"/>
    <w:rsid w:val="0034651B"/>
    <w:rsid w:val="00361BAB"/>
    <w:rsid w:val="00365E82"/>
    <w:rsid w:val="00372742"/>
    <w:rsid w:val="00377C7E"/>
    <w:rsid w:val="00381E95"/>
    <w:rsid w:val="0038580B"/>
    <w:rsid w:val="003A6901"/>
    <w:rsid w:val="003B19C0"/>
    <w:rsid w:val="003B2A01"/>
    <w:rsid w:val="003B7598"/>
    <w:rsid w:val="003D02F2"/>
    <w:rsid w:val="003D0F0A"/>
    <w:rsid w:val="003D2C85"/>
    <w:rsid w:val="003D4281"/>
    <w:rsid w:val="003D6C6F"/>
    <w:rsid w:val="003E0470"/>
    <w:rsid w:val="003E1F2F"/>
    <w:rsid w:val="003E2F28"/>
    <w:rsid w:val="003E7766"/>
    <w:rsid w:val="003F3997"/>
    <w:rsid w:val="003F730C"/>
    <w:rsid w:val="004003D7"/>
    <w:rsid w:val="00400B46"/>
    <w:rsid w:val="00411E57"/>
    <w:rsid w:val="00423AAA"/>
    <w:rsid w:val="00424CBD"/>
    <w:rsid w:val="00424E52"/>
    <w:rsid w:val="004260C0"/>
    <w:rsid w:val="004405B7"/>
    <w:rsid w:val="00445A11"/>
    <w:rsid w:val="00445E12"/>
    <w:rsid w:val="00452ACE"/>
    <w:rsid w:val="00452B09"/>
    <w:rsid w:val="00453715"/>
    <w:rsid w:val="00453956"/>
    <w:rsid w:val="00454FFB"/>
    <w:rsid w:val="00455A83"/>
    <w:rsid w:val="00457812"/>
    <w:rsid w:val="0046175B"/>
    <w:rsid w:val="00461EEB"/>
    <w:rsid w:val="004733A6"/>
    <w:rsid w:val="00473A60"/>
    <w:rsid w:val="004917C9"/>
    <w:rsid w:val="004935EC"/>
    <w:rsid w:val="00496B4C"/>
    <w:rsid w:val="004A1B4D"/>
    <w:rsid w:val="004A3676"/>
    <w:rsid w:val="004A7BBF"/>
    <w:rsid w:val="004B364F"/>
    <w:rsid w:val="004B3A7D"/>
    <w:rsid w:val="004B4271"/>
    <w:rsid w:val="004B7330"/>
    <w:rsid w:val="004C06AD"/>
    <w:rsid w:val="004C2236"/>
    <w:rsid w:val="004C465F"/>
    <w:rsid w:val="004C68A8"/>
    <w:rsid w:val="004D52AA"/>
    <w:rsid w:val="004D5D58"/>
    <w:rsid w:val="004D7224"/>
    <w:rsid w:val="004D7305"/>
    <w:rsid w:val="004D7D73"/>
    <w:rsid w:val="004E1BFB"/>
    <w:rsid w:val="004E7D87"/>
    <w:rsid w:val="004F1BD9"/>
    <w:rsid w:val="004F307C"/>
    <w:rsid w:val="004F6F50"/>
    <w:rsid w:val="0050151B"/>
    <w:rsid w:val="005019A3"/>
    <w:rsid w:val="00502094"/>
    <w:rsid w:val="00502F81"/>
    <w:rsid w:val="0050347D"/>
    <w:rsid w:val="005128D4"/>
    <w:rsid w:val="005163CE"/>
    <w:rsid w:val="0052096C"/>
    <w:rsid w:val="00520AAB"/>
    <w:rsid w:val="005218EA"/>
    <w:rsid w:val="005219E9"/>
    <w:rsid w:val="00532BE3"/>
    <w:rsid w:val="0053430E"/>
    <w:rsid w:val="0053533A"/>
    <w:rsid w:val="0053629A"/>
    <w:rsid w:val="00540132"/>
    <w:rsid w:val="005407E4"/>
    <w:rsid w:val="005407E8"/>
    <w:rsid w:val="00543459"/>
    <w:rsid w:val="0054715F"/>
    <w:rsid w:val="00550EED"/>
    <w:rsid w:val="00551B0B"/>
    <w:rsid w:val="00553360"/>
    <w:rsid w:val="00564CBE"/>
    <w:rsid w:val="00565613"/>
    <w:rsid w:val="005675FC"/>
    <w:rsid w:val="00572A45"/>
    <w:rsid w:val="005821AC"/>
    <w:rsid w:val="00582528"/>
    <w:rsid w:val="00582FE9"/>
    <w:rsid w:val="00587D00"/>
    <w:rsid w:val="00587FF2"/>
    <w:rsid w:val="00590640"/>
    <w:rsid w:val="0059206C"/>
    <w:rsid w:val="005927B9"/>
    <w:rsid w:val="0059351A"/>
    <w:rsid w:val="00594845"/>
    <w:rsid w:val="005976CD"/>
    <w:rsid w:val="005A28DA"/>
    <w:rsid w:val="005A3C71"/>
    <w:rsid w:val="005A64A6"/>
    <w:rsid w:val="005A6ECB"/>
    <w:rsid w:val="005B196D"/>
    <w:rsid w:val="005B2510"/>
    <w:rsid w:val="005C00F0"/>
    <w:rsid w:val="005C3726"/>
    <w:rsid w:val="005C4D33"/>
    <w:rsid w:val="005C4DB4"/>
    <w:rsid w:val="005C61DE"/>
    <w:rsid w:val="005D2D9B"/>
    <w:rsid w:val="005D3BEE"/>
    <w:rsid w:val="005D4486"/>
    <w:rsid w:val="005D4BBC"/>
    <w:rsid w:val="005D6133"/>
    <w:rsid w:val="005D697C"/>
    <w:rsid w:val="005D7E01"/>
    <w:rsid w:val="005E2D73"/>
    <w:rsid w:val="005E4B36"/>
    <w:rsid w:val="005E4CD0"/>
    <w:rsid w:val="005E5448"/>
    <w:rsid w:val="005E6E93"/>
    <w:rsid w:val="005F56FE"/>
    <w:rsid w:val="005F5769"/>
    <w:rsid w:val="00600C4B"/>
    <w:rsid w:val="00601EA0"/>
    <w:rsid w:val="00603193"/>
    <w:rsid w:val="0060591E"/>
    <w:rsid w:val="00611212"/>
    <w:rsid w:val="00613F62"/>
    <w:rsid w:val="00617F74"/>
    <w:rsid w:val="00626C69"/>
    <w:rsid w:val="006302F9"/>
    <w:rsid w:val="00633845"/>
    <w:rsid w:val="00640B32"/>
    <w:rsid w:val="0064747D"/>
    <w:rsid w:val="00650DB1"/>
    <w:rsid w:val="00652233"/>
    <w:rsid w:val="006560CD"/>
    <w:rsid w:val="00656BAB"/>
    <w:rsid w:val="006631CD"/>
    <w:rsid w:val="00680D4D"/>
    <w:rsid w:val="00682A07"/>
    <w:rsid w:val="006900A5"/>
    <w:rsid w:val="00690438"/>
    <w:rsid w:val="00692BD9"/>
    <w:rsid w:val="006A088E"/>
    <w:rsid w:val="006A381B"/>
    <w:rsid w:val="006A4E2A"/>
    <w:rsid w:val="006A688A"/>
    <w:rsid w:val="006B1873"/>
    <w:rsid w:val="006B258B"/>
    <w:rsid w:val="006B56F2"/>
    <w:rsid w:val="006C2954"/>
    <w:rsid w:val="006C2F69"/>
    <w:rsid w:val="006C62CB"/>
    <w:rsid w:val="006D075A"/>
    <w:rsid w:val="006D11C8"/>
    <w:rsid w:val="006D2A4D"/>
    <w:rsid w:val="006D60A1"/>
    <w:rsid w:val="006E2384"/>
    <w:rsid w:val="006E6DB7"/>
    <w:rsid w:val="006E7101"/>
    <w:rsid w:val="006E7B1E"/>
    <w:rsid w:val="006E7FB2"/>
    <w:rsid w:val="006F07C2"/>
    <w:rsid w:val="006F0884"/>
    <w:rsid w:val="006F1802"/>
    <w:rsid w:val="006F405C"/>
    <w:rsid w:val="006F419B"/>
    <w:rsid w:val="006F582B"/>
    <w:rsid w:val="00701CB4"/>
    <w:rsid w:val="00702589"/>
    <w:rsid w:val="00703F8A"/>
    <w:rsid w:val="00704B49"/>
    <w:rsid w:val="00706725"/>
    <w:rsid w:val="00706FB3"/>
    <w:rsid w:val="00707E57"/>
    <w:rsid w:val="0071609D"/>
    <w:rsid w:val="007228AF"/>
    <w:rsid w:val="007278C4"/>
    <w:rsid w:val="00727A37"/>
    <w:rsid w:val="00730FD9"/>
    <w:rsid w:val="0073115F"/>
    <w:rsid w:val="007356D2"/>
    <w:rsid w:val="00737D51"/>
    <w:rsid w:val="0074197D"/>
    <w:rsid w:val="0074590F"/>
    <w:rsid w:val="00747616"/>
    <w:rsid w:val="00747623"/>
    <w:rsid w:val="00750EED"/>
    <w:rsid w:val="00755556"/>
    <w:rsid w:val="00763321"/>
    <w:rsid w:val="00780A76"/>
    <w:rsid w:val="00780ED5"/>
    <w:rsid w:val="00782FD8"/>
    <w:rsid w:val="00785E1E"/>
    <w:rsid w:val="00786CF7"/>
    <w:rsid w:val="0078710A"/>
    <w:rsid w:val="007912A7"/>
    <w:rsid w:val="0079368F"/>
    <w:rsid w:val="00795EE7"/>
    <w:rsid w:val="00797F4C"/>
    <w:rsid w:val="007A01B4"/>
    <w:rsid w:val="007A7057"/>
    <w:rsid w:val="007A7A71"/>
    <w:rsid w:val="007B123B"/>
    <w:rsid w:val="007B625E"/>
    <w:rsid w:val="007B7D34"/>
    <w:rsid w:val="007C03E5"/>
    <w:rsid w:val="007C2D33"/>
    <w:rsid w:val="007C3A36"/>
    <w:rsid w:val="007C48A9"/>
    <w:rsid w:val="007D26CE"/>
    <w:rsid w:val="007D3A8C"/>
    <w:rsid w:val="007D7408"/>
    <w:rsid w:val="007E0430"/>
    <w:rsid w:val="007E33AF"/>
    <w:rsid w:val="007E4659"/>
    <w:rsid w:val="007E7ABA"/>
    <w:rsid w:val="007F16D3"/>
    <w:rsid w:val="007F1E6C"/>
    <w:rsid w:val="00800397"/>
    <w:rsid w:val="008039B4"/>
    <w:rsid w:val="00806BB7"/>
    <w:rsid w:val="00812EAB"/>
    <w:rsid w:val="008149CC"/>
    <w:rsid w:val="00815E6F"/>
    <w:rsid w:val="00817D16"/>
    <w:rsid w:val="008205F7"/>
    <w:rsid w:val="008245C8"/>
    <w:rsid w:val="008254F0"/>
    <w:rsid w:val="008264CB"/>
    <w:rsid w:val="00831F6F"/>
    <w:rsid w:val="00832678"/>
    <w:rsid w:val="0083747A"/>
    <w:rsid w:val="0084380C"/>
    <w:rsid w:val="008712DE"/>
    <w:rsid w:val="0087198E"/>
    <w:rsid w:val="00871FBB"/>
    <w:rsid w:val="00873475"/>
    <w:rsid w:val="00873D78"/>
    <w:rsid w:val="00877EC1"/>
    <w:rsid w:val="0088218F"/>
    <w:rsid w:val="00882B91"/>
    <w:rsid w:val="008905D4"/>
    <w:rsid w:val="008917F0"/>
    <w:rsid w:val="00897BB9"/>
    <w:rsid w:val="00897EC5"/>
    <w:rsid w:val="008A1A54"/>
    <w:rsid w:val="008A3350"/>
    <w:rsid w:val="008A6930"/>
    <w:rsid w:val="008B109E"/>
    <w:rsid w:val="008B39CB"/>
    <w:rsid w:val="008C0E60"/>
    <w:rsid w:val="008C1160"/>
    <w:rsid w:val="008C2B83"/>
    <w:rsid w:val="008C463C"/>
    <w:rsid w:val="008C5BB7"/>
    <w:rsid w:val="008C7A48"/>
    <w:rsid w:val="008C7CEE"/>
    <w:rsid w:val="008D36A0"/>
    <w:rsid w:val="008D5619"/>
    <w:rsid w:val="008D7600"/>
    <w:rsid w:val="008D7EC9"/>
    <w:rsid w:val="008E3792"/>
    <w:rsid w:val="008E3D18"/>
    <w:rsid w:val="008E70BB"/>
    <w:rsid w:val="008F235F"/>
    <w:rsid w:val="008F2D4B"/>
    <w:rsid w:val="008F46FB"/>
    <w:rsid w:val="00900466"/>
    <w:rsid w:val="00912029"/>
    <w:rsid w:val="0091300E"/>
    <w:rsid w:val="009146BC"/>
    <w:rsid w:val="00914D75"/>
    <w:rsid w:val="00916637"/>
    <w:rsid w:val="00917D06"/>
    <w:rsid w:val="009204CF"/>
    <w:rsid w:val="009205C9"/>
    <w:rsid w:val="009224C2"/>
    <w:rsid w:val="00924EE3"/>
    <w:rsid w:val="00931F79"/>
    <w:rsid w:val="0093306E"/>
    <w:rsid w:val="00933556"/>
    <w:rsid w:val="00940EF7"/>
    <w:rsid w:val="009433B3"/>
    <w:rsid w:val="0094455F"/>
    <w:rsid w:val="00950492"/>
    <w:rsid w:val="00951B66"/>
    <w:rsid w:val="00957C3D"/>
    <w:rsid w:val="00960E5D"/>
    <w:rsid w:val="0096169E"/>
    <w:rsid w:val="009623B9"/>
    <w:rsid w:val="00963468"/>
    <w:rsid w:val="00966D58"/>
    <w:rsid w:val="009728F6"/>
    <w:rsid w:val="00973536"/>
    <w:rsid w:val="00975893"/>
    <w:rsid w:val="009778E7"/>
    <w:rsid w:val="00980A30"/>
    <w:rsid w:val="00984006"/>
    <w:rsid w:val="00985A7D"/>
    <w:rsid w:val="009860C8"/>
    <w:rsid w:val="0098713F"/>
    <w:rsid w:val="00990939"/>
    <w:rsid w:val="00991F9B"/>
    <w:rsid w:val="00995D48"/>
    <w:rsid w:val="009A3708"/>
    <w:rsid w:val="009A5675"/>
    <w:rsid w:val="009B2E00"/>
    <w:rsid w:val="009B5063"/>
    <w:rsid w:val="009B787D"/>
    <w:rsid w:val="009B7AE5"/>
    <w:rsid w:val="009C19AB"/>
    <w:rsid w:val="009C1E02"/>
    <w:rsid w:val="009C278C"/>
    <w:rsid w:val="009D0169"/>
    <w:rsid w:val="009D329A"/>
    <w:rsid w:val="009D5704"/>
    <w:rsid w:val="009F5C05"/>
    <w:rsid w:val="009F7BA2"/>
    <w:rsid w:val="00A018FE"/>
    <w:rsid w:val="00A060B3"/>
    <w:rsid w:val="00A11A3A"/>
    <w:rsid w:val="00A16FC0"/>
    <w:rsid w:val="00A17113"/>
    <w:rsid w:val="00A2203D"/>
    <w:rsid w:val="00A2248D"/>
    <w:rsid w:val="00A243DF"/>
    <w:rsid w:val="00A27877"/>
    <w:rsid w:val="00A34A0B"/>
    <w:rsid w:val="00A36922"/>
    <w:rsid w:val="00A40AE7"/>
    <w:rsid w:val="00A44445"/>
    <w:rsid w:val="00A47646"/>
    <w:rsid w:val="00A51F0A"/>
    <w:rsid w:val="00A52F22"/>
    <w:rsid w:val="00A530E5"/>
    <w:rsid w:val="00A54687"/>
    <w:rsid w:val="00A54EC4"/>
    <w:rsid w:val="00A57259"/>
    <w:rsid w:val="00A6206C"/>
    <w:rsid w:val="00A6542F"/>
    <w:rsid w:val="00A666D9"/>
    <w:rsid w:val="00A726E0"/>
    <w:rsid w:val="00A840D0"/>
    <w:rsid w:val="00A90E3E"/>
    <w:rsid w:val="00A91281"/>
    <w:rsid w:val="00A93C35"/>
    <w:rsid w:val="00A93F72"/>
    <w:rsid w:val="00A94F8E"/>
    <w:rsid w:val="00AA37BA"/>
    <w:rsid w:val="00AA62C3"/>
    <w:rsid w:val="00AA65F3"/>
    <w:rsid w:val="00AA6BE0"/>
    <w:rsid w:val="00AC0755"/>
    <w:rsid w:val="00AC2B26"/>
    <w:rsid w:val="00AC2F81"/>
    <w:rsid w:val="00AC68C1"/>
    <w:rsid w:val="00AC72DB"/>
    <w:rsid w:val="00AC7F3E"/>
    <w:rsid w:val="00AD7130"/>
    <w:rsid w:val="00AE03B1"/>
    <w:rsid w:val="00AE2A38"/>
    <w:rsid w:val="00AE7603"/>
    <w:rsid w:val="00AE7940"/>
    <w:rsid w:val="00AF1DE4"/>
    <w:rsid w:val="00B024E6"/>
    <w:rsid w:val="00B048CB"/>
    <w:rsid w:val="00B06174"/>
    <w:rsid w:val="00B06B82"/>
    <w:rsid w:val="00B11D4F"/>
    <w:rsid w:val="00B205FE"/>
    <w:rsid w:val="00B209B0"/>
    <w:rsid w:val="00B24A76"/>
    <w:rsid w:val="00B26EDD"/>
    <w:rsid w:val="00B338DB"/>
    <w:rsid w:val="00B33FF5"/>
    <w:rsid w:val="00B4182A"/>
    <w:rsid w:val="00B44AB1"/>
    <w:rsid w:val="00B45D31"/>
    <w:rsid w:val="00B527D8"/>
    <w:rsid w:val="00B52C8E"/>
    <w:rsid w:val="00B556B9"/>
    <w:rsid w:val="00B5604D"/>
    <w:rsid w:val="00B71F5F"/>
    <w:rsid w:val="00B72ECB"/>
    <w:rsid w:val="00B8109C"/>
    <w:rsid w:val="00B83F1F"/>
    <w:rsid w:val="00B8530D"/>
    <w:rsid w:val="00B92D8C"/>
    <w:rsid w:val="00B95966"/>
    <w:rsid w:val="00B95D8E"/>
    <w:rsid w:val="00BA28CC"/>
    <w:rsid w:val="00BA6275"/>
    <w:rsid w:val="00BB0239"/>
    <w:rsid w:val="00BB0C46"/>
    <w:rsid w:val="00BB315E"/>
    <w:rsid w:val="00BB67ED"/>
    <w:rsid w:val="00BC4398"/>
    <w:rsid w:val="00BD0B6B"/>
    <w:rsid w:val="00BD424B"/>
    <w:rsid w:val="00BE6C9E"/>
    <w:rsid w:val="00BF4125"/>
    <w:rsid w:val="00BF5E46"/>
    <w:rsid w:val="00BF6DE5"/>
    <w:rsid w:val="00C02F70"/>
    <w:rsid w:val="00C14A6A"/>
    <w:rsid w:val="00C16EC6"/>
    <w:rsid w:val="00C2050B"/>
    <w:rsid w:val="00C21116"/>
    <w:rsid w:val="00C224FC"/>
    <w:rsid w:val="00C25A88"/>
    <w:rsid w:val="00C30B08"/>
    <w:rsid w:val="00C321F7"/>
    <w:rsid w:val="00C33BCF"/>
    <w:rsid w:val="00C37459"/>
    <w:rsid w:val="00C374EE"/>
    <w:rsid w:val="00C40A83"/>
    <w:rsid w:val="00C4262F"/>
    <w:rsid w:val="00C4550D"/>
    <w:rsid w:val="00C47690"/>
    <w:rsid w:val="00C50EF7"/>
    <w:rsid w:val="00C54862"/>
    <w:rsid w:val="00C56F68"/>
    <w:rsid w:val="00C6471E"/>
    <w:rsid w:val="00C64B87"/>
    <w:rsid w:val="00C70BCC"/>
    <w:rsid w:val="00C70F05"/>
    <w:rsid w:val="00C736B0"/>
    <w:rsid w:val="00C77280"/>
    <w:rsid w:val="00C84BD4"/>
    <w:rsid w:val="00C85A68"/>
    <w:rsid w:val="00C876D1"/>
    <w:rsid w:val="00C9392A"/>
    <w:rsid w:val="00C969C5"/>
    <w:rsid w:val="00CA35B5"/>
    <w:rsid w:val="00CA3858"/>
    <w:rsid w:val="00CB7B1F"/>
    <w:rsid w:val="00CC017F"/>
    <w:rsid w:val="00CC1690"/>
    <w:rsid w:val="00CC39A5"/>
    <w:rsid w:val="00CC4653"/>
    <w:rsid w:val="00CD3568"/>
    <w:rsid w:val="00CE170C"/>
    <w:rsid w:val="00CE3FF2"/>
    <w:rsid w:val="00CF2F01"/>
    <w:rsid w:val="00CF4470"/>
    <w:rsid w:val="00CF6814"/>
    <w:rsid w:val="00CF7B08"/>
    <w:rsid w:val="00D054B3"/>
    <w:rsid w:val="00D10402"/>
    <w:rsid w:val="00D20DBA"/>
    <w:rsid w:val="00D2410C"/>
    <w:rsid w:val="00D25523"/>
    <w:rsid w:val="00D32F3A"/>
    <w:rsid w:val="00D361AF"/>
    <w:rsid w:val="00D36B43"/>
    <w:rsid w:val="00D36DC2"/>
    <w:rsid w:val="00D470EC"/>
    <w:rsid w:val="00D47DD6"/>
    <w:rsid w:val="00D511FB"/>
    <w:rsid w:val="00D569C4"/>
    <w:rsid w:val="00D572A3"/>
    <w:rsid w:val="00D61194"/>
    <w:rsid w:val="00D6132A"/>
    <w:rsid w:val="00D6350B"/>
    <w:rsid w:val="00D66076"/>
    <w:rsid w:val="00D66328"/>
    <w:rsid w:val="00D67E4B"/>
    <w:rsid w:val="00D70D95"/>
    <w:rsid w:val="00D75728"/>
    <w:rsid w:val="00D841CD"/>
    <w:rsid w:val="00D9679A"/>
    <w:rsid w:val="00D976F7"/>
    <w:rsid w:val="00DA200F"/>
    <w:rsid w:val="00DA41C8"/>
    <w:rsid w:val="00DA44D5"/>
    <w:rsid w:val="00DA4B54"/>
    <w:rsid w:val="00DA5005"/>
    <w:rsid w:val="00DA51C0"/>
    <w:rsid w:val="00DA591F"/>
    <w:rsid w:val="00DA6BD4"/>
    <w:rsid w:val="00DB182F"/>
    <w:rsid w:val="00DB1C09"/>
    <w:rsid w:val="00DB2439"/>
    <w:rsid w:val="00DC0B52"/>
    <w:rsid w:val="00DC3FAB"/>
    <w:rsid w:val="00DC475E"/>
    <w:rsid w:val="00DD04C2"/>
    <w:rsid w:val="00DD0EA8"/>
    <w:rsid w:val="00DD128D"/>
    <w:rsid w:val="00DD30E0"/>
    <w:rsid w:val="00DD7E66"/>
    <w:rsid w:val="00DE0C09"/>
    <w:rsid w:val="00DE24B2"/>
    <w:rsid w:val="00DE5C53"/>
    <w:rsid w:val="00DE707F"/>
    <w:rsid w:val="00DF4135"/>
    <w:rsid w:val="00DF4468"/>
    <w:rsid w:val="00E007B8"/>
    <w:rsid w:val="00E023CA"/>
    <w:rsid w:val="00E03086"/>
    <w:rsid w:val="00E03279"/>
    <w:rsid w:val="00E077F1"/>
    <w:rsid w:val="00E3209A"/>
    <w:rsid w:val="00E332B3"/>
    <w:rsid w:val="00E41B28"/>
    <w:rsid w:val="00E4433F"/>
    <w:rsid w:val="00E52854"/>
    <w:rsid w:val="00E55D71"/>
    <w:rsid w:val="00E5652D"/>
    <w:rsid w:val="00E63183"/>
    <w:rsid w:val="00E63DA6"/>
    <w:rsid w:val="00E65A47"/>
    <w:rsid w:val="00E70598"/>
    <w:rsid w:val="00E72A92"/>
    <w:rsid w:val="00E73DA3"/>
    <w:rsid w:val="00E77264"/>
    <w:rsid w:val="00E8020D"/>
    <w:rsid w:val="00E82BB8"/>
    <w:rsid w:val="00E8338E"/>
    <w:rsid w:val="00E84543"/>
    <w:rsid w:val="00E85858"/>
    <w:rsid w:val="00E93EA5"/>
    <w:rsid w:val="00E9571F"/>
    <w:rsid w:val="00EA1F4E"/>
    <w:rsid w:val="00EA2897"/>
    <w:rsid w:val="00EA47D2"/>
    <w:rsid w:val="00EA5893"/>
    <w:rsid w:val="00EA5E7B"/>
    <w:rsid w:val="00EB4713"/>
    <w:rsid w:val="00EB4DEE"/>
    <w:rsid w:val="00EB50E7"/>
    <w:rsid w:val="00EC1798"/>
    <w:rsid w:val="00EC3865"/>
    <w:rsid w:val="00EC72E4"/>
    <w:rsid w:val="00EE5861"/>
    <w:rsid w:val="00EE7493"/>
    <w:rsid w:val="00EF014B"/>
    <w:rsid w:val="00EF3878"/>
    <w:rsid w:val="00EF5320"/>
    <w:rsid w:val="00EF5E61"/>
    <w:rsid w:val="00F00CAD"/>
    <w:rsid w:val="00F048E9"/>
    <w:rsid w:val="00F138F6"/>
    <w:rsid w:val="00F15618"/>
    <w:rsid w:val="00F221CE"/>
    <w:rsid w:val="00F248B0"/>
    <w:rsid w:val="00F307A8"/>
    <w:rsid w:val="00F31116"/>
    <w:rsid w:val="00F32655"/>
    <w:rsid w:val="00F33941"/>
    <w:rsid w:val="00F35C0B"/>
    <w:rsid w:val="00F41030"/>
    <w:rsid w:val="00F44278"/>
    <w:rsid w:val="00F5073F"/>
    <w:rsid w:val="00F551C2"/>
    <w:rsid w:val="00F56630"/>
    <w:rsid w:val="00F66A11"/>
    <w:rsid w:val="00F74587"/>
    <w:rsid w:val="00F80634"/>
    <w:rsid w:val="00F81508"/>
    <w:rsid w:val="00F820C8"/>
    <w:rsid w:val="00F83762"/>
    <w:rsid w:val="00F90C68"/>
    <w:rsid w:val="00F91CD9"/>
    <w:rsid w:val="00F91FAD"/>
    <w:rsid w:val="00F93228"/>
    <w:rsid w:val="00F973AB"/>
    <w:rsid w:val="00F97F29"/>
    <w:rsid w:val="00FA5788"/>
    <w:rsid w:val="00FA5BFF"/>
    <w:rsid w:val="00FB04A6"/>
    <w:rsid w:val="00FB3546"/>
    <w:rsid w:val="00FB3673"/>
    <w:rsid w:val="00FC3D89"/>
    <w:rsid w:val="00FC3FC8"/>
    <w:rsid w:val="00FC46B2"/>
    <w:rsid w:val="00FC62A4"/>
    <w:rsid w:val="00FC7354"/>
    <w:rsid w:val="00FD3AF6"/>
    <w:rsid w:val="00FD3F25"/>
    <w:rsid w:val="00FD6339"/>
    <w:rsid w:val="00FE3B79"/>
    <w:rsid w:val="00FE4AF9"/>
    <w:rsid w:val="00FF098D"/>
    <w:rsid w:val="00FF3BAA"/>
    <w:rsid w:val="00FF478A"/>
    <w:rsid w:val="00FF6FAF"/>
    <w:rsid w:val="00FF7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384"/>
    <w:rPr>
      <w:sz w:val="24"/>
      <w:szCs w:val="24"/>
    </w:rPr>
  </w:style>
  <w:style w:type="paragraph" w:styleId="Heading1">
    <w:name w:val="heading 1"/>
    <w:basedOn w:val="Normal"/>
    <w:next w:val="Normal"/>
    <w:autoRedefine/>
    <w:qFormat/>
    <w:rsid w:val="006C2954"/>
    <w:pPr>
      <w:keepNext/>
      <w:numPr>
        <w:numId w:val="18"/>
      </w:numPr>
      <w:pBdr>
        <w:bottom w:val="single" w:sz="4" w:space="1" w:color="auto"/>
      </w:pBdr>
      <w:spacing w:before="240" w:after="60"/>
      <w:outlineLvl w:val="0"/>
    </w:pPr>
    <w:rPr>
      <w:rFonts w:ascii="Arial" w:hAnsi="Arial" w:cs="Arial"/>
      <w:b/>
      <w:bCs/>
      <w:kern w:val="32"/>
      <w:sz w:val="32"/>
      <w:szCs w:val="32"/>
    </w:rPr>
  </w:style>
  <w:style w:type="paragraph" w:styleId="Heading2">
    <w:name w:val="heading 2"/>
    <w:basedOn w:val="Normal"/>
    <w:next w:val="Normal"/>
    <w:link w:val="Heading2Char"/>
    <w:autoRedefine/>
    <w:qFormat/>
    <w:rsid w:val="004733A6"/>
    <w:pPr>
      <w:keepNext/>
      <w:numPr>
        <w:ilvl w:val="1"/>
        <w:numId w:val="10"/>
      </w:numPr>
      <w:spacing w:before="240" w:after="60"/>
      <w:outlineLvl w:val="1"/>
    </w:pPr>
    <w:rPr>
      <w:rFonts w:ascii="Arial" w:hAnsi="Arial" w:cs="Arial"/>
      <w:b/>
      <w:bCs/>
      <w:i/>
      <w:iCs/>
      <w:sz w:val="28"/>
      <w:szCs w:val="28"/>
    </w:rPr>
  </w:style>
  <w:style w:type="paragraph" w:styleId="Heading3">
    <w:name w:val="heading 3"/>
    <w:basedOn w:val="Normal"/>
    <w:next w:val="Normal"/>
    <w:autoRedefine/>
    <w:qFormat/>
    <w:rsid w:val="006C2954"/>
    <w:pPr>
      <w:keepNext/>
      <w:numPr>
        <w:ilvl w:val="2"/>
        <w:numId w:val="18"/>
      </w:numPr>
      <w:spacing w:before="240" w:after="60"/>
      <w:outlineLvl w:val="2"/>
    </w:pPr>
    <w:rPr>
      <w:rFonts w:ascii="Arial" w:hAnsi="Arial" w:cs="Arial"/>
      <w:b/>
      <w:bCs/>
      <w:sz w:val="26"/>
      <w:szCs w:val="26"/>
    </w:rPr>
  </w:style>
  <w:style w:type="paragraph" w:styleId="Heading5">
    <w:name w:val="heading 5"/>
    <w:basedOn w:val="Normal"/>
    <w:next w:val="Normal"/>
    <w:qFormat/>
    <w:rsid w:val="006C62CB"/>
    <w:pPr>
      <w:spacing w:before="240" w:after="60"/>
      <w:outlineLvl w:val="4"/>
    </w:pPr>
    <w:rPr>
      <w:b/>
      <w:bCs/>
      <w:i/>
      <w:iCs/>
      <w:sz w:val="26"/>
      <w:szCs w:val="26"/>
    </w:rPr>
  </w:style>
  <w:style w:type="paragraph" w:styleId="Heading6">
    <w:name w:val="heading 6"/>
    <w:basedOn w:val="Normal"/>
    <w:next w:val="Normal"/>
    <w:qFormat/>
    <w:rsid w:val="006C62C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CDB">
    <w:name w:val="Table Style CDB"/>
    <w:basedOn w:val="TableGrid"/>
    <w:rsid w:val="00940EF7"/>
    <w:rPr>
      <w:sz w:val="24"/>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tblPr/>
      <w:tcPr>
        <w:tcBorders>
          <w:bottom w:val="single" w:sz="4" w:space="0" w:color="auto"/>
        </w:tcBorders>
      </w:tcPr>
    </w:tblStylePr>
  </w:style>
  <w:style w:type="table" w:styleId="TableGrid">
    <w:name w:val="Table Grid"/>
    <w:basedOn w:val="TableNormal"/>
    <w:rsid w:val="00940E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endix1">
    <w:name w:val="Appendix 1"/>
    <w:basedOn w:val="Heading1"/>
    <w:next w:val="Normal"/>
    <w:autoRedefine/>
    <w:rsid w:val="00611212"/>
    <w:pPr>
      <w:numPr>
        <w:numId w:val="8"/>
      </w:numPr>
    </w:pPr>
  </w:style>
  <w:style w:type="paragraph" w:styleId="Header">
    <w:name w:val="header"/>
    <w:basedOn w:val="Normal"/>
    <w:link w:val="HeaderChar"/>
    <w:rsid w:val="003E2F28"/>
    <w:pPr>
      <w:tabs>
        <w:tab w:val="center" w:pos="4320"/>
        <w:tab w:val="right" w:pos="8640"/>
      </w:tabs>
    </w:pPr>
  </w:style>
  <w:style w:type="paragraph" w:styleId="Footer">
    <w:name w:val="footer"/>
    <w:basedOn w:val="Normal"/>
    <w:link w:val="FooterChar"/>
    <w:uiPriority w:val="99"/>
    <w:rsid w:val="003E2F28"/>
    <w:pPr>
      <w:tabs>
        <w:tab w:val="center" w:pos="4320"/>
        <w:tab w:val="right" w:pos="8640"/>
      </w:tabs>
    </w:pPr>
  </w:style>
  <w:style w:type="paragraph" w:styleId="TOC1">
    <w:name w:val="toc 1"/>
    <w:basedOn w:val="Normal"/>
    <w:next w:val="Normal"/>
    <w:autoRedefine/>
    <w:uiPriority w:val="39"/>
    <w:rsid w:val="005F5769"/>
    <w:pPr>
      <w:spacing w:before="240" w:after="120"/>
    </w:pPr>
    <w:rPr>
      <w:b/>
      <w:bCs/>
      <w:sz w:val="20"/>
      <w:szCs w:val="20"/>
    </w:rPr>
  </w:style>
  <w:style w:type="paragraph" w:styleId="TOC2">
    <w:name w:val="toc 2"/>
    <w:basedOn w:val="Normal"/>
    <w:next w:val="Normal"/>
    <w:autoRedefine/>
    <w:uiPriority w:val="39"/>
    <w:rsid w:val="005F5769"/>
    <w:pPr>
      <w:spacing w:before="120"/>
      <w:ind w:left="240"/>
    </w:pPr>
    <w:rPr>
      <w:i/>
      <w:iCs/>
      <w:sz w:val="20"/>
      <w:szCs w:val="20"/>
    </w:rPr>
  </w:style>
  <w:style w:type="paragraph" w:styleId="TOC3">
    <w:name w:val="toc 3"/>
    <w:basedOn w:val="Normal"/>
    <w:next w:val="Normal"/>
    <w:autoRedefine/>
    <w:semiHidden/>
    <w:rsid w:val="005F5769"/>
    <w:pPr>
      <w:ind w:left="480"/>
    </w:pPr>
    <w:rPr>
      <w:sz w:val="20"/>
      <w:szCs w:val="20"/>
    </w:rPr>
  </w:style>
  <w:style w:type="paragraph" w:styleId="TOC4">
    <w:name w:val="toc 4"/>
    <w:basedOn w:val="Normal"/>
    <w:next w:val="Normal"/>
    <w:autoRedefine/>
    <w:semiHidden/>
    <w:rsid w:val="005F5769"/>
    <w:pPr>
      <w:ind w:left="720"/>
    </w:pPr>
    <w:rPr>
      <w:sz w:val="20"/>
      <w:szCs w:val="20"/>
    </w:rPr>
  </w:style>
  <w:style w:type="paragraph" w:styleId="TOC5">
    <w:name w:val="toc 5"/>
    <w:basedOn w:val="Normal"/>
    <w:next w:val="Normal"/>
    <w:autoRedefine/>
    <w:semiHidden/>
    <w:rsid w:val="005F5769"/>
    <w:pPr>
      <w:ind w:left="960"/>
    </w:pPr>
    <w:rPr>
      <w:sz w:val="20"/>
      <w:szCs w:val="20"/>
    </w:rPr>
  </w:style>
  <w:style w:type="paragraph" w:styleId="TOC6">
    <w:name w:val="toc 6"/>
    <w:basedOn w:val="Normal"/>
    <w:next w:val="Normal"/>
    <w:autoRedefine/>
    <w:semiHidden/>
    <w:rsid w:val="005F5769"/>
    <w:pPr>
      <w:ind w:left="1200"/>
    </w:pPr>
    <w:rPr>
      <w:sz w:val="20"/>
      <w:szCs w:val="20"/>
    </w:rPr>
  </w:style>
  <w:style w:type="paragraph" w:styleId="TOC7">
    <w:name w:val="toc 7"/>
    <w:basedOn w:val="Normal"/>
    <w:next w:val="Normal"/>
    <w:autoRedefine/>
    <w:semiHidden/>
    <w:rsid w:val="005F5769"/>
    <w:pPr>
      <w:ind w:left="1440"/>
    </w:pPr>
    <w:rPr>
      <w:sz w:val="20"/>
      <w:szCs w:val="20"/>
    </w:rPr>
  </w:style>
  <w:style w:type="paragraph" w:styleId="TOC8">
    <w:name w:val="toc 8"/>
    <w:basedOn w:val="Normal"/>
    <w:next w:val="Normal"/>
    <w:autoRedefine/>
    <w:semiHidden/>
    <w:rsid w:val="005F5769"/>
    <w:pPr>
      <w:ind w:left="1680"/>
    </w:pPr>
    <w:rPr>
      <w:sz w:val="20"/>
      <w:szCs w:val="20"/>
    </w:rPr>
  </w:style>
  <w:style w:type="paragraph" w:styleId="TOC9">
    <w:name w:val="toc 9"/>
    <w:basedOn w:val="Normal"/>
    <w:next w:val="Normal"/>
    <w:autoRedefine/>
    <w:semiHidden/>
    <w:rsid w:val="005F5769"/>
    <w:pPr>
      <w:ind w:left="1920"/>
    </w:pPr>
    <w:rPr>
      <w:sz w:val="20"/>
      <w:szCs w:val="20"/>
    </w:rPr>
  </w:style>
  <w:style w:type="character" w:styleId="Hyperlink">
    <w:name w:val="Hyperlink"/>
    <w:uiPriority w:val="99"/>
    <w:rsid w:val="005F5769"/>
    <w:rPr>
      <w:color w:val="0000FF"/>
      <w:u w:val="single"/>
    </w:rPr>
  </w:style>
  <w:style w:type="character" w:styleId="PageNumber">
    <w:name w:val="page number"/>
    <w:basedOn w:val="DefaultParagraphFont"/>
    <w:rsid w:val="003E2F28"/>
  </w:style>
  <w:style w:type="paragraph" w:customStyle="1" w:styleId="Default">
    <w:name w:val="Default"/>
    <w:rsid w:val="00957C3D"/>
    <w:pPr>
      <w:autoSpaceDE w:val="0"/>
      <w:autoSpaceDN w:val="0"/>
      <w:adjustRightInd w:val="0"/>
    </w:pPr>
    <w:rPr>
      <w:color w:val="000000"/>
      <w:sz w:val="24"/>
      <w:szCs w:val="24"/>
    </w:rPr>
  </w:style>
  <w:style w:type="character" w:styleId="FollowedHyperlink">
    <w:name w:val="FollowedHyperlink"/>
    <w:rsid w:val="0005345B"/>
    <w:rPr>
      <w:color w:val="606420"/>
      <w:u w:val="single"/>
    </w:rPr>
  </w:style>
  <w:style w:type="paragraph" w:styleId="BalloonText">
    <w:name w:val="Balloon Text"/>
    <w:basedOn w:val="Normal"/>
    <w:link w:val="BalloonTextChar"/>
    <w:uiPriority w:val="99"/>
    <w:semiHidden/>
    <w:unhideWhenUsed/>
    <w:rsid w:val="00F00CAD"/>
    <w:rPr>
      <w:rFonts w:ascii="Tahoma" w:hAnsi="Tahoma" w:cs="Tahoma"/>
      <w:sz w:val="16"/>
      <w:szCs w:val="16"/>
    </w:rPr>
  </w:style>
  <w:style w:type="character" w:customStyle="1" w:styleId="BalloonTextChar">
    <w:name w:val="Balloon Text Char"/>
    <w:basedOn w:val="DefaultParagraphFont"/>
    <w:link w:val="BalloonText"/>
    <w:uiPriority w:val="99"/>
    <w:semiHidden/>
    <w:rsid w:val="00F00CAD"/>
    <w:rPr>
      <w:rFonts w:ascii="Tahoma" w:hAnsi="Tahoma" w:cs="Tahoma"/>
      <w:sz w:val="16"/>
      <w:szCs w:val="16"/>
    </w:rPr>
  </w:style>
  <w:style w:type="paragraph" w:customStyle="1" w:styleId="cntindent364">
    <w:name w:val="cntindent364"/>
    <w:basedOn w:val="Normal"/>
    <w:rsid w:val="00975893"/>
    <w:pPr>
      <w:spacing w:before="100" w:beforeAutospacing="1" w:after="100" w:afterAutospacing="1" w:line="343" w:lineRule="atLeast"/>
      <w:ind w:left="300"/>
    </w:pPr>
  </w:style>
  <w:style w:type="character" w:customStyle="1" w:styleId="HeaderChar">
    <w:name w:val="Header Char"/>
    <w:basedOn w:val="DefaultParagraphFont"/>
    <w:link w:val="Header"/>
    <w:rsid w:val="004D7305"/>
    <w:rPr>
      <w:sz w:val="24"/>
      <w:szCs w:val="24"/>
    </w:rPr>
  </w:style>
  <w:style w:type="character" w:styleId="CommentReference">
    <w:name w:val="annotation reference"/>
    <w:basedOn w:val="DefaultParagraphFont"/>
    <w:uiPriority w:val="99"/>
    <w:semiHidden/>
    <w:unhideWhenUsed/>
    <w:rsid w:val="00C25A88"/>
    <w:rPr>
      <w:sz w:val="16"/>
      <w:szCs w:val="16"/>
    </w:rPr>
  </w:style>
  <w:style w:type="paragraph" w:styleId="CommentText">
    <w:name w:val="annotation text"/>
    <w:basedOn w:val="Normal"/>
    <w:link w:val="CommentTextChar"/>
    <w:uiPriority w:val="99"/>
    <w:semiHidden/>
    <w:unhideWhenUsed/>
    <w:rsid w:val="00C25A88"/>
    <w:rPr>
      <w:sz w:val="20"/>
      <w:szCs w:val="20"/>
    </w:rPr>
  </w:style>
  <w:style w:type="character" w:customStyle="1" w:styleId="CommentTextChar">
    <w:name w:val="Comment Text Char"/>
    <w:basedOn w:val="DefaultParagraphFont"/>
    <w:link w:val="CommentText"/>
    <w:uiPriority w:val="99"/>
    <w:semiHidden/>
    <w:rsid w:val="00C25A88"/>
  </w:style>
  <w:style w:type="paragraph" w:styleId="CommentSubject">
    <w:name w:val="annotation subject"/>
    <w:basedOn w:val="CommentText"/>
    <w:next w:val="CommentText"/>
    <w:link w:val="CommentSubjectChar"/>
    <w:uiPriority w:val="99"/>
    <w:semiHidden/>
    <w:unhideWhenUsed/>
    <w:rsid w:val="00C25A88"/>
    <w:rPr>
      <w:b/>
      <w:bCs/>
    </w:rPr>
  </w:style>
  <w:style w:type="character" w:customStyle="1" w:styleId="CommentSubjectChar">
    <w:name w:val="Comment Subject Char"/>
    <w:basedOn w:val="CommentTextChar"/>
    <w:link w:val="CommentSubject"/>
    <w:uiPriority w:val="99"/>
    <w:semiHidden/>
    <w:rsid w:val="00C25A88"/>
    <w:rPr>
      <w:b/>
      <w:bCs/>
    </w:rPr>
  </w:style>
  <w:style w:type="character" w:customStyle="1" w:styleId="Heading2Char">
    <w:name w:val="Heading 2 Char"/>
    <w:basedOn w:val="DefaultParagraphFont"/>
    <w:link w:val="Heading2"/>
    <w:rsid w:val="004733A6"/>
    <w:rPr>
      <w:rFonts w:ascii="Arial" w:hAnsi="Arial" w:cs="Arial"/>
      <w:b/>
      <w:bCs/>
      <w:i/>
      <w:iCs/>
      <w:sz w:val="28"/>
      <w:szCs w:val="28"/>
    </w:rPr>
  </w:style>
  <w:style w:type="character" w:customStyle="1" w:styleId="FooterChar">
    <w:name w:val="Footer Char"/>
    <w:basedOn w:val="DefaultParagraphFont"/>
    <w:link w:val="Footer"/>
    <w:uiPriority w:val="99"/>
    <w:rsid w:val="005E6E9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384"/>
    <w:rPr>
      <w:sz w:val="24"/>
      <w:szCs w:val="24"/>
    </w:rPr>
  </w:style>
  <w:style w:type="paragraph" w:styleId="Heading1">
    <w:name w:val="heading 1"/>
    <w:basedOn w:val="Normal"/>
    <w:next w:val="Normal"/>
    <w:autoRedefine/>
    <w:qFormat/>
    <w:rsid w:val="006C2954"/>
    <w:pPr>
      <w:keepNext/>
      <w:numPr>
        <w:numId w:val="18"/>
      </w:numPr>
      <w:pBdr>
        <w:bottom w:val="single" w:sz="4" w:space="1" w:color="auto"/>
      </w:pBdr>
      <w:spacing w:before="240" w:after="60"/>
      <w:outlineLvl w:val="0"/>
    </w:pPr>
    <w:rPr>
      <w:rFonts w:ascii="Arial" w:hAnsi="Arial" w:cs="Arial"/>
      <w:b/>
      <w:bCs/>
      <w:kern w:val="32"/>
      <w:sz w:val="32"/>
      <w:szCs w:val="32"/>
    </w:rPr>
  </w:style>
  <w:style w:type="paragraph" w:styleId="Heading2">
    <w:name w:val="heading 2"/>
    <w:basedOn w:val="Normal"/>
    <w:next w:val="Normal"/>
    <w:link w:val="Heading2Char"/>
    <w:autoRedefine/>
    <w:qFormat/>
    <w:rsid w:val="004733A6"/>
    <w:pPr>
      <w:keepNext/>
      <w:numPr>
        <w:ilvl w:val="1"/>
        <w:numId w:val="10"/>
      </w:numPr>
      <w:spacing w:before="240" w:after="60"/>
      <w:outlineLvl w:val="1"/>
    </w:pPr>
    <w:rPr>
      <w:rFonts w:ascii="Arial" w:hAnsi="Arial" w:cs="Arial"/>
      <w:b/>
      <w:bCs/>
      <w:i/>
      <w:iCs/>
      <w:sz w:val="28"/>
      <w:szCs w:val="28"/>
    </w:rPr>
  </w:style>
  <w:style w:type="paragraph" w:styleId="Heading3">
    <w:name w:val="heading 3"/>
    <w:basedOn w:val="Normal"/>
    <w:next w:val="Normal"/>
    <w:autoRedefine/>
    <w:qFormat/>
    <w:rsid w:val="006C2954"/>
    <w:pPr>
      <w:keepNext/>
      <w:numPr>
        <w:ilvl w:val="2"/>
        <w:numId w:val="18"/>
      </w:numPr>
      <w:spacing w:before="240" w:after="60"/>
      <w:outlineLvl w:val="2"/>
    </w:pPr>
    <w:rPr>
      <w:rFonts w:ascii="Arial" w:hAnsi="Arial" w:cs="Arial"/>
      <w:b/>
      <w:bCs/>
      <w:sz w:val="26"/>
      <w:szCs w:val="26"/>
    </w:rPr>
  </w:style>
  <w:style w:type="paragraph" w:styleId="Heading5">
    <w:name w:val="heading 5"/>
    <w:basedOn w:val="Normal"/>
    <w:next w:val="Normal"/>
    <w:qFormat/>
    <w:rsid w:val="006C62CB"/>
    <w:pPr>
      <w:spacing w:before="240" w:after="60"/>
      <w:outlineLvl w:val="4"/>
    </w:pPr>
    <w:rPr>
      <w:b/>
      <w:bCs/>
      <w:i/>
      <w:iCs/>
      <w:sz w:val="26"/>
      <w:szCs w:val="26"/>
    </w:rPr>
  </w:style>
  <w:style w:type="paragraph" w:styleId="Heading6">
    <w:name w:val="heading 6"/>
    <w:basedOn w:val="Normal"/>
    <w:next w:val="Normal"/>
    <w:qFormat/>
    <w:rsid w:val="006C62C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CDB">
    <w:name w:val="Table Style CDB"/>
    <w:basedOn w:val="TableGrid"/>
    <w:rsid w:val="00940EF7"/>
    <w:rPr>
      <w:sz w:val="24"/>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tblPr/>
      <w:tcPr>
        <w:tcBorders>
          <w:bottom w:val="single" w:sz="4" w:space="0" w:color="auto"/>
        </w:tcBorders>
      </w:tcPr>
    </w:tblStylePr>
  </w:style>
  <w:style w:type="table" w:styleId="TableGrid">
    <w:name w:val="Table Grid"/>
    <w:basedOn w:val="TableNormal"/>
    <w:rsid w:val="00940E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endix1">
    <w:name w:val="Appendix 1"/>
    <w:basedOn w:val="Heading1"/>
    <w:next w:val="Normal"/>
    <w:autoRedefine/>
    <w:rsid w:val="00611212"/>
    <w:pPr>
      <w:numPr>
        <w:numId w:val="8"/>
      </w:numPr>
    </w:pPr>
  </w:style>
  <w:style w:type="paragraph" w:styleId="Header">
    <w:name w:val="header"/>
    <w:basedOn w:val="Normal"/>
    <w:link w:val="HeaderChar"/>
    <w:rsid w:val="003E2F28"/>
    <w:pPr>
      <w:tabs>
        <w:tab w:val="center" w:pos="4320"/>
        <w:tab w:val="right" w:pos="8640"/>
      </w:tabs>
    </w:pPr>
  </w:style>
  <w:style w:type="paragraph" w:styleId="Footer">
    <w:name w:val="footer"/>
    <w:basedOn w:val="Normal"/>
    <w:link w:val="FooterChar"/>
    <w:uiPriority w:val="99"/>
    <w:rsid w:val="003E2F28"/>
    <w:pPr>
      <w:tabs>
        <w:tab w:val="center" w:pos="4320"/>
        <w:tab w:val="right" w:pos="8640"/>
      </w:tabs>
    </w:pPr>
  </w:style>
  <w:style w:type="paragraph" w:styleId="TOC1">
    <w:name w:val="toc 1"/>
    <w:basedOn w:val="Normal"/>
    <w:next w:val="Normal"/>
    <w:autoRedefine/>
    <w:uiPriority w:val="39"/>
    <w:rsid w:val="005F5769"/>
    <w:pPr>
      <w:spacing w:before="240" w:after="120"/>
    </w:pPr>
    <w:rPr>
      <w:b/>
      <w:bCs/>
      <w:sz w:val="20"/>
      <w:szCs w:val="20"/>
    </w:rPr>
  </w:style>
  <w:style w:type="paragraph" w:styleId="TOC2">
    <w:name w:val="toc 2"/>
    <w:basedOn w:val="Normal"/>
    <w:next w:val="Normal"/>
    <w:autoRedefine/>
    <w:uiPriority w:val="39"/>
    <w:rsid w:val="005F5769"/>
    <w:pPr>
      <w:spacing w:before="120"/>
      <w:ind w:left="240"/>
    </w:pPr>
    <w:rPr>
      <w:i/>
      <w:iCs/>
      <w:sz w:val="20"/>
      <w:szCs w:val="20"/>
    </w:rPr>
  </w:style>
  <w:style w:type="paragraph" w:styleId="TOC3">
    <w:name w:val="toc 3"/>
    <w:basedOn w:val="Normal"/>
    <w:next w:val="Normal"/>
    <w:autoRedefine/>
    <w:semiHidden/>
    <w:rsid w:val="005F5769"/>
    <w:pPr>
      <w:ind w:left="480"/>
    </w:pPr>
    <w:rPr>
      <w:sz w:val="20"/>
      <w:szCs w:val="20"/>
    </w:rPr>
  </w:style>
  <w:style w:type="paragraph" w:styleId="TOC4">
    <w:name w:val="toc 4"/>
    <w:basedOn w:val="Normal"/>
    <w:next w:val="Normal"/>
    <w:autoRedefine/>
    <w:semiHidden/>
    <w:rsid w:val="005F5769"/>
    <w:pPr>
      <w:ind w:left="720"/>
    </w:pPr>
    <w:rPr>
      <w:sz w:val="20"/>
      <w:szCs w:val="20"/>
    </w:rPr>
  </w:style>
  <w:style w:type="paragraph" w:styleId="TOC5">
    <w:name w:val="toc 5"/>
    <w:basedOn w:val="Normal"/>
    <w:next w:val="Normal"/>
    <w:autoRedefine/>
    <w:semiHidden/>
    <w:rsid w:val="005F5769"/>
    <w:pPr>
      <w:ind w:left="960"/>
    </w:pPr>
    <w:rPr>
      <w:sz w:val="20"/>
      <w:szCs w:val="20"/>
    </w:rPr>
  </w:style>
  <w:style w:type="paragraph" w:styleId="TOC6">
    <w:name w:val="toc 6"/>
    <w:basedOn w:val="Normal"/>
    <w:next w:val="Normal"/>
    <w:autoRedefine/>
    <w:semiHidden/>
    <w:rsid w:val="005F5769"/>
    <w:pPr>
      <w:ind w:left="1200"/>
    </w:pPr>
    <w:rPr>
      <w:sz w:val="20"/>
      <w:szCs w:val="20"/>
    </w:rPr>
  </w:style>
  <w:style w:type="paragraph" w:styleId="TOC7">
    <w:name w:val="toc 7"/>
    <w:basedOn w:val="Normal"/>
    <w:next w:val="Normal"/>
    <w:autoRedefine/>
    <w:semiHidden/>
    <w:rsid w:val="005F5769"/>
    <w:pPr>
      <w:ind w:left="1440"/>
    </w:pPr>
    <w:rPr>
      <w:sz w:val="20"/>
      <w:szCs w:val="20"/>
    </w:rPr>
  </w:style>
  <w:style w:type="paragraph" w:styleId="TOC8">
    <w:name w:val="toc 8"/>
    <w:basedOn w:val="Normal"/>
    <w:next w:val="Normal"/>
    <w:autoRedefine/>
    <w:semiHidden/>
    <w:rsid w:val="005F5769"/>
    <w:pPr>
      <w:ind w:left="1680"/>
    </w:pPr>
    <w:rPr>
      <w:sz w:val="20"/>
      <w:szCs w:val="20"/>
    </w:rPr>
  </w:style>
  <w:style w:type="paragraph" w:styleId="TOC9">
    <w:name w:val="toc 9"/>
    <w:basedOn w:val="Normal"/>
    <w:next w:val="Normal"/>
    <w:autoRedefine/>
    <w:semiHidden/>
    <w:rsid w:val="005F5769"/>
    <w:pPr>
      <w:ind w:left="1920"/>
    </w:pPr>
    <w:rPr>
      <w:sz w:val="20"/>
      <w:szCs w:val="20"/>
    </w:rPr>
  </w:style>
  <w:style w:type="character" w:styleId="Hyperlink">
    <w:name w:val="Hyperlink"/>
    <w:uiPriority w:val="99"/>
    <w:rsid w:val="005F5769"/>
    <w:rPr>
      <w:color w:val="0000FF"/>
      <w:u w:val="single"/>
    </w:rPr>
  </w:style>
  <w:style w:type="character" w:styleId="PageNumber">
    <w:name w:val="page number"/>
    <w:basedOn w:val="DefaultParagraphFont"/>
    <w:rsid w:val="003E2F28"/>
  </w:style>
  <w:style w:type="paragraph" w:customStyle="1" w:styleId="Default">
    <w:name w:val="Default"/>
    <w:rsid w:val="00957C3D"/>
    <w:pPr>
      <w:autoSpaceDE w:val="0"/>
      <w:autoSpaceDN w:val="0"/>
      <w:adjustRightInd w:val="0"/>
    </w:pPr>
    <w:rPr>
      <w:color w:val="000000"/>
      <w:sz w:val="24"/>
      <w:szCs w:val="24"/>
    </w:rPr>
  </w:style>
  <w:style w:type="character" w:styleId="FollowedHyperlink">
    <w:name w:val="FollowedHyperlink"/>
    <w:rsid w:val="0005345B"/>
    <w:rPr>
      <w:color w:val="606420"/>
      <w:u w:val="single"/>
    </w:rPr>
  </w:style>
  <w:style w:type="paragraph" w:styleId="BalloonText">
    <w:name w:val="Balloon Text"/>
    <w:basedOn w:val="Normal"/>
    <w:link w:val="BalloonTextChar"/>
    <w:uiPriority w:val="99"/>
    <w:semiHidden/>
    <w:unhideWhenUsed/>
    <w:rsid w:val="00F00CAD"/>
    <w:rPr>
      <w:rFonts w:ascii="Tahoma" w:hAnsi="Tahoma" w:cs="Tahoma"/>
      <w:sz w:val="16"/>
      <w:szCs w:val="16"/>
    </w:rPr>
  </w:style>
  <w:style w:type="character" w:customStyle="1" w:styleId="BalloonTextChar">
    <w:name w:val="Balloon Text Char"/>
    <w:basedOn w:val="DefaultParagraphFont"/>
    <w:link w:val="BalloonText"/>
    <w:uiPriority w:val="99"/>
    <w:semiHidden/>
    <w:rsid w:val="00F00CAD"/>
    <w:rPr>
      <w:rFonts w:ascii="Tahoma" w:hAnsi="Tahoma" w:cs="Tahoma"/>
      <w:sz w:val="16"/>
      <w:szCs w:val="16"/>
    </w:rPr>
  </w:style>
  <w:style w:type="paragraph" w:customStyle="1" w:styleId="cntindent364">
    <w:name w:val="cntindent364"/>
    <w:basedOn w:val="Normal"/>
    <w:rsid w:val="00975893"/>
    <w:pPr>
      <w:spacing w:before="100" w:beforeAutospacing="1" w:after="100" w:afterAutospacing="1" w:line="343" w:lineRule="atLeast"/>
      <w:ind w:left="300"/>
    </w:pPr>
  </w:style>
  <w:style w:type="character" w:customStyle="1" w:styleId="HeaderChar">
    <w:name w:val="Header Char"/>
    <w:basedOn w:val="DefaultParagraphFont"/>
    <w:link w:val="Header"/>
    <w:rsid w:val="004D7305"/>
    <w:rPr>
      <w:sz w:val="24"/>
      <w:szCs w:val="24"/>
    </w:rPr>
  </w:style>
  <w:style w:type="character" w:styleId="CommentReference">
    <w:name w:val="annotation reference"/>
    <w:basedOn w:val="DefaultParagraphFont"/>
    <w:uiPriority w:val="99"/>
    <w:semiHidden/>
    <w:unhideWhenUsed/>
    <w:rsid w:val="00C25A88"/>
    <w:rPr>
      <w:sz w:val="16"/>
      <w:szCs w:val="16"/>
    </w:rPr>
  </w:style>
  <w:style w:type="paragraph" w:styleId="CommentText">
    <w:name w:val="annotation text"/>
    <w:basedOn w:val="Normal"/>
    <w:link w:val="CommentTextChar"/>
    <w:uiPriority w:val="99"/>
    <w:semiHidden/>
    <w:unhideWhenUsed/>
    <w:rsid w:val="00C25A88"/>
    <w:rPr>
      <w:sz w:val="20"/>
      <w:szCs w:val="20"/>
    </w:rPr>
  </w:style>
  <w:style w:type="character" w:customStyle="1" w:styleId="CommentTextChar">
    <w:name w:val="Comment Text Char"/>
    <w:basedOn w:val="DefaultParagraphFont"/>
    <w:link w:val="CommentText"/>
    <w:uiPriority w:val="99"/>
    <w:semiHidden/>
    <w:rsid w:val="00C25A88"/>
  </w:style>
  <w:style w:type="paragraph" w:styleId="CommentSubject">
    <w:name w:val="annotation subject"/>
    <w:basedOn w:val="CommentText"/>
    <w:next w:val="CommentText"/>
    <w:link w:val="CommentSubjectChar"/>
    <w:uiPriority w:val="99"/>
    <w:semiHidden/>
    <w:unhideWhenUsed/>
    <w:rsid w:val="00C25A88"/>
    <w:rPr>
      <w:b/>
      <w:bCs/>
    </w:rPr>
  </w:style>
  <w:style w:type="character" w:customStyle="1" w:styleId="CommentSubjectChar">
    <w:name w:val="Comment Subject Char"/>
    <w:basedOn w:val="CommentTextChar"/>
    <w:link w:val="CommentSubject"/>
    <w:uiPriority w:val="99"/>
    <w:semiHidden/>
    <w:rsid w:val="00C25A88"/>
    <w:rPr>
      <w:b/>
      <w:bCs/>
    </w:rPr>
  </w:style>
  <w:style w:type="character" w:customStyle="1" w:styleId="Heading2Char">
    <w:name w:val="Heading 2 Char"/>
    <w:basedOn w:val="DefaultParagraphFont"/>
    <w:link w:val="Heading2"/>
    <w:rsid w:val="004733A6"/>
    <w:rPr>
      <w:rFonts w:ascii="Arial" w:hAnsi="Arial" w:cs="Arial"/>
      <w:b/>
      <w:bCs/>
      <w:i/>
      <w:iCs/>
      <w:sz w:val="28"/>
      <w:szCs w:val="28"/>
    </w:rPr>
  </w:style>
  <w:style w:type="character" w:customStyle="1" w:styleId="FooterChar">
    <w:name w:val="Footer Char"/>
    <w:basedOn w:val="DefaultParagraphFont"/>
    <w:link w:val="Footer"/>
    <w:uiPriority w:val="99"/>
    <w:rsid w:val="005E6E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389774">
      <w:bodyDiv w:val="1"/>
      <w:marLeft w:val="0"/>
      <w:marRight w:val="0"/>
      <w:marTop w:val="0"/>
      <w:marBottom w:val="0"/>
      <w:divBdr>
        <w:top w:val="none" w:sz="0" w:space="0" w:color="auto"/>
        <w:left w:val="none" w:sz="0" w:space="0" w:color="auto"/>
        <w:bottom w:val="none" w:sz="0" w:space="0" w:color="auto"/>
        <w:right w:val="none" w:sz="0" w:space="0" w:color="auto"/>
      </w:divBdr>
      <w:divsChild>
        <w:div w:id="1521771411">
          <w:marLeft w:val="0"/>
          <w:marRight w:val="0"/>
          <w:marTop w:val="0"/>
          <w:marBottom w:val="0"/>
          <w:divBdr>
            <w:top w:val="none" w:sz="0" w:space="0" w:color="auto"/>
            <w:left w:val="none" w:sz="0" w:space="0" w:color="auto"/>
            <w:bottom w:val="none" w:sz="0" w:space="0" w:color="auto"/>
            <w:right w:val="none" w:sz="0" w:space="0" w:color="auto"/>
          </w:divBdr>
          <w:divsChild>
            <w:div w:id="373039879">
              <w:marLeft w:val="225"/>
              <w:marRight w:val="225"/>
              <w:marTop w:val="225"/>
              <w:marBottom w:val="0"/>
              <w:divBdr>
                <w:top w:val="none" w:sz="0" w:space="0" w:color="auto"/>
                <w:left w:val="none" w:sz="0" w:space="0" w:color="auto"/>
                <w:bottom w:val="none" w:sz="0" w:space="0" w:color="auto"/>
                <w:right w:val="none" w:sz="0" w:space="0" w:color="auto"/>
              </w:divBdr>
              <w:divsChild>
                <w:div w:id="1861435350">
                  <w:marLeft w:val="0"/>
                  <w:marRight w:val="0"/>
                  <w:marTop w:val="0"/>
                  <w:marBottom w:val="0"/>
                  <w:divBdr>
                    <w:top w:val="none" w:sz="0" w:space="0" w:color="auto"/>
                    <w:left w:val="none" w:sz="0" w:space="0" w:color="auto"/>
                    <w:bottom w:val="none" w:sz="0" w:space="0" w:color="auto"/>
                    <w:right w:val="none" w:sz="0" w:space="0" w:color="auto"/>
                  </w:divBdr>
                  <w:divsChild>
                    <w:div w:id="642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oleObject" Target="embeddings/oleObject2.bin"/><Relationship Id="rId26" Type="http://schemas.openxmlformats.org/officeDocument/2006/relationships/hyperlink" Target="http://onlinelibrary.wiley.com/doi/10.1111/j.1745-6584.2005.0051.x/abstract" TargetMode="External"/><Relationship Id="rId39" Type="http://schemas.openxmlformats.org/officeDocument/2006/relationships/footer" Target="footer5.xml"/><Relationship Id="rId21" Type="http://schemas.openxmlformats.org/officeDocument/2006/relationships/hyperlink" Target="http://pubs.usgs.gov/of/2002/ofr02197/" TargetMode="External"/><Relationship Id="rId34" Type="http://schemas.openxmlformats.org/officeDocument/2006/relationships/hyperlink" Target="http://www.pacode.com/secure/data/025/chapter250/chap250toc.html" TargetMode="External"/><Relationship Id="rId42" Type="http://schemas.openxmlformats.org/officeDocument/2006/relationships/image" Target="media/image5.wmf"/><Relationship Id="rId47" Type="http://schemas.openxmlformats.org/officeDocument/2006/relationships/oleObject" Target="embeddings/oleObject6.bin"/><Relationship Id="rId50" Type="http://schemas.openxmlformats.org/officeDocument/2006/relationships/image" Target="media/image9.wmf"/><Relationship Id="rId55" Type="http://schemas.openxmlformats.org/officeDocument/2006/relationships/oleObject" Target="embeddings/oleObject10.bin"/><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wmf"/><Relationship Id="rId25" Type="http://schemas.openxmlformats.org/officeDocument/2006/relationships/hyperlink" Target="http://nepis.epa.gov/Exe/ZyNET.exe/10004674.TXT?ZyActionD=ZyDocument&amp;Client=EPA&amp;Index=2000+Thru+2005&amp;Docs=&amp;Query=FNAME%3D10004674.TXT%20or%20(%20%20(%20Calculation%20and%20use%20p%2F2%20first%20order%20rate%20constants%20for%20monitored%20natural%20attenuation%20studies%20))&amp;Time=&amp;EndTime=&amp;SearchMethod=1&amp;TocRestrict=n&amp;Toc=&amp;TocEntry=&amp;QField=&amp;QFieldYear=&amp;QFieldMonth=&amp;QFieldDay=&amp;UseQField=&amp;IntQFieldOp=1&amp;ExtQFieldOp=1&amp;XmlQuery=&amp;File=D%3A%5Czyfiles%5CIndex%20Data%5C00thru05%5CTxt%5C00000005%5C10004674.txt&amp;User=ANONYMOUS&amp;Password=anonymous&amp;SortMethod=h%7C-&amp;MaximumDocuments=10&amp;FuzzyDegree=0&amp;ImageQuality=r75g8/r75g8/x150y150g16/i425&amp;Display=p%7Cf&amp;DefSeekPage=x&amp;SearchBack=ZyActionL&amp;Back=ZyActionS&amp;BackDesc=Results%20page&amp;MaximumPages=1&amp;ZyEntry=1&amp;SeekPage=x&amp;ZyPURL" TargetMode="External"/><Relationship Id="rId33" Type="http://schemas.openxmlformats.org/officeDocument/2006/relationships/hyperlink" Target="http://www.pacode.com/secure/data/025/chapter245/chap245toc.html" TargetMode="External"/><Relationship Id="rId38" Type="http://schemas.openxmlformats.org/officeDocument/2006/relationships/hyperlink" Target="http://pa.water.usgs.gov/" TargetMode="External"/><Relationship Id="rId46" Type="http://schemas.openxmlformats.org/officeDocument/2006/relationships/image" Target="media/image7.wmf"/><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http://www.sciencedirect.com/science/article/pii/0022169487901272" TargetMode="External"/><Relationship Id="rId29" Type="http://schemas.openxmlformats.org/officeDocument/2006/relationships/hyperlink" Target="http://naldc.nal.usda.gov/download/CAT82780278/PDF" TargetMode="External"/><Relationship Id="rId41" Type="http://schemas.openxmlformats.org/officeDocument/2006/relationships/oleObject" Target="embeddings/oleObject3.bin"/><Relationship Id="rId54"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agu.org/pubs/crossref/1995/95WR00426.shtml" TargetMode="External"/><Relationship Id="rId32" Type="http://schemas.openxmlformats.org/officeDocument/2006/relationships/hyperlink" Target="http://www.swrcb.ca.gov/rwqcb4/water_issues/programs/ust/publications/domenico%20non-steady%20state%20analytical%20model%20manual.pdf" TargetMode="External"/><Relationship Id="rId37" Type="http://schemas.openxmlformats.org/officeDocument/2006/relationships/hyperlink" Target="http://www.epa.gov/athens/learn2model/part-two/onsite/" TargetMode="External"/><Relationship Id="rId40" Type="http://schemas.openxmlformats.org/officeDocument/2006/relationships/image" Target="media/image4.wmf"/><Relationship Id="rId45" Type="http://schemas.openxmlformats.org/officeDocument/2006/relationships/oleObject" Target="embeddings/oleObject5.bin"/><Relationship Id="rId53" Type="http://schemas.openxmlformats.org/officeDocument/2006/relationships/oleObject" Target="embeddings/oleObject9.bin"/><Relationship Id="rId58" Type="http://schemas.openxmlformats.org/officeDocument/2006/relationships/hyperlink" Target="file:///C:\Users\dcrownover\AppData\Local\Microsoft\Windows\Temporary%20Internet%20Files\Content.Outlook\EWGXE493\Example_A4.2.docx" TargetMode="Externa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hyperlink" Target="http://pubs.er.usgs.gov/publication/wri004166" TargetMode="External"/><Relationship Id="rId28" Type="http://schemas.openxmlformats.org/officeDocument/2006/relationships/hyperlink" Target="http://www.sciencedirect.com/science/article/pii/0098300485900032" TargetMode="External"/><Relationship Id="rId36" Type="http://schemas.openxmlformats.org/officeDocument/2006/relationships/hyperlink" Target="http://www.epa.gov/ada/csmos/models/bioscrn.html" TargetMode="External"/><Relationship Id="rId49" Type="http://schemas.openxmlformats.org/officeDocument/2006/relationships/oleObject" Target="embeddings/oleObject7.bin"/><Relationship Id="rId57" Type="http://schemas.openxmlformats.org/officeDocument/2006/relationships/hyperlink" Target="file:///C:\Users\dcrownover\AppData\Local\Microsoft\Windows\Temporary%20Internet%20Files\Content.Outlook\EWGXE493\Example_A4.1.docx" TargetMode="External"/><Relationship Id="rId10" Type="http://schemas.openxmlformats.org/officeDocument/2006/relationships/header" Target="header1.xml"/><Relationship Id="rId19" Type="http://schemas.openxmlformats.org/officeDocument/2006/relationships/hyperlink" Target="http://onlinelibrary.wiley.com/doi/10.1111/j.1745-6584.1989.tb00453.x/abstract" TargetMode="External"/><Relationship Id="rId31" Type="http://schemas.openxmlformats.org/officeDocument/2006/relationships/hyperlink" Target="http://onlinelibrary.wiley.com/doi/10.1111/j.1745-6584.1995.tb00035.x/abstract" TargetMode="External"/><Relationship Id="rId44" Type="http://schemas.openxmlformats.org/officeDocument/2006/relationships/image" Target="media/image6.wmf"/><Relationship Id="rId52" Type="http://schemas.openxmlformats.org/officeDocument/2006/relationships/image" Target="media/image10.wmf"/><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4.xml"/><Relationship Id="rId22" Type="http://schemas.openxmlformats.org/officeDocument/2006/relationships/hyperlink" Target="http://onlinelibrary.wiley.com/doi/10.1111/j.1745-6584.2010.00764.x/abstract" TargetMode="External"/><Relationship Id="rId27" Type="http://schemas.openxmlformats.org/officeDocument/2006/relationships/hyperlink" Target="http://onlinelibrary.wiley.com/doi/10.1111/j.1745-6584.2006.00281.x/abstract" TargetMode="External"/><Relationship Id="rId30" Type="http://schemas.openxmlformats.org/officeDocument/2006/relationships/hyperlink" Target="http://onlinelibrary.wiley.com/doi/10.1111/j.1745-6584.2006.00280.x/abstract" TargetMode="External"/><Relationship Id="rId35" Type="http://schemas.openxmlformats.org/officeDocument/2006/relationships/hyperlink" Target="http://www.epa.gov/ada/csmos/models/biochlor.html" TargetMode="External"/><Relationship Id="rId43" Type="http://schemas.openxmlformats.org/officeDocument/2006/relationships/oleObject" Target="embeddings/oleObject4.bin"/><Relationship Id="rId48" Type="http://schemas.openxmlformats.org/officeDocument/2006/relationships/image" Target="media/image8.wmf"/><Relationship Id="rId56" Type="http://schemas.openxmlformats.org/officeDocument/2006/relationships/image" Target="media/image12.emf"/><Relationship Id="rId8" Type="http://schemas.openxmlformats.org/officeDocument/2006/relationships/endnotes" Target="endnotes.xml"/><Relationship Id="rId51" Type="http://schemas.openxmlformats.org/officeDocument/2006/relationships/oleObject" Target="embeddings/oleObject8.bin"/><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10A44-4D35-4F3F-BC75-B4A88563C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10692</Words>
  <Characters>60951</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User’s Manual for the Quick Domenico Groundwater Fate-and-Transport Model</vt:lpstr>
    </vt:vector>
  </TitlesOfParts>
  <Company>DEP - Commonwealth of PA</Company>
  <LinksUpToDate>false</LinksUpToDate>
  <CharactersWithSpaces>71501</CharactersWithSpaces>
  <SharedDoc>false</SharedDoc>
  <HLinks>
    <vt:vector size="654" baseType="variant">
      <vt:variant>
        <vt:i4>2555935</vt:i4>
      </vt:variant>
      <vt:variant>
        <vt:i4>477</vt:i4>
      </vt:variant>
      <vt:variant>
        <vt:i4>0</vt:i4>
      </vt:variant>
      <vt:variant>
        <vt:i4>5</vt:i4>
      </vt:variant>
      <vt:variant>
        <vt:lpwstr>Example_A4.2.doc</vt:lpwstr>
      </vt:variant>
      <vt:variant>
        <vt:lpwstr/>
      </vt:variant>
      <vt:variant>
        <vt:i4>2359327</vt:i4>
      </vt:variant>
      <vt:variant>
        <vt:i4>474</vt:i4>
      </vt:variant>
      <vt:variant>
        <vt:i4>0</vt:i4>
      </vt:variant>
      <vt:variant>
        <vt:i4>5</vt:i4>
      </vt:variant>
      <vt:variant>
        <vt:lpwstr>Example_A4.1.doc</vt:lpwstr>
      </vt:variant>
      <vt:variant>
        <vt:lpwstr/>
      </vt:variant>
      <vt:variant>
        <vt:i4>1507374</vt:i4>
      </vt:variant>
      <vt:variant>
        <vt:i4>450</vt:i4>
      </vt:variant>
      <vt:variant>
        <vt:i4>0</vt:i4>
      </vt:variant>
      <vt:variant>
        <vt:i4>5</vt:i4>
      </vt:variant>
      <vt:variant>
        <vt:lpwstr/>
      </vt:variant>
      <vt:variant>
        <vt:lpwstr>_Assumptions</vt:lpwstr>
      </vt:variant>
      <vt:variant>
        <vt:i4>6291527</vt:i4>
      </vt:variant>
      <vt:variant>
        <vt:i4>447</vt:i4>
      </vt:variant>
      <vt:variant>
        <vt:i4>0</vt:i4>
      </vt:variant>
      <vt:variant>
        <vt:i4>5</vt:i4>
      </vt:variant>
      <vt:variant>
        <vt:lpwstr/>
      </vt:variant>
      <vt:variant>
        <vt:lpwstr>_QD_Model_Input</vt:lpwstr>
      </vt:variant>
      <vt:variant>
        <vt:i4>4128831</vt:i4>
      </vt:variant>
      <vt:variant>
        <vt:i4>441</vt:i4>
      </vt:variant>
      <vt:variant>
        <vt:i4>0</vt:i4>
      </vt:variant>
      <vt:variant>
        <vt:i4>5</vt:i4>
      </vt:variant>
      <vt:variant>
        <vt:lpwstr>http://www.epa.gov/athens/learn2model/part-two/onsite/</vt:lpwstr>
      </vt:variant>
      <vt:variant>
        <vt:lpwstr/>
      </vt:variant>
      <vt:variant>
        <vt:i4>3211360</vt:i4>
      </vt:variant>
      <vt:variant>
        <vt:i4>438</vt:i4>
      </vt:variant>
      <vt:variant>
        <vt:i4>0</vt:i4>
      </vt:variant>
      <vt:variant>
        <vt:i4>5</vt:i4>
      </vt:variant>
      <vt:variant>
        <vt:lpwstr>http://www.epa.gov/nrmrl/gwerd/csmos/models/footprint.html</vt:lpwstr>
      </vt:variant>
      <vt:variant>
        <vt:lpwstr/>
      </vt:variant>
      <vt:variant>
        <vt:i4>4587587</vt:i4>
      </vt:variant>
      <vt:variant>
        <vt:i4>435</vt:i4>
      </vt:variant>
      <vt:variant>
        <vt:i4>0</vt:i4>
      </vt:variant>
      <vt:variant>
        <vt:i4>5</vt:i4>
      </vt:variant>
      <vt:variant>
        <vt:lpwstr>http://www.epa.gov/ada/csmos.html</vt:lpwstr>
      </vt:variant>
      <vt:variant>
        <vt:lpwstr/>
      </vt:variant>
      <vt:variant>
        <vt:i4>5701706</vt:i4>
      </vt:variant>
      <vt:variant>
        <vt:i4>432</vt:i4>
      </vt:variant>
      <vt:variant>
        <vt:i4>0</vt:i4>
      </vt:variant>
      <vt:variant>
        <vt:i4>5</vt:i4>
      </vt:variant>
      <vt:variant>
        <vt:lpwstr>http://www.epa.gov/ada/csmos/models/bioscrn.html</vt:lpwstr>
      </vt:variant>
      <vt:variant>
        <vt:lpwstr/>
      </vt:variant>
      <vt:variant>
        <vt:i4>1572895</vt:i4>
      </vt:variant>
      <vt:variant>
        <vt:i4>429</vt:i4>
      </vt:variant>
      <vt:variant>
        <vt:i4>0</vt:i4>
      </vt:variant>
      <vt:variant>
        <vt:i4>5</vt:i4>
      </vt:variant>
      <vt:variant>
        <vt:lpwstr>http://www.epa.gov/ada/csmos/models/biochlor.html</vt:lpwstr>
      </vt:variant>
      <vt:variant>
        <vt:lpwstr/>
      </vt:variant>
      <vt:variant>
        <vt:i4>5701717</vt:i4>
      </vt:variant>
      <vt:variant>
        <vt:i4>426</vt:i4>
      </vt:variant>
      <vt:variant>
        <vt:i4>0</vt:i4>
      </vt:variant>
      <vt:variant>
        <vt:i4>5</vt:i4>
      </vt:variant>
      <vt:variant>
        <vt:lpwstr>http://www.sspa.com/Software/bioscreen.shtml</vt:lpwstr>
      </vt:variant>
      <vt:variant>
        <vt:lpwstr/>
      </vt:variant>
      <vt:variant>
        <vt:i4>8126552</vt:i4>
      </vt:variant>
      <vt:variant>
        <vt:i4>423</vt:i4>
      </vt:variant>
      <vt:variant>
        <vt:i4>0</vt:i4>
      </vt:variant>
      <vt:variant>
        <vt:i4>5</vt:i4>
      </vt:variant>
      <vt:variant>
        <vt:lpwstr>http://www.portal.state.pa.us/portal/server.pt/community/guidance___technical_tools/10316/fate___transport_analysis_tools/552019</vt:lpwstr>
      </vt:variant>
      <vt:variant>
        <vt:lpwstr/>
      </vt:variant>
      <vt:variant>
        <vt:i4>2752635</vt:i4>
      </vt:variant>
      <vt:variant>
        <vt:i4>420</vt:i4>
      </vt:variant>
      <vt:variant>
        <vt:i4>0</vt:i4>
      </vt:variant>
      <vt:variant>
        <vt:i4>5</vt:i4>
      </vt:variant>
      <vt:variant>
        <vt:lpwstr>http://www.portal.state.pa.us/portal/server.pt?open=514&amp;objID=552017&amp;mode=2</vt:lpwstr>
      </vt:variant>
      <vt:variant>
        <vt:lpwstr/>
      </vt:variant>
      <vt:variant>
        <vt:i4>4391004</vt:i4>
      </vt:variant>
      <vt:variant>
        <vt:i4>417</vt:i4>
      </vt:variant>
      <vt:variant>
        <vt:i4>0</vt:i4>
      </vt:variant>
      <vt:variant>
        <vt:i4>5</vt:i4>
      </vt:variant>
      <vt:variant>
        <vt:lpwstr>http://www.pacode.com/secure/data/025/chapter250/chap250toc.html</vt:lpwstr>
      </vt:variant>
      <vt:variant>
        <vt:lpwstr/>
      </vt:variant>
      <vt:variant>
        <vt:i4>4391004</vt:i4>
      </vt:variant>
      <vt:variant>
        <vt:i4>414</vt:i4>
      </vt:variant>
      <vt:variant>
        <vt:i4>0</vt:i4>
      </vt:variant>
      <vt:variant>
        <vt:i4>5</vt:i4>
      </vt:variant>
      <vt:variant>
        <vt:lpwstr>http://www.pacode.com/secure/data/025/chapter245/chap245toc.html</vt:lpwstr>
      </vt:variant>
      <vt:variant>
        <vt:lpwstr/>
      </vt:variant>
      <vt:variant>
        <vt:i4>3801109</vt:i4>
      </vt:variant>
      <vt:variant>
        <vt:i4>411</vt:i4>
      </vt:variant>
      <vt:variant>
        <vt:i4>0</vt:i4>
      </vt:variant>
      <vt:variant>
        <vt:i4>5</vt:i4>
      </vt:variant>
      <vt:variant>
        <vt:lpwstr>http://www.swrcb.ca.gov/rwqcb4/water_issues/programs/ust/publications/domenico non-steady state analytical model manual.pdf</vt:lpwstr>
      </vt:variant>
      <vt:variant>
        <vt:lpwstr/>
      </vt:variant>
      <vt:variant>
        <vt:i4>1638415</vt:i4>
      </vt:variant>
      <vt:variant>
        <vt:i4>408</vt:i4>
      </vt:variant>
      <vt:variant>
        <vt:i4>0</vt:i4>
      </vt:variant>
      <vt:variant>
        <vt:i4>5</vt:i4>
      </vt:variant>
      <vt:variant>
        <vt:lpwstr>http://www.epa.gov/nrmrl/pubs/540s02500/540s02500.htm</vt:lpwstr>
      </vt:variant>
      <vt:variant>
        <vt:lpwstr/>
      </vt:variant>
      <vt:variant>
        <vt:i4>1507415</vt:i4>
      </vt:variant>
      <vt:variant>
        <vt:i4>405</vt:i4>
      </vt:variant>
      <vt:variant>
        <vt:i4>0</vt:i4>
      </vt:variant>
      <vt:variant>
        <vt:i4>5</vt:i4>
      </vt:variant>
      <vt:variant>
        <vt:lpwstr>http://pubs.er.usgs.gov/publication/wri004166</vt:lpwstr>
      </vt:variant>
      <vt:variant>
        <vt:lpwstr/>
      </vt:variant>
      <vt:variant>
        <vt:i4>8192104</vt:i4>
      </vt:variant>
      <vt:variant>
        <vt:i4>402</vt:i4>
      </vt:variant>
      <vt:variant>
        <vt:i4>0</vt:i4>
      </vt:variant>
      <vt:variant>
        <vt:i4>5</vt:i4>
      </vt:variant>
      <vt:variant>
        <vt:lpwstr>http://pubs.usgs.gov/of/2002/ofr02197/</vt:lpwstr>
      </vt:variant>
      <vt:variant>
        <vt:lpwstr/>
      </vt:variant>
      <vt:variant>
        <vt:i4>6553703</vt:i4>
      </vt:variant>
      <vt:variant>
        <vt:i4>399</vt:i4>
      </vt:variant>
      <vt:variant>
        <vt:i4>0</vt:i4>
      </vt:variant>
      <vt:variant>
        <vt:i4>5</vt:i4>
      </vt:variant>
      <vt:variant>
        <vt:lpwstr/>
      </vt:variant>
      <vt:variant>
        <vt:lpwstr>_Web_Links</vt:lpwstr>
      </vt:variant>
      <vt:variant>
        <vt:i4>4522001</vt:i4>
      </vt:variant>
      <vt:variant>
        <vt:i4>396</vt:i4>
      </vt:variant>
      <vt:variant>
        <vt:i4>0</vt:i4>
      </vt:variant>
      <vt:variant>
        <vt:i4>5</vt:i4>
      </vt:variant>
      <vt:variant>
        <vt:lpwstr/>
      </vt:variant>
      <vt:variant>
        <vt:lpwstr>App5</vt:lpwstr>
      </vt:variant>
      <vt:variant>
        <vt:i4>983101</vt:i4>
      </vt:variant>
      <vt:variant>
        <vt:i4>393</vt:i4>
      </vt:variant>
      <vt:variant>
        <vt:i4>0</vt:i4>
      </vt:variant>
      <vt:variant>
        <vt:i4>5</vt:i4>
      </vt:variant>
      <vt:variant>
        <vt:lpwstr/>
      </vt:variant>
      <vt:variant>
        <vt:lpwstr>_Methodology</vt:lpwstr>
      </vt:variant>
      <vt:variant>
        <vt:i4>4522001</vt:i4>
      </vt:variant>
      <vt:variant>
        <vt:i4>390</vt:i4>
      </vt:variant>
      <vt:variant>
        <vt:i4>0</vt:i4>
      </vt:variant>
      <vt:variant>
        <vt:i4>5</vt:i4>
      </vt:variant>
      <vt:variant>
        <vt:lpwstr/>
      </vt:variant>
      <vt:variant>
        <vt:lpwstr>App5</vt:lpwstr>
      </vt:variant>
      <vt:variant>
        <vt:i4>4390929</vt:i4>
      </vt:variant>
      <vt:variant>
        <vt:i4>387</vt:i4>
      </vt:variant>
      <vt:variant>
        <vt:i4>0</vt:i4>
      </vt:variant>
      <vt:variant>
        <vt:i4>5</vt:i4>
      </vt:variant>
      <vt:variant>
        <vt:lpwstr/>
      </vt:variant>
      <vt:variant>
        <vt:lpwstr>App3</vt:lpwstr>
      </vt:variant>
      <vt:variant>
        <vt:i4>4325393</vt:i4>
      </vt:variant>
      <vt:variant>
        <vt:i4>384</vt:i4>
      </vt:variant>
      <vt:variant>
        <vt:i4>0</vt:i4>
      </vt:variant>
      <vt:variant>
        <vt:i4>5</vt:i4>
      </vt:variant>
      <vt:variant>
        <vt:lpwstr/>
      </vt:variant>
      <vt:variant>
        <vt:lpwstr>App2</vt:lpwstr>
      </vt:variant>
      <vt:variant>
        <vt:i4>6553703</vt:i4>
      </vt:variant>
      <vt:variant>
        <vt:i4>381</vt:i4>
      </vt:variant>
      <vt:variant>
        <vt:i4>0</vt:i4>
      </vt:variant>
      <vt:variant>
        <vt:i4>5</vt:i4>
      </vt:variant>
      <vt:variant>
        <vt:lpwstr/>
      </vt:variant>
      <vt:variant>
        <vt:lpwstr>_Web_Links</vt:lpwstr>
      </vt:variant>
      <vt:variant>
        <vt:i4>4325393</vt:i4>
      </vt:variant>
      <vt:variant>
        <vt:i4>378</vt:i4>
      </vt:variant>
      <vt:variant>
        <vt:i4>0</vt:i4>
      </vt:variant>
      <vt:variant>
        <vt:i4>5</vt:i4>
      </vt:variant>
      <vt:variant>
        <vt:lpwstr/>
      </vt:variant>
      <vt:variant>
        <vt:lpwstr>App2</vt:lpwstr>
      </vt:variant>
      <vt:variant>
        <vt:i4>4390929</vt:i4>
      </vt:variant>
      <vt:variant>
        <vt:i4>375</vt:i4>
      </vt:variant>
      <vt:variant>
        <vt:i4>0</vt:i4>
      </vt:variant>
      <vt:variant>
        <vt:i4>5</vt:i4>
      </vt:variant>
      <vt:variant>
        <vt:lpwstr/>
      </vt:variant>
      <vt:variant>
        <vt:lpwstr>App3</vt:lpwstr>
      </vt:variant>
      <vt:variant>
        <vt:i4>4325393</vt:i4>
      </vt:variant>
      <vt:variant>
        <vt:i4>372</vt:i4>
      </vt:variant>
      <vt:variant>
        <vt:i4>0</vt:i4>
      </vt:variant>
      <vt:variant>
        <vt:i4>5</vt:i4>
      </vt:variant>
      <vt:variant>
        <vt:lpwstr/>
      </vt:variant>
      <vt:variant>
        <vt:lpwstr>App2</vt:lpwstr>
      </vt:variant>
      <vt:variant>
        <vt:i4>983101</vt:i4>
      </vt:variant>
      <vt:variant>
        <vt:i4>369</vt:i4>
      </vt:variant>
      <vt:variant>
        <vt:i4>0</vt:i4>
      </vt:variant>
      <vt:variant>
        <vt:i4>5</vt:i4>
      </vt:variant>
      <vt:variant>
        <vt:lpwstr/>
      </vt:variant>
      <vt:variant>
        <vt:lpwstr>_Methodology</vt:lpwstr>
      </vt:variant>
      <vt:variant>
        <vt:i4>196658</vt:i4>
      </vt:variant>
      <vt:variant>
        <vt:i4>366</vt:i4>
      </vt:variant>
      <vt:variant>
        <vt:i4>0</vt:i4>
      </vt:variant>
      <vt:variant>
        <vt:i4>5</vt:i4>
      </vt:variant>
      <vt:variant>
        <vt:lpwstr/>
      </vt:variant>
      <vt:variant>
        <vt:lpwstr>_Point_Concentration_Location</vt:lpwstr>
      </vt:variant>
      <vt:variant>
        <vt:i4>1703940</vt:i4>
      </vt:variant>
      <vt:variant>
        <vt:i4>363</vt:i4>
      </vt:variant>
      <vt:variant>
        <vt:i4>0</vt:i4>
      </vt:variant>
      <vt:variant>
        <vt:i4>5</vt:i4>
      </vt:variant>
      <vt:variant>
        <vt:lpwstr/>
      </vt:variant>
      <vt:variant>
        <vt:lpwstr>_Groundwater_Velocity</vt:lpwstr>
      </vt:variant>
      <vt:variant>
        <vt:i4>7078015</vt:i4>
      </vt:variant>
      <vt:variant>
        <vt:i4>357</vt:i4>
      </vt:variant>
      <vt:variant>
        <vt:i4>0</vt:i4>
      </vt:variant>
      <vt:variant>
        <vt:i4>5</vt:i4>
      </vt:variant>
      <vt:variant>
        <vt:lpwstr/>
      </vt:variant>
      <vt:variant>
        <vt:lpwstr>_Hydraulic_Conductivity</vt:lpwstr>
      </vt:variant>
      <vt:variant>
        <vt:i4>7864430</vt:i4>
      </vt:variant>
      <vt:variant>
        <vt:i4>354</vt:i4>
      </vt:variant>
      <vt:variant>
        <vt:i4>0</vt:i4>
      </vt:variant>
      <vt:variant>
        <vt:i4>5</vt:i4>
      </vt:variant>
      <vt:variant>
        <vt:lpwstr/>
      </vt:variant>
      <vt:variant>
        <vt:lpwstr>_Retardation_Factor</vt:lpwstr>
      </vt:variant>
      <vt:variant>
        <vt:i4>7864430</vt:i4>
      </vt:variant>
      <vt:variant>
        <vt:i4>351</vt:i4>
      </vt:variant>
      <vt:variant>
        <vt:i4>0</vt:i4>
      </vt:variant>
      <vt:variant>
        <vt:i4>5</vt:i4>
      </vt:variant>
      <vt:variant>
        <vt:lpwstr/>
      </vt:variant>
      <vt:variant>
        <vt:lpwstr>_Retardation_Factor</vt:lpwstr>
      </vt:variant>
      <vt:variant>
        <vt:i4>6553703</vt:i4>
      </vt:variant>
      <vt:variant>
        <vt:i4>348</vt:i4>
      </vt:variant>
      <vt:variant>
        <vt:i4>0</vt:i4>
      </vt:variant>
      <vt:variant>
        <vt:i4>5</vt:i4>
      </vt:variant>
      <vt:variant>
        <vt:lpwstr/>
      </vt:variant>
      <vt:variant>
        <vt:lpwstr>_Web_Links</vt:lpwstr>
      </vt:variant>
      <vt:variant>
        <vt:i4>7078015</vt:i4>
      </vt:variant>
      <vt:variant>
        <vt:i4>345</vt:i4>
      </vt:variant>
      <vt:variant>
        <vt:i4>0</vt:i4>
      </vt:variant>
      <vt:variant>
        <vt:i4>5</vt:i4>
      </vt:variant>
      <vt:variant>
        <vt:lpwstr/>
      </vt:variant>
      <vt:variant>
        <vt:lpwstr>_Hydraulic_Conductivity</vt:lpwstr>
      </vt:variant>
      <vt:variant>
        <vt:i4>7864430</vt:i4>
      </vt:variant>
      <vt:variant>
        <vt:i4>342</vt:i4>
      </vt:variant>
      <vt:variant>
        <vt:i4>0</vt:i4>
      </vt:variant>
      <vt:variant>
        <vt:i4>5</vt:i4>
      </vt:variant>
      <vt:variant>
        <vt:lpwstr/>
      </vt:variant>
      <vt:variant>
        <vt:lpwstr>_Retardation_Factor</vt:lpwstr>
      </vt:variant>
      <vt:variant>
        <vt:i4>7864430</vt:i4>
      </vt:variant>
      <vt:variant>
        <vt:i4>339</vt:i4>
      </vt:variant>
      <vt:variant>
        <vt:i4>0</vt:i4>
      </vt:variant>
      <vt:variant>
        <vt:i4>5</vt:i4>
      </vt:variant>
      <vt:variant>
        <vt:lpwstr/>
      </vt:variant>
      <vt:variant>
        <vt:lpwstr>_Retardation_Factor</vt:lpwstr>
      </vt:variant>
      <vt:variant>
        <vt:i4>7078015</vt:i4>
      </vt:variant>
      <vt:variant>
        <vt:i4>333</vt:i4>
      </vt:variant>
      <vt:variant>
        <vt:i4>0</vt:i4>
      </vt:variant>
      <vt:variant>
        <vt:i4>5</vt:i4>
      </vt:variant>
      <vt:variant>
        <vt:lpwstr/>
      </vt:variant>
      <vt:variant>
        <vt:lpwstr>_Hydraulic_Conductivity</vt:lpwstr>
      </vt:variant>
      <vt:variant>
        <vt:i4>7864430</vt:i4>
      </vt:variant>
      <vt:variant>
        <vt:i4>330</vt:i4>
      </vt:variant>
      <vt:variant>
        <vt:i4>0</vt:i4>
      </vt:variant>
      <vt:variant>
        <vt:i4>5</vt:i4>
      </vt:variant>
      <vt:variant>
        <vt:lpwstr/>
      </vt:variant>
      <vt:variant>
        <vt:lpwstr>_Retardation_Factor</vt:lpwstr>
      </vt:variant>
      <vt:variant>
        <vt:i4>7078015</vt:i4>
      </vt:variant>
      <vt:variant>
        <vt:i4>327</vt:i4>
      </vt:variant>
      <vt:variant>
        <vt:i4>0</vt:i4>
      </vt:variant>
      <vt:variant>
        <vt:i4>5</vt:i4>
      </vt:variant>
      <vt:variant>
        <vt:lpwstr/>
      </vt:variant>
      <vt:variant>
        <vt:lpwstr>_Hydraulic_Conductivity</vt:lpwstr>
      </vt:variant>
      <vt:variant>
        <vt:i4>6553703</vt:i4>
      </vt:variant>
      <vt:variant>
        <vt:i4>324</vt:i4>
      </vt:variant>
      <vt:variant>
        <vt:i4>0</vt:i4>
      </vt:variant>
      <vt:variant>
        <vt:i4>5</vt:i4>
      </vt:variant>
      <vt:variant>
        <vt:lpwstr/>
      </vt:variant>
      <vt:variant>
        <vt:lpwstr>_Web_Links</vt:lpwstr>
      </vt:variant>
      <vt:variant>
        <vt:i4>4522001</vt:i4>
      </vt:variant>
      <vt:variant>
        <vt:i4>321</vt:i4>
      </vt:variant>
      <vt:variant>
        <vt:i4>0</vt:i4>
      </vt:variant>
      <vt:variant>
        <vt:i4>5</vt:i4>
      </vt:variant>
      <vt:variant>
        <vt:lpwstr/>
      </vt:variant>
      <vt:variant>
        <vt:lpwstr>App5</vt:lpwstr>
      </vt:variant>
      <vt:variant>
        <vt:i4>4325393</vt:i4>
      </vt:variant>
      <vt:variant>
        <vt:i4>318</vt:i4>
      </vt:variant>
      <vt:variant>
        <vt:i4>0</vt:i4>
      </vt:variant>
      <vt:variant>
        <vt:i4>5</vt:i4>
      </vt:variant>
      <vt:variant>
        <vt:lpwstr/>
      </vt:variant>
      <vt:variant>
        <vt:lpwstr>App2</vt:lpwstr>
      </vt:variant>
      <vt:variant>
        <vt:i4>4325393</vt:i4>
      </vt:variant>
      <vt:variant>
        <vt:i4>315</vt:i4>
      </vt:variant>
      <vt:variant>
        <vt:i4>0</vt:i4>
      </vt:variant>
      <vt:variant>
        <vt:i4>5</vt:i4>
      </vt:variant>
      <vt:variant>
        <vt:lpwstr/>
      </vt:variant>
      <vt:variant>
        <vt:lpwstr>App2</vt:lpwstr>
      </vt:variant>
      <vt:variant>
        <vt:i4>6553703</vt:i4>
      </vt:variant>
      <vt:variant>
        <vt:i4>312</vt:i4>
      </vt:variant>
      <vt:variant>
        <vt:i4>0</vt:i4>
      </vt:variant>
      <vt:variant>
        <vt:i4>5</vt:i4>
      </vt:variant>
      <vt:variant>
        <vt:lpwstr/>
      </vt:variant>
      <vt:variant>
        <vt:lpwstr>_Web_Links</vt:lpwstr>
      </vt:variant>
      <vt:variant>
        <vt:i4>3473457</vt:i4>
      </vt:variant>
      <vt:variant>
        <vt:i4>309</vt:i4>
      </vt:variant>
      <vt:variant>
        <vt:i4>0</vt:i4>
      </vt:variant>
      <vt:variant>
        <vt:i4>5</vt:i4>
      </vt:variant>
      <vt:variant>
        <vt:lpwstr/>
      </vt:variant>
      <vt:variant>
        <vt:lpwstr>_Mathematical_Approximations</vt:lpwstr>
      </vt:variant>
      <vt:variant>
        <vt:i4>4390929</vt:i4>
      </vt:variant>
      <vt:variant>
        <vt:i4>306</vt:i4>
      </vt:variant>
      <vt:variant>
        <vt:i4>0</vt:i4>
      </vt:variant>
      <vt:variant>
        <vt:i4>5</vt:i4>
      </vt:variant>
      <vt:variant>
        <vt:lpwstr/>
      </vt:variant>
      <vt:variant>
        <vt:lpwstr>App3</vt:lpwstr>
      </vt:variant>
      <vt:variant>
        <vt:i4>4390929</vt:i4>
      </vt:variant>
      <vt:variant>
        <vt:i4>303</vt:i4>
      </vt:variant>
      <vt:variant>
        <vt:i4>0</vt:i4>
      </vt:variant>
      <vt:variant>
        <vt:i4>5</vt:i4>
      </vt:variant>
      <vt:variant>
        <vt:lpwstr/>
      </vt:variant>
      <vt:variant>
        <vt:lpwstr>App3</vt:lpwstr>
      </vt:variant>
      <vt:variant>
        <vt:i4>4522001</vt:i4>
      </vt:variant>
      <vt:variant>
        <vt:i4>300</vt:i4>
      </vt:variant>
      <vt:variant>
        <vt:i4>0</vt:i4>
      </vt:variant>
      <vt:variant>
        <vt:i4>5</vt:i4>
      </vt:variant>
      <vt:variant>
        <vt:lpwstr/>
      </vt:variant>
      <vt:variant>
        <vt:lpwstr>App5</vt:lpwstr>
      </vt:variant>
      <vt:variant>
        <vt:i4>7929969</vt:i4>
      </vt:variant>
      <vt:variant>
        <vt:i4>297</vt:i4>
      </vt:variant>
      <vt:variant>
        <vt:i4>0</vt:i4>
      </vt:variant>
      <vt:variant>
        <vt:i4>5</vt:i4>
      </vt:variant>
      <vt:variant>
        <vt:lpwstr/>
      </vt:variant>
      <vt:variant>
        <vt:lpwstr>_Sensitivity_Tests</vt:lpwstr>
      </vt:variant>
      <vt:variant>
        <vt:i4>4522001</vt:i4>
      </vt:variant>
      <vt:variant>
        <vt:i4>294</vt:i4>
      </vt:variant>
      <vt:variant>
        <vt:i4>0</vt:i4>
      </vt:variant>
      <vt:variant>
        <vt:i4>5</vt:i4>
      </vt:variant>
      <vt:variant>
        <vt:lpwstr/>
      </vt:variant>
      <vt:variant>
        <vt:lpwstr>App5</vt:lpwstr>
      </vt:variant>
      <vt:variant>
        <vt:i4>4063293</vt:i4>
      </vt:variant>
      <vt:variant>
        <vt:i4>291</vt:i4>
      </vt:variant>
      <vt:variant>
        <vt:i4>0</vt:i4>
      </vt:variant>
      <vt:variant>
        <vt:i4>5</vt:i4>
      </vt:variant>
      <vt:variant>
        <vt:lpwstr/>
      </vt:variant>
      <vt:variant>
        <vt:lpwstr>_Site_Limitations</vt:lpwstr>
      </vt:variant>
      <vt:variant>
        <vt:i4>4390929</vt:i4>
      </vt:variant>
      <vt:variant>
        <vt:i4>288</vt:i4>
      </vt:variant>
      <vt:variant>
        <vt:i4>0</vt:i4>
      </vt:variant>
      <vt:variant>
        <vt:i4>5</vt:i4>
      </vt:variant>
      <vt:variant>
        <vt:lpwstr/>
      </vt:variant>
      <vt:variant>
        <vt:lpwstr>App3</vt:lpwstr>
      </vt:variant>
      <vt:variant>
        <vt:i4>6684765</vt:i4>
      </vt:variant>
      <vt:variant>
        <vt:i4>285</vt:i4>
      </vt:variant>
      <vt:variant>
        <vt:i4>0</vt:i4>
      </vt:variant>
      <vt:variant>
        <vt:i4>5</vt:i4>
      </vt:variant>
      <vt:variant>
        <vt:lpwstr/>
      </vt:variant>
      <vt:variant>
        <vt:lpwstr>_Dispersivities</vt:lpwstr>
      </vt:variant>
      <vt:variant>
        <vt:i4>4325393</vt:i4>
      </vt:variant>
      <vt:variant>
        <vt:i4>282</vt:i4>
      </vt:variant>
      <vt:variant>
        <vt:i4>0</vt:i4>
      </vt:variant>
      <vt:variant>
        <vt:i4>5</vt:i4>
      </vt:variant>
      <vt:variant>
        <vt:lpwstr/>
      </vt:variant>
      <vt:variant>
        <vt:lpwstr>App2</vt:lpwstr>
      </vt:variant>
      <vt:variant>
        <vt:i4>7078015</vt:i4>
      </vt:variant>
      <vt:variant>
        <vt:i4>279</vt:i4>
      </vt:variant>
      <vt:variant>
        <vt:i4>0</vt:i4>
      </vt:variant>
      <vt:variant>
        <vt:i4>5</vt:i4>
      </vt:variant>
      <vt:variant>
        <vt:lpwstr/>
      </vt:variant>
      <vt:variant>
        <vt:lpwstr>_Hydraulic_Conductivity</vt:lpwstr>
      </vt:variant>
      <vt:variant>
        <vt:i4>6881401</vt:i4>
      </vt:variant>
      <vt:variant>
        <vt:i4>276</vt:i4>
      </vt:variant>
      <vt:variant>
        <vt:i4>0</vt:i4>
      </vt:variant>
      <vt:variant>
        <vt:i4>5</vt:i4>
      </vt:variant>
      <vt:variant>
        <vt:lpwstr/>
      </vt:variant>
      <vt:variant>
        <vt:lpwstr>_Decay_Constant</vt:lpwstr>
      </vt:variant>
      <vt:variant>
        <vt:i4>6291527</vt:i4>
      </vt:variant>
      <vt:variant>
        <vt:i4>273</vt:i4>
      </vt:variant>
      <vt:variant>
        <vt:i4>0</vt:i4>
      </vt:variant>
      <vt:variant>
        <vt:i4>5</vt:i4>
      </vt:variant>
      <vt:variant>
        <vt:lpwstr/>
      </vt:variant>
      <vt:variant>
        <vt:lpwstr>_QD_Model_Input</vt:lpwstr>
      </vt:variant>
      <vt:variant>
        <vt:i4>6422615</vt:i4>
      </vt:variant>
      <vt:variant>
        <vt:i4>270</vt:i4>
      </vt:variant>
      <vt:variant>
        <vt:i4>0</vt:i4>
      </vt:variant>
      <vt:variant>
        <vt:i4>5</vt:i4>
      </vt:variant>
      <vt:variant>
        <vt:lpwstr/>
      </vt:variant>
      <vt:variant>
        <vt:lpwstr>_Calibrating_the_QD</vt:lpwstr>
      </vt:variant>
      <vt:variant>
        <vt:i4>6553703</vt:i4>
      </vt:variant>
      <vt:variant>
        <vt:i4>267</vt:i4>
      </vt:variant>
      <vt:variant>
        <vt:i4>0</vt:i4>
      </vt:variant>
      <vt:variant>
        <vt:i4>5</vt:i4>
      </vt:variant>
      <vt:variant>
        <vt:lpwstr/>
      </vt:variant>
      <vt:variant>
        <vt:lpwstr>_Web_Links</vt:lpwstr>
      </vt:variant>
      <vt:variant>
        <vt:i4>4522001</vt:i4>
      </vt:variant>
      <vt:variant>
        <vt:i4>264</vt:i4>
      </vt:variant>
      <vt:variant>
        <vt:i4>0</vt:i4>
      </vt:variant>
      <vt:variant>
        <vt:i4>5</vt:i4>
      </vt:variant>
      <vt:variant>
        <vt:lpwstr/>
      </vt:variant>
      <vt:variant>
        <vt:lpwstr>App5</vt:lpwstr>
      </vt:variant>
      <vt:variant>
        <vt:i4>6553703</vt:i4>
      </vt:variant>
      <vt:variant>
        <vt:i4>261</vt:i4>
      </vt:variant>
      <vt:variant>
        <vt:i4>0</vt:i4>
      </vt:variant>
      <vt:variant>
        <vt:i4>5</vt:i4>
      </vt:variant>
      <vt:variant>
        <vt:lpwstr/>
      </vt:variant>
      <vt:variant>
        <vt:lpwstr>_Web_Links</vt:lpwstr>
      </vt:variant>
      <vt:variant>
        <vt:i4>6553703</vt:i4>
      </vt:variant>
      <vt:variant>
        <vt:i4>258</vt:i4>
      </vt:variant>
      <vt:variant>
        <vt:i4>0</vt:i4>
      </vt:variant>
      <vt:variant>
        <vt:i4>5</vt:i4>
      </vt:variant>
      <vt:variant>
        <vt:lpwstr/>
      </vt:variant>
      <vt:variant>
        <vt:lpwstr>_Web_Links</vt:lpwstr>
      </vt:variant>
      <vt:variant>
        <vt:i4>6553703</vt:i4>
      </vt:variant>
      <vt:variant>
        <vt:i4>255</vt:i4>
      </vt:variant>
      <vt:variant>
        <vt:i4>0</vt:i4>
      </vt:variant>
      <vt:variant>
        <vt:i4>5</vt:i4>
      </vt:variant>
      <vt:variant>
        <vt:lpwstr/>
      </vt:variant>
      <vt:variant>
        <vt:lpwstr>_Web_Links</vt:lpwstr>
      </vt:variant>
      <vt:variant>
        <vt:i4>6553703</vt:i4>
      </vt:variant>
      <vt:variant>
        <vt:i4>252</vt:i4>
      </vt:variant>
      <vt:variant>
        <vt:i4>0</vt:i4>
      </vt:variant>
      <vt:variant>
        <vt:i4>5</vt:i4>
      </vt:variant>
      <vt:variant>
        <vt:lpwstr/>
      </vt:variant>
      <vt:variant>
        <vt:lpwstr>_Web_Links</vt:lpwstr>
      </vt:variant>
      <vt:variant>
        <vt:i4>6553703</vt:i4>
      </vt:variant>
      <vt:variant>
        <vt:i4>249</vt:i4>
      </vt:variant>
      <vt:variant>
        <vt:i4>0</vt:i4>
      </vt:variant>
      <vt:variant>
        <vt:i4>5</vt:i4>
      </vt:variant>
      <vt:variant>
        <vt:lpwstr/>
      </vt:variant>
      <vt:variant>
        <vt:lpwstr>_Web_Links</vt:lpwstr>
      </vt:variant>
      <vt:variant>
        <vt:i4>6553703</vt:i4>
      </vt:variant>
      <vt:variant>
        <vt:i4>246</vt:i4>
      </vt:variant>
      <vt:variant>
        <vt:i4>0</vt:i4>
      </vt:variant>
      <vt:variant>
        <vt:i4>5</vt:i4>
      </vt:variant>
      <vt:variant>
        <vt:lpwstr/>
      </vt:variant>
      <vt:variant>
        <vt:lpwstr>_Web_Links</vt:lpwstr>
      </vt:variant>
      <vt:variant>
        <vt:i4>6553703</vt:i4>
      </vt:variant>
      <vt:variant>
        <vt:i4>243</vt:i4>
      </vt:variant>
      <vt:variant>
        <vt:i4>0</vt:i4>
      </vt:variant>
      <vt:variant>
        <vt:i4>5</vt:i4>
      </vt:variant>
      <vt:variant>
        <vt:lpwstr/>
      </vt:variant>
      <vt:variant>
        <vt:lpwstr>_Web_Links</vt:lpwstr>
      </vt:variant>
      <vt:variant>
        <vt:i4>1114167</vt:i4>
      </vt:variant>
      <vt:variant>
        <vt:i4>236</vt:i4>
      </vt:variant>
      <vt:variant>
        <vt:i4>0</vt:i4>
      </vt:variant>
      <vt:variant>
        <vt:i4>5</vt:i4>
      </vt:variant>
      <vt:variant>
        <vt:lpwstr/>
      </vt:variant>
      <vt:variant>
        <vt:lpwstr>_Toc286318250</vt:lpwstr>
      </vt:variant>
      <vt:variant>
        <vt:i4>1048631</vt:i4>
      </vt:variant>
      <vt:variant>
        <vt:i4>230</vt:i4>
      </vt:variant>
      <vt:variant>
        <vt:i4>0</vt:i4>
      </vt:variant>
      <vt:variant>
        <vt:i4>5</vt:i4>
      </vt:variant>
      <vt:variant>
        <vt:lpwstr/>
      </vt:variant>
      <vt:variant>
        <vt:lpwstr>_Toc286318249</vt:lpwstr>
      </vt:variant>
      <vt:variant>
        <vt:i4>1048631</vt:i4>
      </vt:variant>
      <vt:variant>
        <vt:i4>224</vt:i4>
      </vt:variant>
      <vt:variant>
        <vt:i4>0</vt:i4>
      </vt:variant>
      <vt:variant>
        <vt:i4>5</vt:i4>
      </vt:variant>
      <vt:variant>
        <vt:lpwstr/>
      </vt:variant>
      <vt:variant>
        <vt:lpwstr>_Toc286318248</vt:lpwstr>
      </vt:variant>
      <vt:variant>
        <vt:i4>1048631</vt:i4>
      </vt:variant>
      <vt:variant>
        <vt:i4>218</vt:i4>
      </vt:variant>
      <vt:variant>
        <vt:i4>0</vt:i4>
      </vt:variant>
      <vt:variant>
        <vt:i4>5</vt:i4>
      </vt:variant>
      <vt:variant>
        <vt:lpwstr/>
      </vt:variant>
      <vt:variant>
        <vt:lpwstr>_Toc286318247</vt:lpwstr>
      </vt:variant>
      <vt:variant>
        <vt:i4>1048631</vt:i4>
      </vt:variant>
      <vt:variant>
        <vt:i4>212</vt:i4>
      </vt:variant>
      <vt:variant>
        <vt:i4>0</vt:i4>
      </vt:variant>
      <vt:variant>
        <vt:i4>5</vt:i4>
      </vt:variant>
      <vt:variant>
        <vt:lpwstr/>
      </vt:variant>
      <vt:variant>
        <vt:lpwstr>_Toc286318246</vt:lpwstr>
      </vt:variant>
      <vt:variant>
        <vt:i4>1048631</vt:i4>
      </vt:variant>
      <vt:variant>
        <vt:i4>206</vt:i4>
      </vt:variant>
      <vt:variant>
        <vt:i4>0</vt:i4>
      </vt:variant>
      <vt:variant>
        <vt:i4>5</vt:i4>
      </vt:variant>
      <vt:variant>
        <vt:lpwstr/>
      </vt:variant>
      <vt:variant>
        <vt:lpwstr>_Toc286318245</vt:lpwstr>
      </vt:variant>
      <vt:variant>
        <vt:i4>1048631</vt:i4>
      </vt:variant>
      <vt:variant>
        <vt:i4>200</vt:i4>
      </vt:variant>
      <vt:variant>
        <vt:i4>0</vt:i4>
      </vt:variant>
      <vt:variant>
        <vt:i4>5</vt:i4>
      </vt:variant>
      <vt:variant>
        <vt:lpwstr/>
      </vt:variant>
      <vt:variant>
        <vt:lpwstr>_Toc286318244</vt:lpwstr>
      </vt:variant>
      <vt:variant>
        <vt:i4>1048631</vt:i4>
      </vt:variant>
      <vt:variant>
        <vt:i4>194</vt:i4>
      </vt:variant>
      <vt:variant>
        <vt:i4>0</vt:i4>
      </vt:variant>
      <vt:variant>
        <vt:i4>5</vt:i4>
      </vt:variant>
      <vt:variant>
        <vt:lpwstr/>
      </vt:variant>
      <vt:variant>
        <vt:lpwstr>_Toc286318243</vt:lpwstr>
      </vt:variant>
      <vt:variant>
        <vt:i4>1048631</vt:i4>
      </vt:variant>
      <vt:variant>
        <vt:i4>188</vt:i4>
      </vt:variant>
      <vt:variant>
        <vt:i4>0</vt:i4>
      </vt:variant>
      <vt:variant>
        <vt:i4>5</vt:i4>
      </vt:variant>
      <vt:variant>
        <vt:lpwstr/>
      </vt:variant>
      <vt:variant>
        <vt:lpwstr>_Toc286318242</vt:lpwstr>
      </vt:variant>
      <vt:variant>
        <vt:i4>1048631</vt:i4>
      </vt:variant>
      <vt:variant>
        <vt:i4>182</vt:i4>
      </vt:variant>
      <vt:variant>
        <vt:i4>0</vt:i4>
      </vt:variant>
      <vt:variant>
        <vt:i4>5</vt:i4>
      </vt:variant>
      <vt:variant>
        <vt:lpwstr/>
      </vt:variant>
      <vt:variant>
        <vt:lpwstr>_Toc286318241</vt:lpwstr>
      </vt:variant>
      <vt:variant>
        <vt:i4>1048631</vt:i4>
      </vt:variant>
      <vt:variant>
        <vt:i4>176</vt:i4>
      </vt:variant>
      <vt:variant>
        <vt:i4>0</vt:i4>
      </vt:variant>
      <vt:variant>
        <vt:i4>5</vt:i4>
      </vt:variant>
      <vt:variant>
        <vt:lpwstr/>
      </vt:variant>
      <vt:variant>
        <vt:lpwstr>_Toc286318240</vt:lpwstr>
      </vt:variant>
      <vt:variant>
        <vt:i4>1507383</vt:i4>
      </vt:variant>
      <vt:variant>
        <vt:i4>170</vt:i4>
      </vt:variant>
      <vt:variant>
        <vt:i4>0</vt:i4>
      </vt:variant>
      <vt:variant>
        <vt:i4>5</vt:i4>
      </vt:variant>
      <vt:variant>
        <vt:lpwstr/>
      </vt:variant>
      <vt:variant>
        <vt:lpwstr>_Toc286318239</vt:lpwstr>
      </vt:variant>
      <vt:variant>
        <vt:i4>1507383</vt:i4>
      </vt:variant>
      <vt:variant>
        <vt:i4>164</vt:i4>
      </vt:variant>
      <vt:variant>
        <vt:i4>0</vt:i4>
      </vt:variant>
      <vt:variant>
        <vt:i4>5</vt:i4>
      </vt:variant>
      <vt:variant>
        <vt:lpwstr/>
      </vt:variant>
      <vt:variant>
        <vt:lpwstr>_Toc286318238</vt:lpwstr>
      </vt:variant>
      <vt:variant>
        <vt:i4>1507383</vt:i4>
      </vt:variant>
      <vt:variant>
        <vt:i4>158</vt:i4>
      </vt:variant>
      <vt:variant>
        <vt:i4>0</vt:i4>
      </vt:variant>
      <vt:variant>
        <vt:i4>5</vt:i4>
      </vt:variant>
      <vt:variant>
        <vt:lpwstr/>
      </vt:variant>
      <vt:variant>
        <vt:lpwstr>_Toc286318237</vt:lpwstr>
      </vt:variant>
      <vt:variant>
        <vt:i4>1507383</vt:i4>
      </vt:variant>
      <vt:variant>
        <vt:i4>152</vt:i4>
      </vt:variant>
      <vt:variant>
        <vt:i4>0</vt:i4>
      </vt:variant>
      <vt:variant>
        <vt:i4>5</vt:i4>
      </vt:variant>
      <vt:variant>
        <vt:lpwstr/>
      </vt:variant>
      <vt:variant>
        <vt:lpwstr>_Toc286318236</vt:lpwstr>
      </vt:variant>
      <vt:variant>
        <vt:i4>1507383</vt:i4>
      </vt:variant>
      <vt:variant>
        <vt:i4>146</vt:i4>
      </vt:variant>
      <vt:variant>
        <vt:i4>0</vt:i4>
      </vt:variant>
      <vt:variant>
        <vt:i4>5</vt:i4>
      </vt:variant>
      <vt:variant>
        <vt:lpwstr/>
      </vt:variant>
      <vt:variant>
        <vt:lpwstr>_Toc286318235</vt:lpwstr>
      </vt:variant>
      <vt:variant>
        <vt:i4>1507383</vt:i4>
      </vt:variant>
      <vt:variant>
        <vt:i4>140</vt:i4>
      </vt:variant>
      <vt:variant>
        <vt:i4>0</vt:i4>
      </vt:variant>
      <vt:variant>
        <vt:i4>5</vt:i4>
      </vt:variant>
      <vt:variant>
        <vt:lpwstr/>
      </vt:variant>
      <vt:variant>
        <vt:lpwstr>_Toc286318234</vt:lpwstr>
      </vt:variant>
      <vt:variant>
        <vt:i4>1507383</vt:i4>
      </vt:variant>
      <vt:variant>
        <vt:i4>134</vt:i4>
      </vt:variant>
      <vt:variant>
        <vt:i4>0</vt:i4>
      </vt:variant>
      <vt:variant>
        <vt:i4>5</vt:i4>
      </vt:variant>
      <vt:variant>
        <vt:lpwstr/>
      </vt:variant>
      <vt:variant>
        <vt:lpwstr>_Toc286318233</vt:lpwstr>
      </vt:variant>
      <vt:variant>
        <vt:i4>1507383</vt:i4>
      </vt:variant>
      <vt:variant>
        <vt:i4>128</vt:i4>
      </vt:variant>
      <vt:variant>
        <vt:i4>0</vt:i4>
      </vt:variant>
      <vt:variant>
        <vt:i4>5</vt:i4>
      </vt:variant>
      <vt:variant>
        <vt:lpwstr/>
      </vt:variant>
      <vt:variant>
        <vt:lpwstr>_Toc286318232</vt:lpwstr>
      </vt:variant>
      <vt:variant>
        <vt:i4>1507383</vt:i4>
      </vt:variant>
      <vt:variant>
        <vt:i4>122</vt:i4>
      </vt:variant>
      <vt:variant>
        <vt:i4>0</vt:i4>
      </vt:variant>
      <vt:variant>
        <vt:i4>5</vt:i4>
      </vt:variant>
      <vt:variant>
        <vt:lpwstr/>
      </vt:variant>
      <vt:variant>
        <vt:lpwstr>_Toc286318231</vt:lpwstr>
      </vt:variant>
      <vt:variant>
        <vt:i4>1507383</vt:i4>
      </vt:variant>
      <vt:variant>
        <vt:i4>116</vt:i4>
      </vt:variant>
      <vt:variant>
        <vt:i4>0</vt:i4>
      </vt:variant>
      <vt:variant>
        <vt:i4>5</vt:i4>
      </vt:variant>
      <vt:variant>
        <vt:lpwstr/>
      </vt:variant>
      <vt:variant>
        <vt:lpwstr>_Toc286318230</vt:lpwstr>
      </vt:variant>
      <vt:variant>
        <vt:i4>1441847</vt:i4>
      </vt:variant>
      <vt:variant>
        <vt:i4>110</vt:i4>
      </vt:variant>
      <vt:variant>
        <vt:i4>0</vt:i4>
      </vt:variant>
      <vt:variant>
        <vt:i4>5</vt:i4>
      </vt:variant>
      <vt:variant>
        <vt:lpwstr/>
      </vt:variant>
      <vt:variant>
        <vt:lpwstr>_Toc286318229</vt:lpwstr>
      </vt:variant>
      <vt:variant>
        <vt:i4>1441847</vt:i4>
      </vt:variant>
      <vt:variant>
        <vt:i4>104</vt:i4>
      </vt:variant>
      <vt:variant>
        <vt:i4>0</vt:i4>
      </vt:variant>
      <vt:variant>
        <vt:i4>5</vt:i4>
      </vt:variant>
      <vt:variant>
        <vt:lpwstr/>
      </vt:variant>
      <vt:variant>
        <vt:lpwstr>_Toc286318228</vt:lpwstr>
      </vt:variant>
      <vt:variant>
        <vt:i4>1441847</vt:i4>
      </vt:variant>
      <vt:variant>
        <vt:i4>98</vt:i4>
      </vt:variant>
      <vt:variant>
        <vt:i4>0</vt:i4>
      </vt:variant>
      <vt:variant>
        <vt:i4>5</vt:i4>
      </vt:variant>
      <vt:variant>
        <vt:lpwstr/>
      </vt:variant>
      <vt:variant>
        <vt:lpwstr>_Toc286318227</vt:lpwstr>
      </vt:variant>
      <vt:variant>
        <vt:i4>1441847</vt:i4>
      </vt:variant>
      <vt:variant>
        <vt:i4>92</vt:i4>
      </vt:variant>
      <vt:variant>
        <vt:i4>0</vt:i4>
      </vt:variant>
      <vt:variant>
        <vt:i4>5</vt:i4>
      </vt:variant>
      <vt:variant>
        <vt:lpwstr/>
      </vt:variant>
      <vt:variant>
        <vt:lpwstr>_Toc286318226</vt:lpwstr>
      </vt:variant>
      <vt:variant>
        <vt:i4>1441847</vt:i4>
      </vt:variant>
      <vt:variant>
        <vt:i4>86</vt:i4>
      </vt:variant>
      <vt:variant>
        <vt:i4>0</vt:i4>
      </vt:variant>
      <vt:variant>
        <vt:i4>5</vt:i4>
      </vt:variant>
      <vt:variant>
        <vt:lpwstr/>
      </vt:variant>
      <vt:variant>
        <vt:lpwstr>_Toc286318225</vt:lpwstr>
      </vt:variant>
      <vt:variant>
        <vt:i4>1441847</vt:i4>
      </vt:variant>
      <vt:variant>
        <vt:i4>80</vt:i4>
      </vt:variant>
      <vt:variant>
        <vt:i4>0</vt:i4>
      </vt:variant>
      <vt:variant>
        <vt:i4>5</vt:i4>
      </vt:variant>
      <vt:variant>
        <vt:lpwstr/>
      </vt:variant>
      <vt:variant>
        <vt:lpwstr>_Toc286318224</vt:lpwstr>
      </vt:variant>
      <vt:variant>
        <vt:i4>1441847</vt:i4>
      </vt:variant>
      <vt:variant>
        <vt:i4>74</vt:i4>
      </vt:variant>
      <vt:variant>
        <vt:i4>0</vt:i4>
      </vt:variant>
      <vt:variant>
        <vt:i4>5</vt:i4>
      </vt:variant>
      <vt:variant>
        <vt:lpwstr/>
      </vt:variant>
      <vt:variant>
        <vt:lpwstr>_Toc286318223</vt:lpwstr>
      </vt:variant>
      <vt:variant>
        <vt:i4>1441847</vt:i4>
      </vt:variant>
      <vt:variant>
        <vt:i4>68</vt:i4>
      </vt:variant>
      <vt:variant>
        <vt:i4>0</vt:i4>
      </vt:variant>
      <vt:variant>
        <vt:i4>5</vt:i4>
      </vt:variant>
      <vt:variant>
        <vt:lpwstr/>
      </vt:variant>
      <vt:variant>
        <vt:lpwstr>_Toc286318222</vt:lpwstr>
      </vt:variant>
      <vt:variant>
        <vt:i4>1441847</vt:i4>
      </vt:variant>
      <vt:variant>
        <vt:i4>62</vt:i4>
      </vt:variant>
      <vt:variant>
        <vt:i4>0</vt:i4>
      </vt:variant>
      <vt:variant>
        <vt:i4>5</vt:i4>
      </vt:variant>
      <vt:variant>
        <vt:lpwstr/>
      </vt:variant>
      <vt:variant>
        <vt:lpwstr>_Toc286318221</vt:lpwstr>
      </vt:variant>
      <vt:variant>
        <vt:i4>1441847</vt:i4>
      </vt:variant>
      <vt:variant>
        <vt:i4>56</vt:i4>
      </vt:variant>
      <vt:variant>
        <vt:i4>0</vt:i4>
      </vt:variant>
      <vt:variant>
        <vt:i4>5</vt:i4>
      </vt:variant>
      <vt:variant>
        <vt:lpwstr/>
      </vt:variant>
      <vt:variant>
        <vt:lpwstr>_Toc286318220</vt:lpwstr>
      </vt:variant>
      <vt:variant>
        <vt:i4>1376311</vt:i4>
      </vt:variant>
      <vt:variant>
        <vt:i4>50</vt:i4>
      </vt:variant>
      <vt:variant>
        <vt:i4>0</vt:i4>
      </vt:variant>
      <vt:variant>
        <vt:i4>5</vt:i4>
      </vt:variant>
      <vt:variant>
        <vt:lpwstr/>
      </vt:variant>
      <vt:variant>
        <vt:lpwstr>_Toc286318219</vt:lpwstr>
      </vt:variant>
      <vt:variant>
        <vt:i4>1376311</vt:i4>
      </vt:variant>
      <vt:variant>
        <vt:i4>44</vt:i4>
      </vt:variant>
      <vt:variant>
        <vt:i4>0</vt:i4>
      </vt:variant>
      <vt:variant>
        <vt:i4>5</vt:i4>
      </vt:variant>
      <vt:variant>
        <vt:lpwstr/>
      </vt:variant>
      <vt:variant>
        <vt:lpwstr>_Toc286318218</vt:lpwstr>
      </vt:variant>
      <vt:variant>
        <vt:i4>1376311</vt:i4>
      </vt:variant>
      <vt:variant>
        <vt:i4>38</vt:i4>
      </vt:variant>
      <vt:variant>
        <vt:i4>0</vt:i4>
      </vt:variant>
      <vt:variant>
        <vt:i4>5</vt:i4>
      </vt:variant>
      <vt:variant>
        <vt:lpwstr/>
      </vt:variant>
      <vt:variant>
        <vt:lpwstr>_Toc286318217</vt:lpwstr>
      </vt:variant>
      <vt:variant>
        <vt:i4>1376311</vt:i4>
      </vt:variant>
      <vt:variant>
        <vt:i4>32</vt:i4>
      </vt:variant>
      <vt:variant>
        <vt:i4>0</vt:i4>
      </vt:variant>
      <vt:variant>
        <vt:i4>5</vt:i4>
      </vt:variant>
      <vt:variant>
        <vt:lpwstr/>
      </vt:variant>
      <vt:variant>
        <vt:lpwstr>_Toc286318216</vt:lpwstr>
      </vt:variant>
      <vt:variant>
        <vt:i4>1376311</vt:i4>
      </vt:variant>
      <vt:variant>
        <vt:i4>26</vt:i4>
      </vt:variant>
      <vt:variant>
        <vt:i4>0</vt:i4>
      </vt:variant>
      <vt:variant>
        <vt:i4>5</vt:i4>
      </vt:variant>
      <vt:variant>
        <vt:lpwstr/>
      </vt:variant>
      <vt:variant>
        <vt:lpwstr>_Toc286318215</vt:lpwstr>
      </vt:variant>
      <vt:variant>
        <vt:i4>1376311</vt:i4>
      </vt:variant>
      <vt:variant>
        <vt:i4>20</vt:i4>
      </vt:variant>
      <vt:variant>
        <vt:i4>0</vt:i4>
      </vt:variant>
      <vt:variant>
        <vt:i4>5</vt:i4>
      </vt:variant>
      <vt:variant>
        <vt:lpwstr/>
      </vt:variant>
      <vt:variant>
        <vt:lpwstr>_Toc286318214</vt:lpwstr>
      </vt:variant>
      <vt:variant>
        <vt:i4>1376311</vt:i4>
      </vt:variant>
      <vt:variant>
        <vt:i4>14</vt:i4>
      </vt:variant>
      <vt:variant>
        <vt:i4>0</vt:i4>
      </vt:variant>
      <vt:variant>
        <vt:i4>5</vt:i4>
      </vt:variant>
      <vt:variant>
        <vt:lpwstr/>
      </vt:variant>
      <vt:variant>
        <vt:lpwstr>_Toc286318213</vt:lpwstr>
      </vt:variant>
      <vt:variant>
        <vt:i4>1376311</vt:i4>
      </vt:variant>
      <vt:variant>
        <vt:i4>8</vt:i4>
      </vt:variant>
      <vt:variant>
        <vt:i4>0</vt:i4>
      </vt:variant>
      <vt:variant>
        <vt:i4>5</vt:i4>
      </vt:variant>
      <vt:variant>
        <vt:lpwstr/>
      </vt:variant>
      <vt:variant>
        <vt:lpwstr>_Toc286318212</vt:lpwstr>
      </vt:variant>
      <vt:variant>
        <vt:i4>1376311</vt:i4>
      </vt:variant>
      <vt:variant>
        <vt:i4>2</vt:i4>
      </vt:variant>
      <vt:variant>
        <vt:i4>0</vt:i4>
      </vt:variant>
      <vt:variant>
        <vt:i4>5</vt:i4>
      </vt:variant>
      <vt:variant>
        <vt:lpwstr/>
      </vt:variant>
      <vt:variant>
        <vt:lpwstr>_Toc286318211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User’s Manual for the Quick Domenico Groundwater Fate-and-Transport Model</dc:title>
  <dc:creator>C. David Brown</dc:creator>
  <dc:description>PA DEP | SERO | ECB
Draft regional QD modeling manual.</dc:description>
  <cp:lastModifiedBy>Build</cp:lastModifiedBy>
  <cp:revision>6</cp:revision>
  <cp:lastPrinted>2012-08-28T14:43:00Z</cp:lastPrinted>
  <dcterms:created xsi:type="dcterms:W3CDTF">2014-03-17T17:00:00Z</dcterms:created>
  <dcterms:modified xsi:type="dcterms:W3CDTF">2014-03-17T17:13:00Z</dcterms:modified>
</cp:coreProperties>
</file>