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CAA32D" w14:textId="0D890A60" w:rsidR="007910BC" w:rsidRDefault="00BD2AE1" w:rsidP="00EA5E71">
      <w:pPr>
        <w:jc w:val="center"/>
        <w:rPr>
          <w:sz w:val="36"/>
          <w:szCs w:val="36"/>
          <w:u w:val="single"/>
        </w:rPr>
      </w:pPr>
      <w:bookmarkStart w:id="0" w:name="_top"/>
      <w:bookmarkEnd w:id="0"/>
      <w:r>
        <w:rPr>
          <w:sz w:val="36"/>
          <w:szCs w:val="36"/>
          <w:u w:val="single"/>
        </w:rPr>
        <w:t>July</w:t>
      </w:r>
      <w:r w:rsidR="0040073C">
        <w:rPr>
          <w:sz w:val="36"/>
          <w:szCs w:val="36"/>
          <w:u w:val="single"/>
        </w:rPr>
        <w:t xml:space="preserve"> </w:t>
      </w:r>
      <w:r w:rsidR="007910BC">
        <w:rPr>
          <w:sz w:val="36"/>
          <w:szCs w:val="36"/>
          <w:u w:val="single"/>
        </w:rPr>
        <w:t>2017</w:t>
      </w:r>
    </w:p>
    <w:p w14:paraId="2EE2CC0B" w14:textId="77777777" w:rsidR="00EA5E71" w:rsidRPr="00C531E1" w:rsidRDefault="00DA0B6B" w:rsidP="00EA5E71">
      <w:pPr>
        <w:jc w:val="center"/>
        <w:rPr>
          <w:sz w:val="36"/>
          <w:szCs w:val="36"/>
          <w:u w:val="single"/>
        </w:rPr>
      </w:pPr>
      <w:r w:rsidRPr="00C531E1">
        <w:rPr>
          <w:sz w:val="36"/>
          <w:szCs w:val="36"/>
          <w:u w:val="single"/>
        </w:rPr>
        <w:t xml:space="preserve">2017 </w:t>
      </w:r>
      <w:r w:rsidR="00EA5E71" w:rsidRPr="00C531E1">
        <w:rPr>
          <w:sz w:val="36"/>
          <w:szCs w:val="36"/>
          <w:u w:val="single"/>
        </w:rPr>
        <w:t>V</w:t>
      </w:r>
      <w:r w:rsidRPr="00C531E1">
        <w:rPr>
          <w:sz w:val="36"/>
          <w:szCs w:val="36"/>
          <w:u w:val="single"/>
        </w:rPr>
        <w:t xml:space="preserve">apor </w:t>
      </w:r>
      <w:r w:rsidR="00EA5E71" w:rsidRPr="00C531E1">
        <w:rPr>
          <w:sz w:val="36"/>
          <w:szCs w:val="36"/>
          <w:u w:val="single"/>
        </w:rPr>
        <w:t>I</w:t>
      </w:r>
      <w:r w:rsidRPr="00C531E1">
        <w:rPr>
          <w:sz w:val="36"/>
          <w:szCs w:val="36"/>
          <w:u w:val="single"/>
        </w:rPr>
        <w:t>ntrusion</w:t>
      </w:r>
      <w:r w:rsidR="00EA5E71" w:rsidRPr="00C531E1">
        <w:rPr>
          <w:sz w:val="36"/>
          <w:szCs w:val="36"/>
          <w:u w:val="single"/>
        </w:rPr>
        <w:t xml:space="preserve"> Guidance FAQs</w:t>
      </w:r>
    </w:p>
    <w:p w14:paraId="4DBA7B8A" w14:textId="77777777" w:rsidR="00EA5E71" w:rsidRPr="008A5E1F" w:rsidRDefault="00EA5E71" w:rsidP="00EA5E71">
      <w:pPr>
        <w:ind w:left="-270"/>
        <w:rPr>
          <w:sz w:val="32"/>
          <w:szCs w:val="32"/>
          <w:u w:val="single"/>
        </w:rPr>
      </w:pPr>
      <w:r w:rsidRPr="008A5E1F">
        <w:rPr>
          <w:sz w:val="32"/>
          <w:szCs w:val="32"/>
          <w:u w:val="single"/>
        </w:rPr>
        <w:t>Topics:</w:t>
      </w:r>
    </w:p>
    <w:p w14:paraId="06224A28" w14:textId="77777777" w:rsidR="007531C5" w:rsidRPr="007531C5" w:rsidRDefault="00957500" w:rsidP="005B05EE">
      <w:pPr>
        <w:pStyle w:val="ListParagraph"/>
        <w:numPr>
          <w:ilvl w:val="0"/>
          <w:numId w:val="19"/>
        </w:numPr>
        <w:spacing w:after="120" w:line="312" w:lineRule="auto"/>
        <w:ind w:left="360"/>
        <w:rPr>
          <w:sz w:val="32"/>
          <w:szCs w:val="32"/>
          <w:u w:val="single"/>
        </w:rPr>
      </w:pPr>
      <w:hyperlink w:anchor="General" w:history="1">
        <w:r w:rsidR="007531C5" w:rsidRPr="007531C5">
          <w:rPr>
            <w:rStyle w:val="Hyperlink"/>
            <w:sz w:val="32"/>
            <w:szCs w:val="32"/>
          </w:rPr>
          <w:t>General</w:t>
        </w:r>
      </w:hyperlink>
    </w:p>
    <w:p w14:paraId="6C839F05" w14:textId="77777777" w:rsidR="007252C4" w:rsidRPr="008A5E1F" w:rsidRDefault="00957500" w:rsidP="005B05EE">
      <w:pPr>
        <w:pStyle w:val="ListParagraph"/>
        <w:numPr>
          <w:ilvl w:val="0"/>
          <w:numId w:val="19"/>
        </w:numPr>
        <w:spacing w:after="120" w:line="312" w:lineRule="auto"/>
        <w:ind w:left="360"/>
        <w:rPr>
          <w:sz w:val="32"/>
          <w:szCs w:val="32"/>
        </w:rPr>
      </w:pPr>
      <w:hyperlink w:anchor="InProcessSites" w:history="1">
        <w:r w:rsidR="009F416F" w:rsidRPr="008A5E1F">
          <w:rPr>
            <w:rStyle w:val="Hyperlink"/>
            <w:sz w:val="32"/>
            <w:szCs w:val="32"/>
          </w:rPr>
          <w:t>Effect of New Guidance on In-Process Sites</w:t>
        </w:r>
      </w:hyperlink>
    </w:p>
    <w:p w14:paraId="77560A72" w14:textId="1BC3B017" w:rsidR="00CD362C" w:rsidRPr="00C8532A" w:rsidRDefault="00957500" w:rsidP="00C8532A">
      <w:pPr>
        <w:pStyle w:val="ListParagraph"/>
        <w:numPr>
          <w:ilvl w:val="0"/>
          <w:numId w:val="19"/>
        </w:numPr>
        <w:spacing w:after="120" w:line="312" w:lineRule="auto"/>
        <w:ind w:left="360"/>
        <w:rPr>
          <w:sz w:val="32"/>
          <w:szCs w:val="32"/>
        </w:rPr>
      </w:pPr>
      <w:hyperlink w:anchor="FutureChangesinUseofSite" w:history="1">
        <w:r w:rsidR="002049A2">
          <w:rPr>
            <w:rStyle w:val="Hyperlink"/>
            <w:sz w:val="32"/>
            <w:szCs w:val="32"/>
          </w:rPr>
          <w:t>Future</w:t>
        </w:r>
        <w:r w:rsidR="000E0D45" w:rsidRPr="008A5E1F">
          <w:rPr>
            <w:rStyle w:val="Hyperlink"/>
            <w:sz w:val="32"/>
            <w:szCs w:val="32"/>
          </w:rPr>
          <w:t xml:space="preserve"> Use of Site</w:t>
        </w:r>
      </w:hyperlink>
      <w:r w:rsidR="000E0D45" w:rsidRPr="008A5E1F">
        <w:rPr>
          <w:sz w:val="32"/>
          <w:szCs w:val="32"/>
        </w:rPr>
        <w:t xml:space="preserve"> </w:t>
      </w:r>
    </w:p>
    <w:p w14:paraId="3ADB9D51" w14:textId="77777777" w:rsidR="00CD362C" w:rsidRPr="008A5E1F" w:rsidRDefault="00957500" w:rsidP="005B05EE">
      <w:pPr>
        <w:pStyle w:val="ListParagraph"/>
        <w:numPr>
          <w:ilvl w:val="0"/>
          <w:numId w:val="19"/>
        </w:numPr>
        <w:spacing w:after="120" w:line="312" w:lineRule="auto"/>
        <w:ind w:left="360"/>
        <w:rPr>
          <w:sz w:val="32"/>
          <w:szCs w:val="32"/>
          <w:u w:val="single"/>
        </w:rPr>
      </w:pPr>
      <w:hyperlink w:anchor="Modeling" w:history="1">
        <w:r w:rsidR="00CD362C" w:rsidRPr="008A5E1F">
          <w:rPr>
            <w:rStyle w:val="Hyperlink"/>
            <w:sz w:val="32"/>
            <w:szCs w:val="32"/>
          </w:rPr>
          <w:t>Modeling</w:t>
        </w:r>
      </w:hyperlink>
    </w:p>
    <w:p w14:paraId="162F0777" w14:textId="77777777" w:rsidR="00CF4EE9" w:rsidRPr="008A5E1F" w:rsidRDefault="00957500" w:rsidP="005B05EE">
      <w:pPr>
        <w:pStyle w:val="ListParagraph"/>
        <w:numPr>
          <w:ilvl w:val="0"/>
          <w:numId w:val="19"/>
        </w:numPr>
        <w:spacing w:after="120" w:line="312" w:lineRule="auto"/>
        <w:ind w:left="360"/>
        <w:rPr>
          <w:sz w:val="32"/>
          <w:szCs w:val="32"/>
          <w:u w:val="single"/>
        </w:rPr>
      </w:pPr>
      <w:hyperlink w:anchor="OffSiteProperties" w:history="1">
        <w:r w:rsidR="00CF4EE9" w:rsidRPr="008A5E1F">
          <w:rPr>
            <w:rStyle w:val="Hyperlink"/>
            <w:sz w:val="32"/>
            <w:szCs w:val="32"/>
          </w:rPr>
          <w:t>Off-Site Properties</w:t>
        </w:r>
      </w:hyperlink>
      <w:bookmarkStart w:id="1" w:name="_Hlt472603558"/>
      <w:bookmarkEnd w:id="1"/>
    </w:p>
    <w:p w14:paraId="253E2E4F" w14:textId="77777777" w:rsidR="003F1708" w:rsidRPr="008A5E1F" w:rsidRDefault="00957500" w:rsidP="005B05EE">
      <w:pPr>
        <w:pStyle w:val="ListParagraph"/>
        <w:numPr>
          <w:ilvl w:val="0"/>
          <w:numId w:val="19"/>
        </w:numPr>
        <w:spacing w:after="120" w:line="312" w:lineRule="auto"/>
        <w:ind w:left="360"/>
        <w:rPr>
          <w:sz w:val="32"/>
          <w:szCs w:val="32"/>
          <w:u w:val="single"/>
        </w:rPr>
      </w:pPr>
      <w:hyperlink w:anchor="PreferentialPathways" w:history="1">
        <w:r w:rsidR="00EA5E71" w:rsidRPr="008A5E1F">
          <w:rPr>
            <w:rStyle w:val="Hyperlink"/>
            <w:sz w:val="32"/>
            <w:szCs w:val="32"/>
          </w:rPr>
          <w:t>Preferential Pathways</w:t>
        </w:r>
      </w:hyperlink>
    </w:p>
    <w:p w14:paraId="5D834A83" w14:textId="77777777" w:rsidR="00CD362C" w:rsidRPr="008A5E1F" w:rsidRDefault="00957500" w:rsidP="005B05EE">
      <w:pPr>
        <w:pStyle w:val="ListParagraph"/>
        <w:numPr>
          <w:ilvl w:val="0"/>
          <w:numId w:val="19"/>
        </w:numPr>
        <w:spacing w:after="120" w:line="312" w:lineRule="auto"/>
        <w:ind w:left="360"/>
        <w:rPr>
          <w:sz w:val="32"/>
          <w:szCs w:val="32"/>
          <w:u w:val="single"/>
        </w:rPr>
      </w:pPr>
      <w:hyperlink w:anchor="ProximityDistances" w:history="1">
        <w:r w:rsidR="00CD362C" w:rsidRPr="008A5E1F">
          <w:rPr>
            <w:rStyle w:val="Hyperlink"/>
            <w:sz w:val="32"/>
            <w:szCs w:val="32"/>
          </w:rPr>
          <w:t>Proximity Distances</w:t>
        </w:r>
      </w:hyperlink>
    </w:p>
    <w:p w14:paraId="10CE7E2D" w14:textId="163508D0" w:rsidR="009F416F" w:rsidRPr="008A5E1F" w:rsidRDefault="00957500" w:rsidP="005B05EE">
      <w:pPr>
        <w:pStyle w:val="ListParagraph"/>
        <w:numPr>
          <w:ilvl w:val="0"/>
          <w:numId w:val="19"/>
        </w:numPr>
        <w:spacing w:after="120" w:line="312" w:lineRule="auto"/>
        <w:ind w:left="360"/>
        <w:rPr>
          <w:sz w:val="32"/>
          <w:szCs w:val="32"/>
          <w:u w:val="single"/>
        </w:rPr>
      </w:pPr>
      <w:hyperlink w:anchor="SampleCollection" w:history="1">
        <w:r w:rsidR="009F416F" w:rsidRPr="008A5E1F">
          <w:rPr>
            <w:rStyle w:val="Hyperlink"/>
            <w:sz w:val="32"/>
            <w:szCs w:val="32"/>
          </w:rPr>
          <w:t>Sample Collection</w:t>
        </w:r>
      </w:hyperlink>
    </w:p>
    <w:p w14:paraId="2E21E75C" w14:textId="35922C86" w:rsidR="00CD362C" w:rsidRPr="00C8532A" w:rsidRDefault="00957500" w:rsidP="00C8532A">
      <w:pPr>
        <w:pStyle w:val="ListParagraph"/>
        <w:numPr>
          <w:ilvl w:val="0"/>
          <w:numId w:val="19"/>
        </w:numPr>
        <w:spacing w:after="120" w:line="312" w:lineRule="auto"/>
        <w:ind w:left="360"/>
        <w:rPr>
          <w:sz w:val="32"/>
          <w:szCs w:val="32"/>
          <w:u w:val="single"/>
        </w:rPr>
      </w:pPr>
      <w:hyperlink w:anchor="SamplingOptions" w:history="1">
        <w:r w:rsidR="0056784B" w:rsidRPr="008A5E1F">
          <w:rPr>
            <w:rStyle w:val="Hyperlink"/>
            <w:sz w:val="32"/>
            <w:szCs w:val="32"/>
          </w:rPr>
          <w:t>Sampling Options (Soil, GW, NS, SS, IA)</w:t>
        </w:r>
      </w:hyperlink>
    </w:p>
    <w:p w14:paraId="7E5C51D3" w14:textId="654E714D" w:rsidR="00CF4EE9" w:rsidRPr="00A56D6D" w:rsidRDefault="00957500" w:rsidP="00837B37">
      <w:pPr>
        <w:pStyle w:val="ListParagraph"/>
        <w:numPr>
          <w:ilvl w:val="0"/>
          <w:numId w:val="19"/>
        </w:numPr>
        <w:spacing w:after="120" w:line="312" w:lineRule="auto"/>
        <w:ind w:left="360"/>
        <w:rPr>
          <w:rStyle w:val="Hyperlink"/>
          <w:color w:val="auto"/>
          <w:sz w:val="32"/>
          <w:szCs w:val="32"/>
        </w:rPr>
      </w:pPr>
      <w:hyperlink w:anchor="SiteSpecificStandard" w:history="1">
        <w:r w:rsidR="00665270">
          <w:rPr>
            <w:rStyle w:val="Hyperlink"/>
            <w:sz w:val="32"/>
            <w:szCs w:val="32"/>
          </w:rPr>
          <w:t>Site-</w:t>
        </w:r>
        <w:r w:rsidR="008005EB" w:rsidRPr="008A5E1F">
          <w:rPr>
            <w:rStyle w:val="Hyperlink"/>
            <w:sz w:val="32"/>
            <w:szCs w:val="32"/>
          </w:rPr>
          <w:t>Specific Standard</w:t>
        </w:r>
      </w:hyperlink>
    </w:p>
    <w:p w14:paraId="3B1E7407" w14:textId="1A2A8A3A" w:rsidR="00A56D6D" w:rsidRPr="00A56D6D" w:rsidRDefault="00A56D6D" w:rsidP="00A56D6D">
      <w:pPr>
        <w:ind w:left="-270"/>
        <w:rPr>
          <w:sz w:val="32"/>
          <w:szCs w:val="32"/>
          <w:u w:val="single"/>
        </w:rPr>
      </w:pPr>
      <w:r w:rsidRPr="00A56D6D">
        <w:rPr>
          <w:sz w:val="32"/>
          <w:szCs w:val="32"/>
          <w:u w:val="single"/>
        </w:rPr>
        <w:t>Flowcharts:</w:t>
      </w:r>
    </w:p>
    <w:p w14:paraId="6B4373BD" w14:textId="61568551" w:rsidR="00A56D6D" w:rsidRPr="00A56D6D" w:rsidRDefault="00957500" w:rsidP="00A56D6D">
      <w:pPr>
        <w:pStyle w:val="ListParagraph"/>
        <w:numPr>
          <w:ilvl w:val="0"/>
          <w:numId w:val="39"/>
        </w:numPr>
        <w:spacing w:after="120" w:line="312" w:lineRule="auto"/>
        <w:ind w:left="360"/>
        <w:rPr>
          <w:rStyle w:val="Hyperlink"/>
          <w:color w:val="auto"/>
          <w:sz w:val="32"/>
          <w:szCs w:val="32"/>
        </w:rPr>
      </w:pPr>
      <w:hyperlink w:anchor="CombinationofStandards" w:history="1">
        <w:r w:rsidR="00A56D6D" w:rsidRPr="00A56D6D">
          <w:rPr>
            <w:rStyle w:val="Hyperlink"/>
            <w:sz w:val="28"/>
            <w:szCs w:val="28"/>
          </w:rPr>
          <w:t>Process to Evaluate Vapor Intrusion with a Combination of Standards</w:t>
        </w:r>
      </w:hyperlink>
    </w:p>
    <w:p w14:paraId="46B1EAFC" w14:textId="0E6CA331" w:rsidR="00A56D6D" w:rsidRPr="00A56D6D" w:rsidRDefault="00957500" w:rsidP="00A56D6D">
      <w:pPr>
        <w:pStyle w:val="ListParagraph"/>
        <w:numPr>
          <w:ilvl w:val="0"/>
          <w:numId w:val="39"/>
        </w:numPr>
        <w:spacing w:after="120" w:line="312" w:lineRule="auto"/>
        <w:ind w:left="360"/>
        <w:rPr>
          <w:rStyle w:val="Hyperlink"/>
          <w:sz w:val="28"/>
          <w:szCs w:val="28"/>
        </w:rPr>
      </w:pPr>
      <w:hyperlink w:anchor="SiteSpecificScreeningValues" w:history="1">
        <w:r w:rsidR="00A56D6D" w:rsidRPr="00A56D6D">
          <w:rPr>
            <w:rStyle w:val="Hyperlink"/>
            <w:sz w:val="28"/>
            <w:szCs w:val="28"/>
          </w:rPr>
          <w:t>Process to Determine Site-Specific Standard RSL-Based Vapor Intrusion Screening Values</w:t>
        </w:r>
      </w:hyperlink>
    </w:p>
    <w:p w14:paraId="4F2CC6BB" w14:textId="77777777" w:rsidR="00A56D6D" w:rsidRPr="00A56D6D" w:rsidRDefault="00A56D6D" w:rsidP="00A56D6D">
      <w:pPr>
        <w:pStyle w:val="ListParagraph"/>
        <w:spacing w:after="120" w:line="312" w:lineRule="auto"/>
        <w:ind w:left="360"/>
        <w:rPr>
          <w:sz w:val="32"/>
          <w:szCs w:val="32"/>
          <w:u w:val="single"/>
        </w:rPr>
      </w:pPr>
    </w:p>
    <w:p w14:paraId="4D451012" w14:textId="3FBF062C" w:rsidR="00605A50" w:rsidRPr="008A5E1F" w:rsidRDefault="00A56D6D" w:rsidP="00A56D6D">
      <w:pPr>
        <w:rPr>
          <w:sz w:val="28"/>
          <w:szCs w:val="28"/>
        </w:rPr>
      </w:pPr>
      <w:r>
        <w:rPr>
          <w:sz w:val="28"/>
          <w:szCs w:val="28"/>
        </w:rPr>
        <w:br w:type="page"/>
      </w:r>
    </w:p>
    <w:p w14:paraId="63C1491A" w14:textId="77777777" w:rsidR="007531C5" w:rsidRDefault="007531C5" w:rsidP="00216BF7">
      <w:pPr>
        <w:pStyle w:val="ListParagraph"/>
        <w:keepNext/>
        <w:numPr>
          <w:ilvl w:val="0"/>
          <w:numId w:val="16"/>
        </w:numPr>
        <w:spacing w:line="240" w:lineRule="auto"/>
        <w:ind w:left="-360"/>
        <w:rPr>
          <w:sz w:val="32"/>
          <w:szCs w:val="32"/>
          <w:u w:val="single"/>
        </w:rPr>
      </w:pPr>
      <w:r>
        <w:rPr>
          <w:sz w:val="32"/>
          <w:szCs w:val="32"/>
          <w:u w:val="single"/>
        </w:rPr>
        <w:lastRenderedPageBreak/>
        <w:t>Gene</w:t>
      </w:r>
      <w:bookmarkStart w:id="2" w:name="General"/>
      <w:bookmarkEnd w:id="2"/>
      <w:r>
        <w:rPr>
          <w:sz w:val="32"/>
          <w:szCs w:val="32"/>
          <w:u w:val="single"/>
        </w:rPr>
        <w:t>ral</w:t>
      </w:r>
    </w:p>
    <w:p w14:paraId="091E5380" w14:textId="77777777" w:rsidR="007531C5" w:rsidRDefault="007531C5" w:rsidP="007531C5">
      <w:pPr>
        <w:pStyle w:val="ListParagraph"/>
        <w:keepNext/>
        <w:spacing w:line="240" w:lineRule="auto"/>
        <w:ind w:left="-360"/>
        <w:rPr>
          <w:sz w:val="32"/>
          <w:szCs w:val="32"/>
          <w:u w:val="single"/>
        </w:rPr>
      </w:pPr>
    </w:p>
    <w:p w14:paraId="6B75FBF0" w14:textId="47C45809" w:rsidR="00EC3218" w:rsidRPr="008A5E1F" w:rsidRDefault="00EC3218" w:rsidP="00EC3218">
      <w:pPr>
        <w:pStyle w:val="ListParagraph"/>
        <w:numPr>
          <w:ilvl w:val="0"/>
          <w:numId w:val="23"/>
        </w:numPr>
        <w:spacing w:before="360" w:line="240" w:lineRule="auto"/>
        <w:rPr>
          <w:sz w:val="28"/>
          <w:szCs w:val="28"/>
        </w:rPr>
      </w:pPr>
      <w:r w:rsidRPr="008A5E1F">
        <w:rPr>
          <w:color w:val="0070C0"/>
          <w:sz w:val="28"/>
          <w:szCs w:val="28"/>
        </w:rPr>
        <w:t>What are the VI evaluation options</w:t>
      </w:r>
      <w:r>
        <w:rPr>
          <w:color w:val="0070C0"/>
          <w:sz w:val="28"/>
          <w:szCs w:val="28"/>
        </w:rPr>
        <w:t xml:space="preserve"> when there is a crawl space present</w:t>
      </w:r>
      <w:r w:rsidRPr="008A5E1F">
        <w:rPr>
          <w:color w:val="0070C0"/>
          <w:sz w:val="28"/>
          <w:szCs w:val="28"/>
        </w:rPr>
        <w:t>?</w:t>
      </w:r>
      <w:r w:rsidR="00A662AE">
        <w:rPr>
          <w:color w:val="0070C0"/>
          <w:sz w:val="28"/>
          <w:szCs w:val="28"/>
        </w:rPr>
        <w:t xml:space="preserve"> </w:t>
      </w:r>
    </w:p>
    <w:p w14:paraId="5E9ACBBF" w14:textId="3499B13C" w:rsidR="00C43F04" w:rsidRPr="00C43F04" w:rsidRDefault="00EC3218" w:rsidP="00C43F04">
      <w:pPr>
        <w:spacing w:before="360" w:line="240" w:lineRule="auto"/>
        <w:ind w:left="720" w:hanging="540"/>
        <w:rPr>
          <w:sz w:val="28"/>
          <w:szCs w:val="28"/>
        </w:rPr>
      </w:pPr>
      <w:r w:rsidRPr="008A5E1F">
        <w:rPr>
          <w:sz w:val="28"/>
          <w:szCs w:val="28"/>
        </w:rPr>
        <w:t>Response</w:t>
      </w:r>
      <w:r w:rsidR="00E46DE8">
        <w:rPr>
          <w:sz w:val="28"/>
          <w:szCs w:val="28"/>
        </w:rPr>
        <w:t>:</w:t>
      </w:r>
      <w:r w:rsidR="00A662AE">
        <w:rPr>
          <w:sz w:val="28"/>
          <w:szCs w:val="28"/>
        </w:rPr>
        <w:t xml:space="preserve"> </w:t>
      </w:r>
      <w:r w:rsidR="00C43F04" w:rsidRPr="00C43F04">
        <w:rPr>
          <w:sz w:val="28"/>
          <w:szCs w:val="28"/>
        </w:rPr>
        <w:t>There are many types of crawl spaces.</w:t>
      </w:r>
      <w:r w:rsidR="00A662AE">
        <w:rPr>
          <w:sz w:val="28"/>
          <w:szCs w:val="28"/>
        </w:rPr>
        <w:t xml:space="preserve"> </w:t>
      </w:r>
      <w:r w:rsidR="00C43F04" w:rsidRPr="00C43F04">
        <w:rPr>
          <w:sz w:val="28"/>
          <w:szCs w:val="28"/>
        </w:rPr>
        <w:t>Some buildings may have a crawl space below a concrete floor slab while others are just spaces below the subfloor of the building.</w:t>
      </w:r>
      <w:r w:rsidR="00A662AE">
        <w:rPr>
          <w:sz w:val="28"/>
          <w:szCs w:val="28"/>
        </w:rPr>
        <w:t xml:space="preserve"> </w:t>
      </w:r>
      <w:r w:rsidR="00C43F04" w:rsidRPr="00C43F04">
        <w:rPr>
          <w:sz w:val="28"/>
          <w:szCs w:val="28"/>
        </w:rPr>
        <w:t>EPA (2012b, 2015a) has indicated that there is often little to no attenuation between crawl spaces and occupied indoor spaces.</w:t>
      </w:r>
      <w:r w:rsidR="00A662AE">
        <w:rPr>
          <w:sz w:val="28"/>
          <w:szCs w:val="28"/>
        </w:rPr>
        <w:t xml:space="preserve"> </w:t>
      </w:r>
      <w:proofErr w:type="gramStart"/>
      <w:r w:rsidR="00C43F04" w:rsidRPr="00C43F04">
        <w:rPr>
          <w:sz w:val="28"/>
          <w:szCs w:val="28"/>
        </w:rPr>
        <w:t>As a result</w:t>
      </w:r>
      <w:proofErr w:type="gramEnd"/>
      <w:r w:rsidR="00C43F04" w:rsidRPr="00C43F04">
        <w:rPr>
          <w:sz w:val="28"/>
          <w:szCs w:val="28"/>
        </w:rPr>
        <w:t>, crawl space sample data should usually be screened against indoor air screening values.</w:t>
      </w:r>
      <w:r w:rsidR="00A662AE">
        <w:rPr>
          <w:sz w:val="28"/>
          <w:szCs w:val="28"/>
        </w:rPr>
        <w:t xml:space="preserve"> </w:t>
      </w:r>
      <w:r w:rsidR="00C43F04" w:rsidRPr="00C43F04">
        <w:rPr>
          <w:sz w:val="28"/>
          <w:szCs w:val="28"/>
        </w:rPr>
        <w:t xml:space="preserve">However, in instances where </w:t>
      </w:r>
      <w:r w:rsidR="008E0EBF">
        <w:rPr>
          <w:sz w:val="28"/>
          <w:szCs w:val="28"/>
        </w:rPr>
        <w:t xml:space="preserve">a </w:t>
      </w:r>
      <w:r w:rsidR="00C43F04" w:rsidRPr="00C43F04">
        <w:rPr>
          <w:sz w:val="28"/>
          <w:szCs w:val="28"/>
        </w:rPr>
        <w:t xml:space="preserve">crawl space </w:t>
      </w:r>
      <w:r w:rsidR="008E0EBF">
        <w:rPr>
          <w:sz w:val="28"/>
          <w:szCs w:val="28"/>
        </w:rPr>
        <w:t>is</w:t>
      </w:r>
      <w:r w:rsidR="008E0EBF" w:rsidRPr="00C43F04">
        <w:rPr>
          <w:sz w:val="28"/>
          <w:szCs w:val="28"/>
        </w:rPr>
        <w:t xml:space="preserve"> </w:t>
      </w:r>
      <w:r w:rsidR="00C43F04" w:rsidRPr="00C43F04">
        <w:rPr>
          <w:sz w:val="28"/>
          <w:szCs w:val="28"/>
        </w:rPr>
        <w:t xml:space="preserve">below </w:t>
      </w:r>
      <w:r w:rsidR="008E0EBF">
        <w:rPr>
          <w:sz w:val="28"/>
          <w:szCs w:val="28"/>
        </w:rPr>
        <w:t xml:space="preserve">a concrete </w:t>
      </w:r>
      <w:r w:rsidR="00C43F04" w:rsidRPr="00C43F04">
        <w:rPr>
          <w:sz w:val="28"/>
          <w:szCs w:val="28"/>
        </w:rPr>
        <w:t xml:space="preserve">slab and the slab is comparable </w:t>
      </w:r>
      <w:r w:rsidR="008E0EBF">
        <w:rPr>
          <w:sz w:val="28"/>
          <w:szCs w:val="28"/>
        </w:rPr>
        <w:t xml:space="preserve">in construction </w:t>
      </w:r>
      <w:r w:rsidR="00C43F04" w:rsidRPr="00C43F04">
        <w:rPr>
          <w:sz w:val="28"/>
          <w:szCs w:val="28"/>
        </w:rPr>
        <w:t xml:space="preserve">to a slab-on-grade building </w:t>
      </w:r>
      <w:r w:rsidR="00254B1D">
        <w:rPr>
          <w:sz w:val="28"/>
          <w:szCs w:val="28"/>
        </w:rPr>
        <w:t>with</w:t>
      </w:r>
      <w:r w:rsidR="00C43F04" w:rsidRPr="00C43F04">
        <w:rPr>
          <w:sz w:val="28"/>
          <w:szCs w:val="28"/>
        </w:rPr>
        <w:t xml:space="preserve"> no significant openings in the slab, then samples collected in the crawl space can be compared to sub-slab screening values.</w:t>
      </w:r>
      <w:r w:rsidR="00A662AE">
        <w:rPr>
          <w:sz w:val="28"/>
          <w:szCs w:val="28"/>
        </w:rPr>
        <w:t xml:space="preserve"> </w:t>
      </w:r>
    </w:p>
    <w:p w14:paraId="298FAC30" w14:textId="4A259BD1" w:rsidR="00C43F04" w:rsidRPr="00C43F04" w:rsidRDefault="00C43F04" w:rsidP="00C43F04">
      <w:pPr>
        <w:spacing w:before="360" w:line="240" w:lineRule="auto"/>
        <w:ind w:left="720"/>
        <w:rPr>
          <w:sz w:val="28"/>
          <w:szCs w:val="28"/>
        </w:rPr>
      </w:pPr>
      <w:r w:rsidRPr="00C43F04">
        <w:rPr>
          <w:sz w:val="28"/>
          <w:szCs w:val="28"/>
        </w:rPr>
        <w:t>A crawl space may be considered a significant foundation opening if it has a dirt floor and there is no slab above it.</w:t>
      </w:r>
      <w:r w:rsidR="00A662AE">
        <w:rPr>
          <w:sz w:val="28"/>
          <w:szCs w:val="28"/>
        </w:rPr>
        <w:t xml:space="preserve"> </w:t>
      </w:r>
      <w:r w:rsidRPr="00C43F04">
        <w:rPr>
          <w:sz w:val="28"/>
          <w:szCs w:val="28"/>
        </w:rPr>
        <w:t>In this circumstance, the presence of the crawl space would be equivalent to having a basement with a dirt floor and should be treated as such.</w:t>
      </w:r>
      <w:r w:rsidR="00A662AE">
        <w:rPr>
          <w:sz w:val="28"/>
          <w:szCs w:val="28"/>
        </w:rPr>
        <w:t xml:space="preserve"> </w:t>
      </w:r>
    </w:p>
    <w:p w14:paraId="6EE32D78" w14:textId="7B3E1832" w:rsidR="00C43F04" w:rsidRPr="00C43F04" w:rsidRDefault="00C43F04" w:rsidP="00C43F04">
      <w:pPr>
        <w:spacing w:before="360" w:line="240" w:lineRule="auto"/>
        <w:ind w:left="720"/>
        <w:rPr>
          <w:sz w:val="28"/>
          <w:szCs w:val="28"/>
        </w:rPr>
      </w:pPr>
      <w:r w:rsidRPr="00C43F04">
        <w:rPr>
          <w:sz w:val="28"/>
          <w:szCs w:val="28"/>
        </w:rPr>
        <w:t xml:space="preserve">Crawl spaces </w:t>
      </w:r>
      <w:r w:rsidR="008E0EBF">
        <w:rPr>
          <w:sz w:val="28"/>
          <w:szCs w:val="28"/>
        </w:rPr>
        <w:t>may be</w:t>
      </w:r>
      <w:r w:rsidRPr="00C43F04">
        <w:rPr>
          <w:sz w:val="28"/>
          <w:szCs w:val="28"/>
        </w:rPr>
        <w:t xml:space="preserve"> sufficiently ventilated to prevent VI.</w:t>
      </w:r>
      <w:r w:rsidR="00A662AE">
        <w:rPr>
          <w:sz w:val="28"/>
          <w:szCs w:val="28"/>
        </w:rPr>
        <w:t xml:space="preserve"> </w:t>
      </w:r>
      <w:r w:rsidRPr="00C43F04">
        <w:rPr>
          <w:sz w:val="28"/>
          <w:szCs w:val="28"/>
        </w:rPr>
        <w:t>However, if the crawl space is mostly enclosed</w:t>
      </w:r>
      <w:r w:rsidR="00665270">
        <w:rPr>
          <w:sz w:val="28"/>
          <w:szCs w:val="28"/>
        </w:rPr>
        <w:t>,</w:t>
      </w:r>
      <w:r w:rsidRPr="00C43F04">
        <w:rPr>
          <w:sz w:val="28"/>
          <w:szCs w:val="28"/>
        </w:rPr>
        <w:t xml:space="preserve"> then it may accumulate vapors </w:t>
      </w:r>
      <w:r w:rsidR="008E0EBF">
        <w:rPr>
          <w:sz w:val="28"/>
          <w:szCs w:val="28"/>
        </w:rPr>
        <w:t>which</w:t>
      </w:r>
      <w:r w:rsidR="008E0EBF" w:rsidRPr="00C43F04">
        <w:rPr>
          <w:sz w:val="28"/>
          <w:szCs w:val="28"/>
        </w:rPr>
        <w:t xml:space="preserve"> </w:t>
      </w:r>
      <w:r w:rsidRPr="00C43F04">
        <w:rPr>
          <w:sz w:val="28"/>
          <w:szCs w:val="28"/>
        </w:rPr>
        <w:t xml:space="preserve">could </w:t>
      </w:r>
      <w:r w:rsidR="008E0EBF">
        <w:rPr>
          <w:sz w:val="28"/>
          <w:szCs w:val="28"/>
        </w:rPr>
        <w:t>cause</w:t>
      </w:r>
      <w:r w:rsidRPr="00C43F04">
        <w:rPr>
          <w:sz w:val="28"/>
          <w:szCs w:val="28"/>
        </w:rPr>
        <w:t xml:space="preserve"> a VI problem in the building.</w:t>
      </w:r>
      <w:r w:rsidR="00A662AE">
        <w:rPr>
          <w:sz w:val="28"/>
          <w:szCs w:val="28"/>
        </w:rPr>
        <w:t xml:space="preserve"> </w:t>
      </w:r>
      <w:r w:rsidRPr="00C43F04">
        <w:rPr>
          <w:sz w:val="28"/>
          <w:szCs w:val="28"/>
        </w:rPr>
        <w:t xml:space="preserve">The determination of whether a </w:t>
      </w:r>
      <w:proofErr w:type="gramStart"/>
      <w:r w:rsidRPr="00C43F04">
        <w:rPr>
          <w:sz w:val="28"/>
          <w:szCs w:val="28"/>
        </w:rPr>
        <w:t>particular crawl</w:t>
      </w:r>
      <w:proofErr w:type="gramEnd"/>
      <w:r w:rsidRPr="00C43F04">
        <w:rPr>
          <w:sz w:val="28"/>
          <w:szCs w:val="28"/>
        </w:rPr>
        <w:t xml:space="preserve"> space is a significant foundation opening will depend on the individual site characteristics.</w:t>
      </w:r>
      <w:r w:rsidR="00A662AE">
        <w:rPr>
          <w:sz w:val="28"/>
          <w:szCs w:val="28"/>
        </w:rPr>
        <w:t xml:space="preserve"> </w:t>
      </w:r>
      <w:r w:rsidRPr="00C43F04">
        <w:rPr>
          <w:sz w:val="28"/>
          <w:szCs w:val="28"/>
        </w:rPr>
        <w:t>In any case, if there is any question as to how to proceed with evaluation of a crawl space</w:t>
      </w:r>
      <w:r w:rsidR="00254B1D">
        <w:rPr>
          <w:sz w:val="28"/>
          <w:szCs w:val="28"/>
        </w:rPr>
        <w:t>,</w:t>
      </w:r>
      <w:r w:rsidRPr="00C43F04">
        <w:rPr>
          <w:sz w:val="28"/>
          <w:szCs w:val="28"/>
        </w:rPr>
        <w:t xml:space="preserve"> </w:t>
      </w:r>
      <w:r w:rsidR="00926838">
        <w:rPr>
          <w:sz w:val="28"/>
          <w:szCs w:val="28"/>
        </w:rPr>
        <w:t xml:space="preserve">the </w:t>
      </w:r>
      <w:r w:rsidRPr="00C43F04">
        <w:rPr>
          <w:sz w:val="28"/>
          <w:szCs w:val="28"/>
        </w:rPr>
        <w:t>remediator should consult with th</w:t>
      </w:r>
      <w:r w:rsidR="00254B1D">
        <w:rPr>
          <w:sz w:val="28"/>
          <w:szCs w:val="28"/>
        </w:rPr>
        <w:t>e DEP project manager</w:t>
      </w:r>
      <w:r w:rsidRPr="00C43F04">
        <w:rPr>
          <w:sz w:val="28"/>
          <w:szCs w:val="28"/>
        </w:rPr>
        <w:t>.</w:t>
      </w:r>
    </w:p>
    <w:p w14:paraId="643BD6BE" w14:textId="6670CAB7" w:rsidR="00EC3218" w:rsidRDefault="00EC3218" w:rsidP="00EC3218">
      <w:pPr>
        <w:spacing w:before="360" w:line="240" w:lineRule="auto"/>
        <w:ind w:left="900"/>
        <w:rPr>
          <w:sz w:val="28"/>
          <w:szCs w:val="28"/>
        </w:rPr>
      </w:pPr>
      <w:r w:rsidRPr="008A5E1F">
        <w:rPr>
          <w:sz w:val="28"/>
          <w:szCs w:val="28"/>
        </w:rPr>
        <w:t>Reference: VI Guidance Section</w:t>
      </w:r>
      <w:r w:rsidR="004D2190">
        <w:rPr>
          <w:sz w:val="28"/>
          <w:szCs w:val="28"/>
        </w:rPr>
        <w:t>s</w:t>
      </w:r>
      <w:r w:rsidRPr="008A5E1F">
        <w:rPr>
          <w:sz w:val="28"/>
          <w:szCs w:val="28"/>
        </w:rPr>
        <w:t xml:space="preserve"> C.2.</w:t>
      </w:r>
      <w:r w:rsidR="00602E67">
        <w:rPr>
          <w:sz w:val="28"/>
          <w:szCs w:val="28"/>
        </w:rPr>
        <w:t>, D.2.,</w:t>
      </w:r>
      <w:r w:rsidRPr="008A5E1F">
        <w:rPr>
          <w:sz w:val="28"/>
          <w:szCs w:val="28"/>
        </w:rPr>
        <w:t xml:space="preserve"> and Appendix C.5.a</w:t>
      </w:r>
      <w:r w:rsidR="004C542E">
        <w:rPr>
          <w:sz w:val="28"/>
          <w:szCs w:val="28"/>
        </w:rPr>
        <w:t>.</w:t>
      </w:r>
    </w:p>
    <w:p w14:paraId="66AA2278" w14:textId="3B21F220" w:rsidR="00DD406A" w:rsidRDefault="00DD406A">
      <w:pPr>
        <w:rPr>
          <w:sz w:val="28"/>
          <w:szCs w:val="28"/>
        </w:rPr>
      </w:pPr>
    </w:p>
    <w:p w14:paraId="27F94191" w14:textId="7683DC65" w:rsidR="00684AA6" w:rsidRPr="008A5E1F" w:rsidRDefault="00BA356B" w:rsidP="00602E67">
      <w:pPr>
        <w:pStyle w:val="ListParagraph"/>
        <w:numPr>
          <w:ilvl w:val="0"/>
          <w:numId w:val="23"/>
        </w:numPr>
        <w:spacing w:before="360" w:line="240" w:lineRule="auto"/>
        <w:rPr>
          <w:sz w:val="28"/>
          <w:szCs w:val="28"/>
        </w:rPr>
      </w:pPr>
      <w:r>
        <w:rPr>
          <w:color w:val="0070C0"/>
          <w:sz w:val="28"/>
          <w:szCs w:val="28"/>
        </w:rPr>
        <w:t>Should</w:t>
      </w:r>
      <w:r w:rsidR="00602E67">
        <w:rPr>
          <w:color w:val="0070C0"/>
          <w:sz w:val="28"/>
          <w:szCs w:val="28"/>
        </w:rPr>
        <w:t xml:space="preserve"> a building with intermittent access such as a garage be evaluated for VI?</w:t>
      </w:r>
    </w:p>
    <w:p w14:paraId="205527B4" w14:textId="5C1B731C" w:rsidR="00DF6360" w:rsidRPr="00602E67" w:rsidRDefault="00684AA6" w:rsidP="00BA356B">
      <w:pPr>
        <w:spacing w:before="360" w:line="240" w:lineRule="auto"/>
        <w:ind w:left="720" w:hanging="540"/>
        <w:rPr>
          <w:sz w:val="28"/>
          <w:szCs w:val="28"/>
        </w:rPr>
      </w:pPr>
      <w:r w:rsidRPr="008A5E1F">
        <w:rPr>
          <w:sz w:val="28"/>
          <w:szCs w:val="28"/>
        </w:rPr>
        <w:t>Response:</w:t>
      </w:r>
      <w:r w:rsidR="00A662AE">
        <w:rPr>
          <w:sz w:val="28"/>
          <w:szCs w:val="28"/>
        </w:rPr>
        <w:t xml:space="preserve"> </w:t>
      </w:r>
      <w:r w:rsidR="00E46DE8" w:rsidRPr="008A5E1F">
        <w:rPr>
          <w:sz w:val="28"/>
          <w:szCs w:val="28"/>
        </w:rPr>
        <w:t xml:space="preserve"> </w:t>
      </w:r>
      <w:r w:rsidR="00BA356B">
        <w:rPr>
          <w:sz w:val="28"/>
          <w:szCs w:val="28"/>
        </w:rPr>
        <w:t>The vapor intrusion guidance applies to “inhabited buildings</w:t>
      </w:r>
      <w:r w:rsidR="00926838">
        <w:rPr>
          <w:sz w:val="28"/>
          <w:szCs w:val="28"/>
        </w:rPr>
        <w:t>.</w:t>
      </w:r>
      <w:r w:rsidR="00BA356B">
        <w:rPr>
          <w:sz w:val="28"/>
          <w:szCs w:val="28"/>
        </w:rPr>
        <w:t>”</w:t>
      </w:r>
      <w:r w:rsidR="00A662AE">
        <w:rPr>
          <w:sz w:val="28"/>
          <w:szCs w:val="28"/>
        </w:rPr>
        <w:t xml:space="preserve"> </w:t>
      </w:r>
      <w:r w:rsidR="00BA356B">
        <w:rPr>
          <w:sz w:val="28"/>
          <w:szCs w:val="28"/>
        </w:rPr>
        <w:t xml:space="preserve">Inhabited buildings are buildings with enclosed air space that are used or </w:t>
      </w:r>
      <w:r w:rsidR="00BA356B">
        <w:rPr>
          <w:sz w:val="28"/>
          <w:szCs w:val="28"/>
        </w:rPr>
        <w:lastRenderedPageBreak/>
        <w:t>planned to be used for human occupancy.</w:t>
      </w:r>
      <w:r w:rsidR="00A662AE">
        <w:rPr>
          <w:sz w:val="28"/>
          <w:szCs w:val="28"/>
        </w:rPr>
        <w:t xml:space="preserve"> </w:t>
      </w:r>
      <w:r w:rsidR="00E46DE8" w:rsidRPr="008A5E1F">
        <w:rPr>
          <w:sz w:val="28"/>
          <w:szCs w:val="28"/>
        </w:rPr>
        <w:t xml:space="preserve">A structure used exclusively for storage is not </w:t>
      </w:r>
      <w:r w:rsidR="00130065">
        <w:rPr>
          <w:sz w:val="28"/>
          <w:szCs w:val="28"/>
        </w:rPr>
        <w:t>generally</w:t>
      </w:r>
      <w:r w:rsidR="00130065" w:rsidRPr="008A5E1F">
        <w:rPr>
          <w:sz w:val="28"/>
          <w:szCs w:val="28"/>
        </w:rPr>
        <w:t xml:space="preserve"> </w:t>
      </w:r>
      <w:r w:rsidR="00E46DE8" w:rsidRPr="008A5E1F">
        <w:rPr>
          <w:sz w:val="28"/>
          <w:szCs w:val="28"/>
        </w:rPr>
        <w:t xml:space="preserve">regarded as an “inhabited building.” The remediator will need to </w:t>
      </w:r>
      <w:r w:rsidR="007F2B8C" w:rsidRPr="008A5E1F">
        <w:rPr>
          <w:sz w:val="28"/>
          <w:szCs w:val="28"/>
        </w:rPr>
        <w:t>decide</w:t>
      </w:r>
      <w:r w:rsidR="00E46DE8" w:rsidRPr="008A5E1F">
        <w:rPr>
          <w:sz w:val="28"/>
          <w:szCs w:val="28"/>
        </w:rPr>
        <w:t xml:space="preserve"> </w:t>
      </w:r>
      <w:r w:rsidR="00130065">
        <w:rPr>
          <w:sz w:val="28"/>
          <w:szCs w:val="28"/>
        </w:rPr>
        <w:t>as to</w:t>
      </w:r>
      <w:r w:rsidR="00130065" w:rsidRPr="008A5E1F">
        <w:rPr>
          <w:sz w:val="28"/>
          <w:szCs w:val="28"/>
        </w:rPr>
        <w:t xml:space="preserve"> </w:t>
      </w:r>
      <w:proofErr w:type="gramStart"/>
      <w:r w:rsidR="00E46DE8" w:rsidRPr="008A5E1F">
        <w:rPr>
          <w:sz w:val="28"/>
          <w:szCs w:val="28"/>
        </w:rPr>
        <w:t>whether or not</w:t>
      </w:r>
      <w:proofErr w:type="gramEnd"/>
      <w:r w:rsidR="00E46DE8" w:rsidRPr="008A5E1F">
        <w:rPr>
          <w:sz w:val="28"/>
          <w:szCs w:val="28"/>
        </w:rPr>
        <w:t xml:space="preserve"> there is sufficient occupancy to </w:t>
      </w:r>
      <w:r w:rsidR="00BA356B">
        <w:rPr>
          <w:sz w:val="28"/>
          <w:szCs w:val="28"/>
        </w:rPr>
        <w:t>pose a potential VI risk.</w:t>
      </w:r>
      <w:r w:rsidR="00A662AE">
        <w:rPr>
          <w:sz w:val="28"/>
          <w:szCs w:val="28"/>
        </w:rPr>
        <w:t xml:space="preserve"> </w:t>
      </w:r>
    </w:p>
    <w:p w14:paraId="7DE0D790" w14:textId="2A0200A5" w:rsidR="00DF6360" w:rsidRDefault="00DF6360" w:rsidP="00DF6360">
      <w:pPr>
        <w:spacing w:before="360" w:line="240" w:lineRule="auto"/>
        <w:ind w:left="900"/>
        <w:rPr>
          <w:sz w:val="28"/>
          <w:szCs w:val="28"/>
        </w:rPr>
      </w:pPr>
      <w:r w:rsidRPr="008A5E1F">
        <w:rPr>
          <w:sz w:val="28"/>
          <w:szCs w:val="28"/>
        </w:rPr>
        <w:t xml:space="preserve">Reference: VI Guidance Section </w:t>
      </w:r>
      <w:r w:rsidR="00BA356B">
        <w:rPr>
          <w:sz w:val="28"/>
          <w:szCs w:val="28"/>
        </w:rPr>
        <w:t>A.</w:t>
      </w:r>
    </w:p>
    <w:p w14:paraId="29DF76DC" w14:textId="77777777" w:rsidR="005859B0" w:rsidRDefault="005859B0" w:rsidP="00DF6360">
      <w:pPr>
        <w:spacing w:before="360" w:line="240" w:lineRule="auto"/>
        <w:ind w:left="900"/>
        <w:rPr>
          <w:sz w:val="28"/>
          <w:szCs w:val="28"/>
        </w:rPr>
      </w:pPr>
    </w:p>
    <w:p w14:paraId="3CA4F96C" w14:textId="06173C54" w:rsidR="00C00616" w:rsidRPr="00C00616" w:rsidRDefault="00C00616" w:rsidP="00C00616">
      <w:pPr>
        <w:pStyle w:val="ListParagraph"/>
        <w:numPr>
          <w:ilvl w:val="0"/>
          <w:numId w:val="23"/>
        </w:numPr>
        <w:spacing w:before="360" w:line="240" w:lineRule="auto"/>
        <w:rPr>
          <w:sz w:val="28"/>
          <w:szCs w:val="28"/>
        </w:rPr>
      </w:pPr>
      <w:r w:rsidRPr="00C00616">
        <w:rPr>
          <w:iCs/>
          <w:color w:val="0070C0"/>
          <w:sz w:val="28"/>
          <w:szCs w:val="28"/>
        </w:rPr>
        <w:t>If substances of VI concern are detected but do not exceed soil and groundwater Statewide health standard VI screening values, is the VI pathway complete?</w:t>
      </w:r>
    </w:p>
    <w:p w14:paraId="20018771" w14:textId="40DF5318" w:rsidR="00C00616" w:rsidRPr="00602E67" w:rsidRDefault="00C00616" w:rsidP="00C00616">
      <w:pPr>
        <w:spacing w:before="360" w:line="240" w:lineRule="auto"/>
        <w:ind w:left="720" w:hanging="540"/>
        <w:rPr>
          <w:sz w:val="28"/>
          <w:szCs w:val="28"/>
        </w:rPr>
      </w:pPr>
      <w:r w:rsidRPr="008A5E1F">
        <w:rPr>
          <w:sz w:val="28"/>
          <w:szCs w:val="28"/>
        </w:rPr>
        <w:t>Response:</w:t>
      </w:r>
      <w:r w:rsidR="00A662AE">
        <w:rPr>
          <w:sz w:val="28"/>
          <w:szCs w:val="28"/>
        </w:rPr>
        <w:t xml:space="preserve"> </w:t>
      </w:r>
      <w:r w:rsidRPr="008A5E1F">
        <w:rPr>
          <w:sz w:val="28"/>
          <w:szCs w:val="28"/>
        </w:rPr>
        <w:t xml:space="preserve"> </w:t>
      </w:r>
      <w:r w:rsidRPr="00C00616">
        <w:rPr>
          <w:iCs/>
          <w:sz w:val="28"/>
          <w:szCs w:val="28"/>
        </w:rPr>
        <w:t xml:space="preserve">The VI pathway is considered complete if a substance of VI concern </w:t>
      </w:r>
      <w:r w:rsidR="005859B0">
        <w:rPr>
          <w:iCs/>
          <w:sz w:val="28"/>
          <w:szCs w:val="28"/>
        </w:rPr>
        <w:t>is detected in</w:t>
      </w:r>
      <w:r w:rsidRPr="00C00616">
        <w:rPr>
          <w:iCs/>
          <w:sz w:val="28"/>
          <w:szCs w:val="28"/>
        </w:rPr>
        <w:t xml:space="preserve"> soil or groundwater (or a non-detect concentration exceeding the greater of the VI screening value and the PQL) within the proximity distance of a current or planned structure or within the separation distance of an external preferential pathway.</w:t>
      </w:r>
      <w:r w:rsidR="00A662AE">
        <w:rPr>
          <w:iCs/>
          <w:sz w:val="28"/>
          <w:szCs w:val="28"/>
        </w:rPr>
        <w:t xml:space="preserve"> </w:t>
      </w:r>
      <w:r w:rsidRPr="00C00616">
        <w:rPr>
          <w:iCs/>
          <w:sz w:val="28"/>
          <w:szCs w:val="28"/>
        </w:rPr>
        <w:t xml:space="preserve">However, if </w:t>
      </w:r>
      <w:proofErr w:type="gramStart"/>
      <w:r w:rsidRPr="00C00616">
        <w:rPr>
          <w:iCs/>
          <w:sz w:val="28"/>
          <w:szCs w:val="28"/>
        </w:rPr>
        <w:t>all of</w:t>
      </w:r>
      <w:proofErr w:type="gramEnd"/>
      <w:r w:rsidRPr="00C00616">
        <w:rPr>
          <w:iCs/>
          <w:sz w:val="28"/>
          <w:szCs w:val="28"/>
        </w:rPr>
        <w:t xml:space="preserve"> the concentrations are below the screening values then there is no potential VI source and no further VI analysis is necessary.</w:t>
      </w:r>
      <w:r w:rsidR="00A662AE">
        <w:rPr>
          <w:iCs/>
          <w:sz w:val="28"/>
          <w:szCs w:val="28"/>
        </w:rPr>
        <w:t xml:space="preserve"> </w:t>
      </w:r>
      <w:r w:rsidRPr="00C00616">
        <w:rPr>
          <w:iCs/>
          <w:sz w:val="28"/>
          <w:szCs w:val="28"/>
        </w:rPr>
        <w:t>If substances of VI concern are detected in soil or groundwater beyond the proximity distance of a current or planned structure or beyond the separation distance of an external preferential pathway then there is no complete exposure pathway, regardless of the concentrations detected.</w:t>
      </w:r>
      <w:r w:rsidR="00A662AE">
        <w:rPr>
          <w:sz w:val="28"/>
          <w:szCs w:val="28"/>
        </w:rPr>
        <w:t xml:space="preserve"> </w:t>
      </w:r>
    </w:p>
    <w:p w14:paraId="35BAB1D7" w14:textId="78E64D0A" w:rsidR="00684AA6" w:rsidRPr="00A662AE" w:rsidRDefault="00A662AE" w:rsidP="00A662AE">
      <w:pPr>
        <w:spacing w:before="360" w:line="240" w:lineRule="auto"/>
        <w:ind w:left="720" w:hanging="1987"/>
        <w:rPr>
          <w:rStyle w:val="Hyperlink"/>
        </w:rPr>
      </w:pPr>
      <w:hyperlink w:anchor="_top" w:history="1">
        <w:r w:rsidRPr="00A662AE">
          <w:rPr>
            <w:rStyle w:val="Hyperlink"/>
          </w:rPr>
          <w:t>Back to Top</w:t>
        </w:r>
      </w:hyperlink>
    </w:p>
    <w:p w14:paraId="5888533F" w14:textId="77777777" w:rsidR="00623EE5" w:rsidRPr="008A5E1F" w:rsidRDefault="00623EE5" w:rsidP="00216BF7">
      <w:pPr>
        <w:pStyle w:val="ListParagraph"/>
        <w:keepNext/>
        <w:numPr>
          <w:ilvl w:val="0"/>
          <w:numId w:val="16"/>
        </w:numPr>
        <w:spacing w:line="240" w:lineRule="auto"/>
        <w:ind w:left="-360"/>
        <w:rPr>
          <w:sz w:val="32"/>
          <w:szCs w:val="32"/>
          <w:u w:val="single"/>
        </w:rPr>
      </w:pPr>
      <w:r w:rsidRPr="008A5E1F">
        <w:rPr>
          <w:sz w:val="32"/>
          <w:szCs w:val="32"/>
          <w:u w:val="single"/>
        </w:rPr>
        <w:t>Effect of New Guidance on In-Process S</w:t>
      </w:r>
      <w:bookmarkStart w:id="3" w:name="InProcessSites"/>
      <w:bookmarkEnd w:id="3"/>
      <w:r w:rsidRPr="008A5E1F">
        <w:rPr>
          <w:sz w:val="32"/>
          <w:szCs w:val="32"/>
          <w:u w:val="single"/>
        </w:rPr>
        <w:t>ites</w:t>
      </w:r>
    </w:p>
    <w:p w14:paraId="00EE6A50" w14:textId="77777777" w:rsidR="00216BF7" w:rsidRPr="00216BF7" w:rsidRDefault="00216BF7" w:rsidP="00216BF7">
      <w:pPr>
        <w:pStyle w:val="ListParagraph"/>
        <w:keepNext/>
        <w:spacing w:line="240" w:lineRule="auto"/>
        <w:ind w:left="-360"/>
        <w:rPr>
          <w:sz w:val="32"/>
          <w:szCs w:val="32"/>
          <w:u w:val="single"/>
        </w:rPr>
      </w:pPr>
    </w:p>
    <w:p w14:paraId="55712B0B" w14:textId="4ED0CE79" w:rsidR="00623EE5" w:rsidRPr="008A5E1F" w:rsidRDefault="00623EE5" w:rsidP="008143E1">
      <w:pPr>
        <w:pStyle w:val="ListParagraph"/>
        <w:numPr>
          <w:ilvl w:val="0"/>
          <w:numId w:val="35"/>
        </w:numPr>
        <w:spacing w:before="360" w:line="240" w:lineRule="auto"/>
        <w:rPr>
          <w:sz w:val="28"/>
          <w:szCs w:val="28"/>
        </w:rPr>
      </w:pPr>
      <w:r w:rsidRPr="008A5E1F">
        <w:rPr>
          <w:color w:val="0070C0"/>
          <w:sz w:val="28"/>
          <w:szCs w:val="28"/>
        </w:rPr>
        <w:t>If a report is submitt</w:t>
      </w:r>
      <w:r w:rsidR="0045254A">
        <w:rPr>
          <w:color w:val="0070C0"/>
          <w:sz w:val="28"/>
          <w:szCs w:val="28"/>
        </w:rPr>
        <w:t>ed before the effective date and</w:t>
      </w:r>
      <w:r w:rsidRPr="008A5E1F">
        <w:rPr>
          <w:color w:val="0070C0"/>
          <w:sz w:val="28"/>
          <w:szCs w:val="28"/>
        </w:rPr>
        <w:t xml:space="preserve"> is </w:t>
      </w:r>
      <w:r w:rsidR="00D3692A">
        <w:rPr>
          <w:color w:val="0070C0"/>
          <w:sz w:val="28"/>
          <w:szCs w:val="28"/>
        </w:rPr>
        <w:t>disapproved</w:t>
      </w:r>
      <w:r w:rsidRPr="008A5E1F">
        <w:rPr>
          <w:color w:val="0070C0"/>
          <w:sz w:val="28"/>
          <w:szCs w:val="28"/>
        </w:rPr>
        <w:t xml:space="preserve">, does the old guidance still apply to </w:t>
      </w:r>
      <w:r w:rsidR="00130065">
        <w:rPr>
          <w:color w:val="0070C0"/>
          <w:sz w:val="28"/>
          <w:szCs w:val="28"/>
        </w:rPr>
        <w:t xml:space="preserve">the </w:t>
      </w:r>
      <w:r w:rsidRPr="008A5E1F">
        <w:rPr>
          <w:color w:val="0070C0"/>
          <w:sz w:val="28"/>
          <w:szCs w:val="28"/>
        </w:rPr>
        <w:t>resubmittal of that report?</w:t>
      </w:r>
    </w:p>
    <w:p w14:paraId="718D36BC" w14:textId="1B6DAE3B" w:rsidR="00623EE5" w:rsidRPr="008A5E1F" w:rsidRDefault="00623EE5" w:rsidP="00DB49C7">
      <w:pPr>
        <w:spacing w:before="360" w:line="240" w:lineRule="auto"/>
        <w:ind w:left="734" w:hanging="547"/>
        <w:rPr>
          <w:color w:val="000000" w:themeColor="text1"/>
          <w:sz w:val="28"/>
          <w:szCs w:val="28"/>
        </w:rPr>
      </w:pPr>
      <w:r w:rsidRPr="008A5E1F">
        <w:rPr>
          <w:color w:val="000000" w:themeColor="text1"/>
          <w:sz w:val="28"/>
          <w:szCs w:val="28"/>
        </w:rPr>
        <w:t>Response:</w:t>
      </w:r>
      <w:r w:rsidR="00A662AE">
        <w:rPr>
          <w:color w:val="000000" w:themeColor="text1"/>
          <w:sz w:val="28"/>
          <w:szCs w:val="28"/>
        </w:rPr>
        <w:t xml:space="preserve"> </w:t>
      </w:r>
      <w:r w:rsidRPr="008A5E1F">
        <w:rPr>
          <w:color w:val="000000" w:themeColor="text1"/>
          <w:sz w:val="28"/>
          <w:szCs w:val="28"/>
        </w:rPr>
        <w:t>There is a difference between reports that are disapproved and reports that have technical deficiencies. The VI guidance states that if the guidance becomes effective prior</w:t>
      </w:r>
      <w:r w:rsidR="008143E1">
        <w:rPr>
          <w:color w:val="000000" w:themeColor="text1"/>
          <w:sz w:val="28"/>
          <w:szCs w:val="28"/>
        </w:rPr>
        <w:t xml:space="preserve"> to the Department receiving a report</w:t>
      </w:r>
      <w:r w:rsidRPr="008A5E1F">
        <w:rPr>
          <w:color w:val="000000" w:themeColor="text1"/>
          <w:sz w:val="28"/>
          <w:szCs w:val="28"/>
        </w:rPr>
        <w:t xml:space="preserve">, then </w:t>
      </w:r>
      <w:r w:rsidR="00130065">
        <w:rPr>
          <w:color w:val="000000" w:themeColor="text1"/>
          <w:sz w:val="28"/>
          <w:szCs w:val="28"/>
        </w:rPr>
        <w:t>any VI evaluation provided in the new report should be performed</w:t>
      </w:r>
      <w:r w:rsidR="00DB49C7" w:rsidRPr="008A5E1F">
        <w:rPr>
          <w:color w:val="000000" w:themeColor="text1"/>
          <w:sz w:val="28"/>
          <w:szCs w:val="28"/>
        </w:rPr>
        <w:t xml:space="preserve"> using the new VI guidance.</w:t>
      </w:r>
    </w:p>
    <w:p w14:paraId="5179CB9F" w14:textId="6E2EC68E" w:rsidR="00623EE5" w:rsidRPr="008A5E1F" w:rsidRDefault="00A92923" w:rsidP="00623EE5">
      <w:pPr>
        <w:spacing w:line="240" w:lineRule="auto"/>
        <w:ind w:left="720"/>
        <w:rPr>
          <w:color w:val="000000" w:themeColor="text1"/>
          <w:sz w:val="28"/>
          <w:szCs w:val="28"/>
        </w:rPr>
      </w:pPr>
      <w:r w:rsidRPr="008A5E1F">
        <w:rPr>
          <w:color w:val="000000" w:themeColor="text1"/>
          <w:sz w:val="28"/>
          <w:szCs w:val="28"/>
        </w:rPr>
        <w:lastRenderedPageBreak/>
        <w:t>If a</w:t>
      </w:r>
      <w:r w:rsidR="008143E1">
        <w:rPr>
          <w:color w:val="000000" w:themeColor="text1"/>
          <w:sz w:val="28"/>
          <w:szCs w:val="28"/>
        </w:rPr>
        <w:t xml:space="preserve"> r</w:t>
      </w:r>
      <w:r w:rsidRPr="008A5E1F">
        <w:rPr>
          <w:color w:val="000000" w:themeColor="text1"/>
          <w:sz w:val="28"/>
          <w:szCs w:val="28"/>
        </w:rPr>
        <w:t>eport</w:t>
      </w:r>
      <w:r w:rsidR="00623EE5" w:rsidRPr="008A5E1F">
        <w:rPr>
          <w:color w:val="000000" w:themeColor="text1"/>
          <w:sz w:val="28"/>
          <w:szCs w:val="28"/>
        </w:rPr>
        <w:t xml:space="preserve"> is </w:t>
      </w:r>
      <w:r w:rsidR="00623EE5" w:rsidRPr="00DB5363">
        <w:rPr>
          <w:color w:val="000000" w:themeColor="text1"/>
          <w:sz w:val="28"/>
          <w:szCs w:val="28"/>
          <w:u w:val="single"/>
        </w:rPr>
        <w:t>disapproved</w:t>
      </w:r>
      <w:r w:rsidRPr="008A5E1F">
        <w:rPr>
          <w:color w:val="000000" w:themeColor="text1"/>
          <w:sz w:val="28"/>
          <w:szCs w:val="28"/>
        </w:rPr>
        <w:t>,</w:t>
      </w:r>
      <w:r w:rsidR="00623EE5" w:rsidRPr="008A5E1F">
        <w:rPr>
          <w:color w:val="000000" w:themeColor="text1"/>
          <w:sz w:val="28"/>
          <w:szCs w:val="28"/>
        </w:rPr>
        <w:t xml:space="preserve"> and a new </w:t>
      </w:r>
      <w:r w:rsidR="008143E1">
        <w:rPr>
          <w:color w:val="000000" w:themeColor="text1"/>
          <w:sz w:val="28"/>
          <w:szCs w:val="28"/>
        </w:rPr>
        <w:t>r</w:t>
      </w:r>
      <w:r w:rsidRPr="008A5E1F">
        <w:rPr>
          <w:color w:val="000000" w:themeColor="text1"/>
          <w:sz w:val="28"/>
          <w:szCs w:val="28"/>
        </w:rPr>
        <w:t>eport</w:t>
      </w:r>
      <w:r w:rsidR="00623EE5" w:rsidRPr="008A5E1F">
        <w:rPr>
          <w:color w:val="000000" w:themeColor="text1"/>
          <w:sz w:val="28"/>
          <w:szCs w:val="28"/>
        </w:rPr>
        <w:t xml:space="preserve"> </w:t>
      </w:r>
      <w:r w:rsidR="00136650" w:rsidRPr="008A5E1F">
        <w:rPr>
          <w:color w:val="000000" w:themeColor="text1"/>
          <w:sz w:val="28"/>
          <w:szCs w:val="28"/>
        </w:rPr>
        <w:t xml:space="preserve">is then submitted </w:t>
      </w:r>
      <w:r w:rsidR="00623EE5" w:rsidRPr="008A5E1F">
        <w:rPr>
          <w:color w:val="000000" w:themeColor="text1"/>
          <w:sz w:val="28"/>
          <w:szCs w:val="28"/>
        </w:rPr>
        <w:t xml:space="preserve">after the new guidance becomes effective, then </w:t>
      </w:r>
      <w:r w:rsidR="00254B1D">
        <w:rPr>
          <w:color w:val="000000" w:themeColor="text1"/>
          <w:sz w:val="28"/>
          <w:szCs w:val="28"/>
        </w:rPr>
        <w:t xml:space="preserve">the </w:t>
      </w:r>
      <w:r w:rsidR="00623EE5" w:rsidRPr="008A5E1F">
        <w:rPr>
          <w:color w:val="000000" w:themeColor="text1"/>
          <w:sz w:val="28"/>
          <w:szCs w:val="28"/>
        </w:rPr>
        <w:t xml:space="preserve">new </w:t>
      </w:r>
      <w:r w:rsidR="00130065">
        <w:rPr>
          <w:color w:val="000000" w:themeColor="text1"/>
          <w:sz w:val="28"/>
          <w:szCs w:val="28"/>
        </w:rPr>
        <w:t>r</w:t>
      </w:r>
      <w:r w:rsidRPr="008A5E1F">
        <w:rPr>
          <w:color w:val="000000" w:themeColor="text1"/>
          <w:sz w:val="28"/>
          <w:szCs w:val="28"/>
        </w:rPr>
        <w:t>eport</w:t>
      </w:r>
      <w:r w:rsidR="00623EE5" w:rsidRPr="008A5E1F">
        <w:rPr>
          <w:color w:val="000000" w:themeColor="text1"/>
          <w:sz w:val="28"/>
          <w:szCs w:val="28"/>
        </w:rPr>
        <w:t xml:space="preserve"> would n</w:t>
      </w:r>
      <w:r w:rsidR="00DB49C7" w:rsidRPr="008A5E1F">
        <w:rPr>
          <w:color w:val="000000" w:themeColor="text1"/>
          <w:sz w:val="28"/>
          <w:szCs w:val="28"/>
        </w:rPr>
        <w:t>eed to follow the new guidance.</w:t>
      </w:r>
    </w:p>
    <w:p w14:paraId="48858062" w14:textId="49DEEDD6" w:rsidR="00623EE5" w:rsidRPr="008A5E1F" w:rsidRDefault="00136650" w:rsidP="00623EE5">
      <w:pPr>
        <w:spacing w:line="240" w:lineRule="auto"/>
        <w:ind w:left="720"/>
        <w:rPr>
          <w:color w:val="000000" w:themeColor="text1"/>
          <w:sz w:val="28"/>
          <w:szCs w:val="28"/>
        </w:rPr>
      </w:pPr>
      <w:r w:rsidRPr="008A5E1F">
        <w:rPr>
          <w:color w:val="000000" w:themeColor="text1"/>
          <w:sz w:val="28"/>
          <w:szCs w:val="28"/>
        </w:rPr>
        <w:t xml:space="preserve">If </w:t>
      </w:r>
      <w:r w:rsidR="00623EE5" w:rsidRPr="008A5E1F">
        <w:rPr>
          <w:color w:val="000000" w:themeColor="text1"/>
          <w:sz w:val="28"/>
          <w:szCs w:val="28"/>
        </w:rPr>
        <w:t>a technical deficiency letter</w:t>
      </w:r>
      <w:r w:rsidRPr="008A5E1F">
        <w:rPr>
          <w:color w:val="000000" w:themeColor="text1"/>
          <w:sz w:val="28"/>
          <w:szCs w:val="28"/>
        </w:rPr>
        <w:t xml:space="preserve"> is issued</w:t>
      </w:r>
      <w:r w:rsidR="004C542E">
        <w:rPr>
          <w:color w:val="000000" w:themeColor="text1"/>
          <w:sz w:val="28"/>
          <w:szCs w:val="28"/>
        </w:rPr>
        <w:t xml:space="preserve"> for an Act 2 report</w:t>
      </w:r>
      <w:r w:rsidRPr="008A5E1F">
        <w:rPr>
          <w:color w:val="000000" w:themeColor="text1"/>
          <w:sz w:val="28"/>
          <w:szCs w:val="28"/>
        </w:rPr>
        <w:t>, then the</w:t>
      </w:r>
      <w:r w:rsidR="00623EE5" w:rsidRPr="008A5E1F">
        <w:rPr>
          <w:color w:val="000000" w:themeColor="text1"/>
          <w:sz w:val="28"/>
          <w:szCs w:val="28"/>
        </w:rPr>
        <w:t xml:space="preserve"> resubmitt</w:t>
      </w:r>
      <w:r w:rsidR="00A92923" w:rsidRPr="008A5E1F">
        <w:rPr>
          <w:color w:val="000000" w:themeColor="text1"/>
          <w:sz w:val="28"/>
          <w:szCs w:val="28"/>
        </w:rPr>
        <w:t xml:space="preserve">al </w:t>
      </w:r>
      <w:proofErr w:type="gramStart"/>
      <w:r w:rsidR="00A92923" w:rsidRPr="008A5E1F">
        <w:rPr>
          <w:color w:val="000000" w:themeColor="text1"/>
          <w:sz w:val="28"/>
          <w:szCs w:val="28"/>
        </w:rPr>
        <w:t xml:space="preserve">is </w:t>
      </w:r>
      <w:r w:rsidR="00130065">
        <w:rPr>
          <w:color w:val="000000" w:themeColor="text1"/>
          <w:sz w:val="28"/>
          <w:szCs w:val="28"/>
        </w:rPr>
        <w:t>considered to be</w:t>
      </w:r>
      <w:proofErr w:type="gramEnd"/>
      <w:r w:rsidR="00130065" w:rsidRPr="008A5E1F">
        <w:rPr>
          <w:color w:val="000000" w:themeColor="text1"/>
          <w:sz w:val="28"/>
          <w:szCs w:val="28"/>
        </w:rPr>
        <w:t xml:space="preserve"> </w:t>
      </w:r>
      <w:r w:rsidR="00D3692A">
        <w:rPr>
          <w:color w:val="000000" w:themeColor="text1"/>
          <w:sz w:val="28"/>
          <w:szCs w:val="28"/>
        </w:rPr>
        <w:t>a minor correction to the original</w:t>
      </w:r>
      <w:r w:rsidR="00A92923" w:rsidRPr="008A5E1F">
        <w:rPr>
          <w:color w:val="000000" w:themeColor="text1"/>
          <w:sz w:val="28"/>
          <w:szCs w:val="28"/>
        </w:rPr>
        <w:t xml:space="preserve"> report </w:t>
      </w:r>
      <w:r w:rsidR="00D3692A">
        <w:rPr>
          <w:color w:val="000000" w:themeColor="text1"/>
          <w:sz w:val="28"/>
          <w:szCs w:val="28"/>
        </w:rPr>
        <w:t>that addresses</w:t>
      </w:r>
      <w:r w:rsidR="00623EE5" w:rsidRPr="008A5E1F">
        <w:rPr>
          <w:color w:val="000000" w:themeColor="text1"/>
          <w:sz w:val="28"/>
          <w:szCs w:val="28"/>
        </w:rPr>
        <w:t xml:space="preserve"> </w:t>
      </w:r>
      <w:r w:rsidR="00D3692A">
        <w:rPr>
          <w:color w:val="000000" w:themeColor="text1"/>
          <w:sz w:val="28"/>
          <w:szCs w:val="28"/>
        </w:rPr>
        <w:t xml:space="preserve">the </w:t>
      </w:r>
      <w:r w:rsidR="00623EE5" w:rsidRPr="008A5E1F">
        <w:rPr>
          <w:color w:val="000000" w:themeColor="text1"/>
          <w:sz w:val="28"/>
          <w:szCs w:val="28"/>
        </w:rPr>
        <w:t>deficiencies</w:t>
      </w:r>
      <w:r w:rsidR="00A92923" w:rsidRPr="008A5E1F">
        <w:rPr>
          <w:color w:val="000000" w:themeColor="text1"/>
          <w:sz w:val="28"/>
          <w:szCs w:val="28"/>
        </w:rPr>
        <w:t>,</w:t>
      </w:r>
      <w:r w:rsidR="00623EE5" w:rsidRPr="008A5E1F">
        <w:rPr>
          <w:color w:val="000000" w:themeColor="text1"/>
          <w:sz w:val="28"/>
          <w:szCs w:val="28"/>
        </w:rPr>
        <w:t xml:space="preserve"> and therefore the o</w:t>
      </w:r>
      <w:r w:rsidR="00DB49C7" w:rsidRPr="008A5E1F">
        <w:rPr>
          <w:color w:val="000000" w:themeColor="text1"/>
          <w:sz w:val="28"/>
          <w:szCs w:val="28"/>
        </w:rPr>
        <w:t>ld guidance would still apply</w:t>
      </w:r>
      <w:r w:rsidR="00130065">
        <w:rPr>
          <w:color w:val="000000" w:themeColor="text1"/>
          <w:sz w:val="28"/>
          <w:szCs w:val="28"/>
        </w:rPr>
        <w:t xml:space="preserve"> to the resubmittal</w:t>
      </w:r>
      <w:r w:rsidR="00DB49C7" w:rsidRPr="008A5E1F">
        <w:rPr>
          <w:color w:val="000000" w:themeColor="text1"/>
          <w:sz w:val="28"/>
          <w:szCs w:val="28"/>
        </w:rPr>
        <w:t>.</w:t>
      </w:r>
    </w:p>
    <w:p w14:paraId="449AFF7A" w14:textId="77777777" w:rsidR="00BC2F16" w:rsidRPr="000A6B3D" w:rsidRDefault="00A92923" w:rsidP="000A6B3D">
      <w:pPr>
        <w:spacing w:before="360" w:line="240" w:lineRule="auto"/>
        <w:ind w:left="900"/>
        <w:rPr>
          <w:color w:val="000000" w:themeColor="text1"/>
          <w:sz w:val="28"/>
          <w:szCs w:val="28"/>
        </w:rPr>
      </w:pPr>
      <w:r w:rsidRPr="008A5E1F">
        <w:rPr>
          <w:color w:val="000000" w:themeColor="text1"/>
          <w:sz w:val="28"/>
          <w:szCs w:val="28"/>
        </w:rPr>
        <w:t>Reference: VI Guidance Section A</w:t>
      </w:r>
      <w:r w:rsidR="00DF455E" w:rsidRPr="008A5E1F">
        <w:rPr>
          <w:color w:val="000000" w:themeColor="text1"/>
          <w:sz w:val="28"/>
          <w:szCs w:val="28"/>
        </w:rPr>
        <w:t>.</w:t>
      </w:r>
    </w:p>
    <w:p w14:paraId="1F416024" w14:textId="7A8DEB3E" w:rsidR="00623EE5" w:rsidRPr="00A6743D" w:rsidRDefault="00957500" w:rsidP="00DD406A">
      <w:pPr>
        <w:spacing w:before="360" w:line="240" w:lineRule="auto"/>
        <w:ind w:left="720" w:hanging="1987"/>
        <w:rPr>
          <w:sz w:val="28"/>
          <w:szCs w:val="28"/>
        </w:rPr>
      </w:pPr>
      <w:hyperlink w:anchor="_top" w:history="1">
        <w:r w:rsidR="00623EE5" w:rsidRPr="008A5E1F">
          <w:rPr>
            <w:rStyle w:val="Hyperlink"/>
          </w:rPr>
          <w:t>Back t</w:t>
        </w:r>
        <w:r w:rsidR="00623EE5" w:rsidRPr="008A5E1F">
          <w:rPr>
            <w:rStyle w:val="Hyperlink"/>
          </w:rPr>
          <w:t>o</w:t>
        </w:r>
        <w:r w:rsidR="00623EE5" w:rsidRPr="008A5E1F">
          <w:rPr>
            <w:rStyle w:val="Hyperlink"/>
          </w:rPr>
          <w:t xml:space="preserve"> Top</w:t>
        </w:r>
        <w:r w:rsidR="00A662AE">
          <w:rPr>
            <w:rStyle w:val="Hyperlink"/>
            <w:u w:val="none"/>
          </w:rPr>
          <w:t xml:space="preserve"> </w:t>
        </w:r>
        <w:r w:rsidR="00623EE5" w:rsidRPr="008A5E1F">
          <w:rPr>
            <w:rStyle w:val="Hyperlink"/>
            <w:u w:val="none"/>
          </w:rPr>
          <w:t xml:space="preserve"> </w:t>
        </w:r>
      </w:hyperlink>
      <w:r w:rsidR="00623EE5" w:rsidRPr="008A5E1F">
        <w:rPr>
          <w:sz w:val="36"/>
          <w:szCs w:val="36"/>
        </w:rPr>
        <w:t xml:space="preserve"> </w:t>
      </w:r>
    </w:p>
    <w:p w14:paraId="2A1207D7" w14:textId="77777777" w:rsidR="002049A2" w:rsidRDefault="002049A2" w:rsidP="00A662AE">
      <w:pPr>
        <w:pStyle w:val="ListParagraph"/>
        <w:keepNext/>
        <w:numPr>
          <w:ilvl w:val="0"/>
          <w:numId w:val="16"/>
        </w:numPr>
        <w:spacing w:line="240" w:lineRule="auto"/>
        <w:ind w:left="-360"/>
        <w:rPr>
          <w:sz w:val="32"/>
          <w:szCs w:val="32"/>
          <w:u w:val="single"/>
        </w:rPr>
      </w:pPr>
      <w:r>
        <w:rPr>
          <w:sz w:val="32"/>
          <w:szCs w:val="32"/>
          <w:u w:val="single"/>
        </w:rPr>
        <w:t>Future</w:t>
      </w:r>
      <w:r w:rsidR="00623EE5" w:rsidRPr="008A5E1F">
        <w:rPr>
          <w:sz w:val="32"/>
          <w:szCs w:val="32"/>
          <w:u w:val="single"/>
        </w:rPr>
        <w:t xml:space="preserve"> Use o</w:t>
      </w:r>
      <w:bookmarkStart w:id="4" w:name="FutureChangesinUseofSite"/>
      <w:bookmarkEnd w:id="4"/>
      <w:r w:rsidR="00623EE5" w:rsidRPr="008A5E1F">
        <w:rPr>
          <w:sz w:val="32"/>
          <w:szCs w:val="32"/>
          <w:u w:val="single"/>
        </w:rPr>
        <w:t>f Site</w:t>
      </w:r>
    </w:p>
    <w:p w14:paraId="10C396E1" w14:textId="77777777" w:rsidR="000A6B3D" w:rsidRPr="000A6B3D" w:rsidRDefault="000A6B3D" w:rsidP="000A6B3D">
      <w:pPr>
        <w:pStyle w:val="ListParagraph"/>
        <w:keepNext/>
        <w:spacing w:line="240" w:lineRule="auto"/>
        <w:ind w:left="-360"/>
        <w:rPr>
          <w:sz w:val="32"/>
          <w:szCs w:val="32"/>
          <w:u w:val="single"/>
        </w:rPr>
      </w:pPr>
    </w:p>
    <w:p w14:paraId="3A7FEC10" w14:textId="151062FE" w:rsidR="002049A2" w:rsidRPr="008A5E1F" w:rsidRDefault="002049A2" w:rsidP="00C8532A">
      <w:pPr>
        <w:pStyle w:val="ListParagraph"/>
        <w:numPr>
          <w:ilvl w:val="0"/>
          <w:numId w:val="30"/>
        </w:numPr>
        <w:spacing w:before="360" w:line="240" w:lineRule="auto"/>
        <w:rPr>
          <w:sz w:val="28"/>
          <w:szCs w:val="28"/>
        </w:rPr>
      </w:pPr>
      <w:r w:rsidRPr="008A5E1F">
        <w:rPr>
          <w:color w:val="0070C0"/>
          <w:sz w:val="28"/>
          <w:szCs w:val="28"/>
        </w:rPr>
        <w:t xml:space="preserve">How </w:t>
      </w:r>
      <w:r w:rsidR="00BC5752">
        <w:rPr>
          <w:color w:val="0070C0"/>
          <w:sz w:val="28"/>
          <w:szCs w:val="28"/>
        </w:rPr>
        <w:t xml:space="preserve">should </w:t>
      </w:r>
      <w:r w:rsidRPr="008A5E1F">
        <w:rPr>
          <w:color w:val="0070C0"/>
          <w:sz w:val="28"/>
          <w:szCs w:val="28"/>
        </w:rPr>
        <w:t xml:space="preserve">a future planned building </w:t>
      </w:r>
      <w:r w:rsidR="00BC5752">
        <w:rPr>
          <w:color w:val="0070C0"/>
          <w:sz w:val="28"/>
          <w:szCs w:val="28"/>
        </w:rPr>
        <w:t xml:space="preserve">be evaluated </w:t>
      </w:r>
      <w:r w:rsidRPr="008A5E1F">
        <w:rPr>
          <w:color w:val="0070C0"/>
          <w:sz w:val="28"/>
          <w:szCs w:val="28"/>
        </w:rPr>
        <w:t>if the vapor source is shallower than 5 feet below grade?</w:t>
      </w:r>
      <w:r w:rsidR="00A662AE">
        <w:rPr>
          <w:color w:val="0070C0"/>
          <w:sz w:val="28"/>
          <w:szCs w:val="28"/>
        </w:rPr>
        <w:t xml:space="preserve"> </w:t>
      </w:r>
      <w:r w:rsidRPr="008A5E1F">
        <w:rPr>
          <w:color w:val="0070C0"/>
          <w:sz w:val="28"/>
          <w:szCs w:val="28"/>
        </w:rPr>
        <w:t>The new guidance does not permit soil gas sampling within a depth of 5 feet below grade.</w:t>
      </w:r>
    </w:p>
    <w:p w14:paraId="2C06D2AC" w14:textId="49C59241" w:rsidR="00130065" w:rsidRDefault="002049A2" w:rsidP="002049A2">
      <w:pPr>
        <w:spacing w:before="360" w:line="240" w:lineRule="auto"/>
        <w:ind w:left="720" w:hanging="540"/>
        <w:rPr>
          <w:sz w:val="28"/>
          <w:szCs w:val="28"/>
        </w:rPr>
      </w:pPr>
      <w:r w:rsidRPr="008A5E1F">
        <w:rPr>
          <w:sz w:val="28"/>
          <w:szCs w:val="28"/>
        </w:rPr>
        <w:t xml:space="preserve">Response: </w:t>
      </w:r>
      <w:r w:rsidR="00130065" w:rsidRPr="008A5E1F">
        <w:rPr>
          <w:sz w:val="28"/>
          <w:szCs w:val="28"/>
        </w:rPr>
        <w:t>Horizontal proximity distances should be considered</w:t>
      </w:r>
      <w:r w:rsidR="00291796">
        <w:rPr>
          <w:sz w:val="28"/>
          <w:szCs w:val="28"/>
        </w:rPr>
        <w:t xml:space="preserve"> to determine</w:t>
      </w:r>
      <w:r w:rsidR="00130065" w:rsidRPr="008A5E1F">
        <w:rPr>
          <w:sz w:val="28"/>
          <w:szCs w:val="28"/>
        </w:rPr>
        <w:t xml:space="preserve"> </w:t>
      </w:r>
      <w:r w:rsidR="00291796">
        <w:rPr>
          <w:sz w:val="28"/>
          <w:szCs w:val="28"/>
        </w:rPr>
        <w:t>i</w:t>
      </w:r>
      <w:r w:rsidR="00130065" w:rsidRPr="008A5E1F">
        <w:rPr>
          <w:sz w:val="28"/>
          <w:szCs w:val="28"/>
        </w:rPr>
        <w:t xml:space="preserve">f the </w:t>
      </w:r>
      <w:r w:rsidR="00291796">
        <w:rPr>
          <w:sz w:val="28"/>
          <w:szCs w:val="28"/>
        </w:rPr>
        <w:t>proposed</w:t>
      </w:r>
      <w:r w:rsidR="00130065" w:rsidRPr="008A5E1F">
        <w:rPr>
          <w:sz w:val="28"/>
          <w:szCs w:val="28"/>
        </w:rPr>
        <w:t xml:space="preserve"> building</w:t>
      </w:r>
      <w:r w:rsidR="00291796">
        <w:rPr>
          <w:sz w:val="28"/>
          <w:szCs w:val="28"/>
        </w:rPr>
        <w:t xml:space="preserve"> location</w:t>
      </w:r>
      <w:r w:rsidR="00130065" w:rsidRPr="008A5E1F">
        <w:rPr>
          <w:sz w:val="28"/>
          <w:szCs w:val="28"/>
        </w:rPr>
        <w:t xml:space="preserve"> is </w:t>
      </w:r>
      <w:r w:rsidR="00291796">
        <w:rPr>
          <w:sz w:val="28"/>
          <w:szCs w:val="28"/>
        </w:rPr>
        <w:t>beyond</w:t>
      </w:r>
      <w:r w:rsidR="00130065" w:rsidRPr="008A5E1F">
        <w:rPr>
          <w:sz w:val="28"/>
          <w:szCs w:val="28"/>
        </w:rPr>
        <w:t xml:space="preserve"> the horizontal proximity distance from the source</w:t>
      </w:r>
      <w:r w:rsidR="00291796">
        <w:rPr>
          <w:sz w:val="28"/>
          <w:szCs w:val="28"/>
        </w:rPr>
        <w:t>.</w:t>
      </w:r>
      <w:r w:rsidR="00A662AE">
        <w:rPr>
          <w:sz w:val="28"/>
          <w:szCs w:val="28"/>
        </w:rPr>
        <w:t xml:space="preserve"> </w:t>
      </w:r>
      <w:r w:rsidR="00291796">
        <w:rPr>
          <w:sz w:val="28"/>
          <w:szCs w:val="28"/>
        </w:rPr>
        <w:t xml:space="preserve">If so, </w:t>
      </w:r>
      <w:r w:rsidR="00130065" w:rsidRPr="008A5E1F">
        <w:rPr>
          <w:sz w:val="28"/>
          <w:szCs w:val="28"/>
        </w:rPr>
        <w:t xml:space="preserve">no </w:t>
      </w:r>
      <w:r w:rsidR="00291796">
        <w:rPr>
          <w:sz w:val="28"/>
          <w:szCs w:val="28"/>
        </w:rPr>
        <w:t>additional</w:t>
      </w:r>
      <w:r w:rsidR="00130065" w:rsidRPr="008A5E1F">
        <w:rPr>
          <w:sz w:val="28"/>
          <w:szCs w:val="28"/>
        </w:rPr>
        <w:t xml:space="preserve"> VI evaluation </w:t>
      </w:r>
      <w:r w:rsidR="00291796">
        <w:rPr>
          <w:sz w:val="28"/>
          <w:szCs w:val="28"/>
        </w:rPr>
        <w:t xml:space="preserve">would be </w:t>
      </w:r>
      <w:r w:rsidR="00130065" w:rsidRPr="008A5E1F">
        <w:rPr>
          <w:sz w:val="28"/>
          <w:szCs w:val="28"/>
        </w:rPr>
        <w:t>needed</w:t>
      </w:r>
      <w:r w:rsidR="009C193E">
        <w:rPr>
          <w:sz w:val="28"/>
          <w:szCs w:val="28"/>
        </w:rPr>
        <w:t xml:space="preserve"> unless preferential pathways are a concern</w:t>
      </w:r>
      <w:r w:rsidR="00130065" w:rsidRPr="008A5E1F">
        <w:rPr>
          <w:sz w:val="28"/>
          <w:szCs w:val="28"/>
        </w:rPr>
        <w:t>.</w:t>
      </w:r>
    </w:p>
    <w:p w14:paraId="588FEFBD" w14:textId="0192E8BE" w:rsidR="002049A2" w:rsidRPr="008A5E1F" w:rsidRDefault="002049A2" w:rsidP="00130065">
      <w:pPr>
        <w:spacing w:before="360" w:line="240" w:lineRule="auto"/>
        <w:ind w:left="720"/>
        <w:rPr>
          <w:sz w:val="28"/>
          <w:szCs w:val="28"/>
        </w:rPr>
      </w:pPr>
      <w:r w:rsidRPr="008A5E1F">
        <w:rPr>
          <w:sz w:val="28"/>
          <w:szCs w:val="28"/>
        </w:rPr>
        <w:t xml:space="preserve">For a future </w:t>
      </w:r>
      <w:r w:rsidR="004D2190">
        <w:rPr>
          <w:sz w:val="28"/>
          <w:szCs w:val="28"/>
        </w:rPr>
        <w:t xml:space="preserve">slab-on-grade </w:t>
      </w:r>
      <w:r w:rsidRPr="008A5E1F">
        <w:rPr>
          <w:sz w:val="28"/>
          <w:szCs w:val="28"/>
        </w:rPr>
        <w:t>building with</w:t>
      </w:r>
      <w:r w:rsidR="00291796">
        <w:rPr>
          <w:sz w:val="28"/>
          <w:szCs w:val="28"/>
        </w:rPr>
        <w:t>in a proximity distance to</w:t>
      </w:r>
      <w:r w:rsidRPr="008A5E1F">
        <w:rPr>
          <w:sz w:val="28"/>
          <w:szCs w:val="28"/>
        </w:rPr>
        <w:t xml:space="preserve"> a vapor source shallower than 5 feet below grade, soil </w:t>
      </w:r>
      <w:r w:rsidR="008143E1">
        <w:rPr>
          <w:sz w:val="28"/>
          <w:szCs w:val="28"/>
        </w:rPr>
        <w:t xml:space="preserve">or groundwater </w:t>
      </w:r>
      <w:r w:rsidRPr="008A5E1F">
        <w:rPr>
          <w:sz w:val="28"/>
          <w:szCs w:val="28"/>
        </w:rPr>
        <w:t>data</w:t>
      </w:r>
      <w:r w:rsidR="00BC5752">
        <w:rPr>
          <w:sz w:val="28"/>
          <w:szCs w:val="28"/>
        </w:rPr>
        <w:t xml:space="preserve"> can be used to model indoor air</w:t>
      </w:r>
      <w:r w:rsidR="00291796">
        <w:rPr>
          <w:sz w:val="28"/>
          <w:szCs w:val="28"/>
        </w:rPr>
        <w:t xml:space="preserve"> concentrations</w:t>
      </w:r>
      <w:r w:rsidR="004D2190">
        <w:rPr>
          <w:sz w:val="28"/>
          <w:szCs w:val="28"/>
        </w:rPr>
        <w:t xml:space="preserve"> or inhalation risks, depending on the standard being attained</w:t>
      </w:r>
      <w:r w:rsidRPr="008A5E1F">
        <w:rPr>
          <w:sz w:val="28"/>
          <w:szCs w:val="28"/>
        </w:rPr>
        <w:t>.</w:t>
      </w:r>
      <w:r w:rsidR="00A662AE">
        <w:rPr>
          <w:sz w:val="28"/>
          <w:szCs w:val="28"/>
        </w:rPr>
        <w:t xml:space="preserve"> </w:t>
      </w:r>
    </w:p>
    <w:p w14:paraId="3288A961" w14:textId="5E710D5B" w:rsidR="002049A2" w:rsidRPr="008A5E1F" w:rsidRDefault="00291796" w:rsidP="002049A2">
      <w:pPr>
        <w:spacing w:before="360" w:line="240" w:lineRule="auto"/>
        <w:ind w:left="720"/>
        <w:rPr>
          <w:sz w:val="28"/>
          <w:szCs w:val="28"/>
        </w:rPr>
      </w:pPr>
      <w:r>
        <w:rPr>
          <w:sz w:val="28"/>
          <w:szCs w:val="28"/>
        </w:rPr>
        <w:t xml:space="preserve">Additional options include prohibiting future construction in certain areas using a land use restriction, </w:t>
      </w:r>
      <w:r w:rsidR="00DB5363">
        <w:rPr>
          <w:sz w:val="28"/>
          <w:szCs w:val="28"/>
        </w:rPr>
        <w:t>requiring</w:t>
      </w:r>
      <w:r w:rsidR="002049A2" w:rsidRPr="008A5E1F">
        <w:rPr>
          <w:sz w:val="28"/>
          <w:szCs w:val="28"/>
        </w:rPr>
        <w:t xml:space="preserve"> mitigation system</w:t>
      </w:r>
      <w:r>
        <w:rPr>
          <w:sz w:val="28"/>
          <w:szCs w:val="28"/>
        </w:rPr>
        <w:t>s for future construction</w:t>
      </w:r>
      <w:r w:rsidR="008143E1">
        <w:rPr>
          <w:sz w:val="28"/>
          <w:szCs w:val="28"/>
        </w:rPr>
        <w:t>, remediati</w:t>
      </w:r>
      <w:r>
        <w:rPr>
          <w:sz w:val="28"/>
          <w:szCs w:val="28"/>
        </w:rPr>
        <w:t>ng the VI sources</w:t>
      </w:r>
      <w:r w:rsidR="008143E1">
        <w:rPr>
          <w:sz w:val="28"/>
          <w:szCs w:val="28"/>
        </w:rPr>
        <w:t xml:space="preserve">, or </w:t>
      </w:r>
      <w:r>
        <w:rPr>
          <w:sz w:val="28"/>
          <w:szCs w:val="28"/>
        </w:rPr>
        <w:t xml:space="preserve">post-construction VI </w:t>
      </w:r>
      <w:r w:rsidR="008143E1">
        <w:rPr>
          <w:sz w:val="28"/>
          <w:szCs w:val="28"/>
        </w:rPr>
        <w:t>evaluation</w:t>
      </w:r>
      <w:r w:rsidR="009C193E">
        <w:rPr>
          <w:sz w:val="28"/>
          <w:szCs w:val="28"/>
        </w:rPr>
        <w:t xml:space="preserve"> with activity and use limitations</w:t>
      </w:r>
      <w:r w:rsidR="002049A2" w:rsidRPr="008A5E1F">
        <w:rPr>
          <w:sz w:val="28"/>
          <w:szCs w:val="28"/>
        </w:rPr>
        <w:t>.</w:t>
      </w:r>
      <w:r w:rsidR="00A662AE">
        <w:rPr>
          <w:sz w:val="28"/>
          <w:szCs w:val="28"/>
        </w:rPr>
        <w:t xml:space="preserve"> </w:t>
      </w:r>
    </w:p>
    <w:p w14:paraId="3FD6CD9F" w14:textId="044B17CC" w:rsidR="002049A2" w:rsidRPr="008A5E1F" w:rsidRDefault="002049A2" w:rsidP="002049A2">
      <w:pPr>
        <w:spacing w:before="360" w:line="240" w:lineRule="auto"/>
        <w:ind w:left="900"/>
        <w:rPr>
          <w:sz w:val="28"/>
          <w:szCs w:val="28"/>
        </w:rPr>
      </w:pPr>
      <w:r w:rsidRPr="008A5E1F">
        <w:rPr>
          <w:sz w:val="28"/>
          <w:szCs w:val="28"/>
        </w:rPr>
        <w:t>Reference: VI Guidance Section</w:t>
      </w:r>
      <w:r w:rsidR="004D2190">
        <w:rPr>
          <w:sz w:val="28"/>
          <w:szCs w:val="28"/>
        </w:rPr>
        <w:t>s</w:t>
      </w:r>
      <w:r w:rsidRPr="008A5E1F">
        <w:rPr>
          <w:sz w:val="28"/>
          <w:szCs w:val="28"/>
        </w:rPr>
        <w:t xml:space="preserve"> E.</w:t>
      </w:r>
      <w:r w:rsidR="004D2190">
        <w:rPr>
          <w:sz w:val="28"/>
          <w:szCs w:val="28"/>
        </w:rPr>
        <w:t>,</w:t>
      </w:r>
      <w:r w:rsidRPr="008A5E1F">
        <w:rPr>
          <w:sz w:val="28"/>
          <w:szCs w:val="28"/>
        </w:rPr>
        <w:t xml:space="preserve"> G.3</w:t>
      </w:r>
      <w:r w:rsidR="004D2190">
        <w:rPr>
          <w:sz w:val="28"/>
          <w:szCs w:val="28"/>
        </w:rPr>
        <w:t>, and H</w:t>
      </w:r>
      <w:r w:rsidRPr="008A5E1F">
        <w:rPr>
          <w:sz w:val="28"/>
          <w:szCs w:val="28"/>
        </w:rPr>
        <w:t>.</w:t>
      </w:r>
    </w:p>
    <w:p w14:paraId="002BF456" w14:textId="4163D3A6" w:rsidR="00216BF7" w:rsidRPr="00A662AE" w:rsidRDefault="00216BF7" w:rsidP="00A662AE">
      <w:pPr>
        <w:spacing w:line="240" w:lineRule="auto"/>
        <w:rPr>
          <w:sz w:val="18"/>
          <w:szCs w:val="18"/>
          <w:u w:val="single"/>
        </w:rPr>
      </w:pPr>
      <w:bookmarkStart w:id="5" w:name="Mitigation"/>
      <w:bookmarkEnd w:id="5"/>
    </w:p>
    <w:p w14:paraId="31493699" w14:textId="3219CFA9" w:rsidR="00DD406A" w:rsidRDefault="00957500" w:rsidP="00A662AE">
      <w:pPr>
        <w:spacing w:before="360" w:line="240" w:lineRule="auto"/>
        <w:ind w:left="720" w:hanging="1987"/>
        <w:rPr>
          <w:sz w:val="36"/>
          <w:szCs w:val="36"/>
        </w:rPr>
      </w:pPr>
      <w:hyperlink w:anchor="_top" w:history="1">
        <w:r w:rsidR="00623EE5" w:rsidRPr="008A5E1F">
          <w:rPr>
            <w:rStyle w:val="Hyperlink"/>
          </w:rPr>
          <w:t>Back to Top</w:t>
        </w:r>
        <w:r w:rsidR="00A662AE">
          <w:rPr>
            <w:rStyle w:val="Hyperlink"/>
            <w:u w:val="none"/>
          </w:rPr>
          <w:t xml:space="preserve"> </w:t>
        </w:r>
        <w:r w:rsidR="00623EE5" w:rsidRPr="008A5E1F">
          <w:rPr>
            <w:rStyle w:val="Hyperlink"/>
            <w:u w:val="none"/>
          </w:rPr>
          <w:t xml:space="preserve"> </w:t>
        </w:r>
      </w:hyperlink>
      <w:r w:rsidR="00623EE5" w:rsidRPr="008A5E1F">
        <w:rPr>
          <w:sz w:val="36"/>
          <w:szCs w:val="36"/>
        </w:rPr>
        <w:t xml:space="preserve"> </w:t>
      </w:r>
    </w:p>
    <w:p w14:paraId="60C05DA1" w14:textId="77777777" w:rsidR="00F44F0E" w:rsidRPr="00AD6681" w:rsidRDefault="00623EE5" w:rsidP="00A05160">
      <w:pPr>
        <w:pStyle w:val="ListParagraph"/>
        <w:numPr>
          <w:ilvl w:val="0"/>
          <w:numId w:val="16"/>
        </w:numPr>
        <w:spacing w:line="240" w:lineRule="auto"/>
        <w:ind w:left="-360"/>
        <w:rPr>
          <w:sz w:val="32"/>
          <w:szCs w:val="32"/>
          <w:u w:val="single"/>
        </w:rPr>
      </w:pPr>
      <w:r w:rsidRPr="008A5E1F">
        <w:rPr>
          <w:sz w:val="32"/>
          <w:szCs w:val="32"/>
          <w:u w:val="single"/>
        </w:rPr>
        <w:lastRenderedPageBreak/>
        <w:t>Mode</w:t>
      </w:r>
      <w:bookmarkStart w:id="6" w:name="Modeling"/>
      <w:bookmarkEnd w:id="6"/>
      <w:r w:rsidRPr="008A5E1F">
        <w:rPr>
          <w:sz w:val="32"/>
          <w:szCs w:val="32"/>
          <w:u w:val="single"/>
        </w:rPr>
        <w:t xml:space="preserve">ling </w:t>
      </w:r>
    </w:p>
    <w:p w14:paraId="4ED4CDBE" w14:textId="77777777" w:rsidR="00F44F0E" w:rsidRPr="008A5E1F" w:rsidRDefault="00F44F0E" w:rsidP="00F44F0E">
      <w:pPr>
        <w:pStyle w:val="ListParagraph"/>
        <w:spacing w:before="360" w:line="240" w:lineRule="auto"/>
        <w:ind w:left="864"/>
        <w:rPr>
          <w:sz w:val="28"/>
          <w:szCs w:val="28"/>
        </w:rPr>
      </w:pPr>
    </w:p>
    <w:p w14:paraId="54E5CD36" w14:textId="74D8D093" w:rsidR="00623EE5" w:rsidRPr="008A5E1F" w:rsidRDefault="0014284D" w:rsidP="00C8532A">
      <w:pPr>
        <w:pStyle w:val="ListParagraph"/>
        <w:numPr>
          <w:ilvl w:val="0"/>
          <w:numId w:val="38"/>
        </w:numPr>
        <w:spacing w:before="360" w:line="240" w:lineRule="auto"/>
        <w:rPr>
          <w:sz w:val="28"/>
          <w:szCs w:val="28"/>
        </w:rPr>
      </w:pPr>
      <w:r w:rsidRPr="008A5E1F">
        <w:rPr>
          <w:color w:val="0070C0"/>
          <w:sz w:val="28"/>
          <w:szCs w:val="28"/>
        </w:rPr>
        <w:t>Is it necessary</w:t>
      </w:r>
      <w:r w:rsidR="00623EE5" w:rsidRPr="008A5E1F">
        <w:rPr>
          <w:color w:val="0070C0"/>
          <w:sz w:val="28"/>
          <w:szCs w:val="28"/>
        </w:rPr>
        <w:t xml:space="preserve"> to use the default attenuation factors to evaluate soil gas data for the SH</w:t>
      </w:r>
      <w:r w:rsidR="000E0B5F" w:rsidRPr="008A5E1F">
        <w:rPr>
          <w:color w:val="0070C0"/>
          <w:sz w:val="28"/>
          <w:szCs w:val="28"/>
        </w:rPr>
        <w:t>S vapor screening process?</w:t>
      </w:r>
      <w:r w:rsidR="00A662AE">
        <w:rPr>
          <w:color w:val="0070C0"/>
          <w:sz w:val="28"/>
          <w:szCs w:val="28"/>
        </w:rPr>
        <w:t xml:space="preserve"> </w:t>
      </w:r>
      <w:r w:rsidR="000E0B5F" w:rsidRPr="008A5E1F">
        <w:rPr>
          <w:color w:val="0070C0"/>
          <w:sz w:val="28"/>
          <w:szCs w:val="28"/>
        </w:rPr>
        <w:t>C</w:t>
      </w:r>
      <w:r w:rsidR="00623EE5" w:rsidRPr="008A5E1F">
        <w:rPr>
          <w:color w:val="0070C0"/>
          <w:sz w:val="28"/>
          <w:szCs w:val="28"/>
        </w:rPr>
        <w:t xml:space="preserve">an the J&amp;E model </w:t>
      </w:r>
      <w:r w:rsidR="00F934CD">
        <w:rPr>
          <w:color w:val="0070C0"/>
          <w:sz w:val="28"/>
          <w:szCs w:val="28"/>
        </w:rPr>
        <w:t xml:space="preserve">be used </w:t>
      </w:r>
      <w:r w:rsidR="00623EE5" w:rsidRPr="008A5E1F">
        <w:rPr>
          <w:color w:val="0070C0"/>
          <w:sz w:val="28"/>
          <w:szCs w:val="28"/>
        </w:rPr>
        <w:t>to estimate a site</w:t>
      </w:r>
      <w:r w:rsidR="0021206C">
        <w:rPr>
          <w:color w:val="0070C0"/>
          <w:sz w:val="28"/>
          <w:szCs w:val="28"/>
        </w:rPr>
        <w:t xml:space="preserve">- or </w:t>
      </w:r>
      <w:r w:rsidR="00623EE5" w:rsidRPr="008A5E1F">
        <w:rPr>
          <w:color w:val="0070C0"/>
          <w:sz w:val="28"/>
          <w:szCs w:val="28"/>
        </w:rPr>
        <w:t>building-specific attenuation factor</w:t>
      </w:r>
      <w:r w:rsidR="000E0B5F" w:rsidRPr="008A5E1F">
        <w:rPr>
          <w:color w:val="0070C0"/>
          <w:sz w:val="28"/>
          <w:szCs w:val="28"/>
        </w:rPr>
        <w:t xml:space="preserve"> instead</w:t>
      </w:r>
      <w:r w:rsidR="00623EE5" w:rsidRPr="008A5E1F">
        <w:rPr>
          <w:color w:val="0070C0"/>
          <w:sz w:val="28"/>
          <w:szCs w:val="28"/>
        </w:rPr>
        <w:t>?</w:t>
      </w:r>
    </w:p>
    <w:p w14:paraId="0EFE6CA2" w14:textId="3476FEBF" w:rsidR="00AC1339" w:rsidRDefault="00623EE5" w:rsidP="00623EE5">
      <w:pPr>
        <w:spacing w:before="360" w:line="240" w:lineRule="auto"/>
        <w:ind w:left="720" w:hanging="540"/>
        <w:rPr>
          <w:sz w:val="28"/>
          <w:szCs w:val="28"/>
        </w:rPr>
      </w:pPr>
      <w:r w:rsidRPr="008A5E1F">
        <w:rPr>
          <w:sz w:val="28"/>
          <w:szCs w:val="28"/>
        </w:rPr>
        <w:t>Response:</w:t>
      </w:r>
      <w:r w:rsidR="00A662AE">
        <w:rPr>
          <w:sz w:val="28"/>
          <w:szCs w:val="28"/>
        </w:rPr>
        <w:t xml:space="preserve"> </w:t>
      </w:r>
      <w:r w:rsidR="0097643F">
        <w:rPr>
          <w:sz w:val="28"/>
          <w:szCs w:val="28"/>
        </w:rPr>
        <w:t>Under the SHS, screening values cannot be adjusted.</w:t>
      </w:r>
      <w:r w:rsidR="00A662AE">
        <w:rPr>
          <w:sz w:val="28"/>
          <w:szCs w:val="28"/>
        </w:rPr>
        <w:t xml:space="preserve"> </w:t>
      </w:r>
      <w:r w:rsidR="0097643F">
        <w:rPr>
          <w:sz w:val="28"/>
          <w:szCs w:val="28"/>
        </w:rPr>
        <w:t xml:space="preserve">If </w:t>
      </w:r>
      <w:r w:rsidR="00B653AD">
        <w:rPr>
          <w:sz w:val="28"/>
          <w:szCs w:val="28"/>
        </w:rPr>
        <w:t xml:space="preserve">a remediator wishes to adjust </w:t>
      </w:r>
      <w:r w:rsidR="0097643F">
        <w:rPr>
          <w:sz w:val="28"/>
          <w:szCs w:val="28"/>
        </w:rPr>
        <w:t>attenuation factors</w:t>
      </w:r>
      <w:r w:rsidR="00665270">
        <w:rPr>
          <w:sz w:val="28"/>
          <w:szCs w:val="28"/>
        </w:rPr>
        <w:t>,</w:t>
      </w:r>
      <w:r w:rsidR="0097643F">
        <w:rPr>
          <w:sz w:val="28"/>
          <w:szCs w:val="28"/>
        </w:rPr>
        <w:t xml:space="preserve"> </w:t>
      </w:r>
      <w:r w:rsidR="00B653AD">
        <w:rPr>
          <w:sz w:val="28"/>
          <w:szCs w:val="28"/>
        </w:rPr>
        <w:t>then VI must be evaluated under</w:t>
      </w:r>
      <w:r w:rsidR="0097643F">
        <w:rPr>
          <w:sz w:val="28"/>
          <w:szCs w:val="28"/>
        </w:rPr>
        <w:t xml:space="preserve"> the SSS.</w:t>
      </w:r>
      <w:r w:rsidR="00A662AE">
        <w:rPr>
          <w:sz w:val="28"/>
          <w:szCs w:val="28"/>
        </w:rPr>
        <w:t xml:space="preserve"> </w:t>
      </w:r>
      <w:r w:rsidR="00AC1339">
        <w:rPr>
          <w:sz w:val="28"/>
          <w:szCs w:val="28"/>
        </w:rPr>
        <w:t>The default attenuation factors for</w:t>
      </w:r>
      <w:r w:rsidR="00B653AD">
        <w:rPr>
          <w:sz w:val="28"/>
          <w:szCs w:val="28"/>
        </w:rPr>
        <w:t xml:space="preserve"> the</w:t>
      </w:r>
      <w:r w:rsidR="00AC1339">
        <w:rPr>
          <w:sz w:val="28"/>
          <w:szCs w:val="28"/>
        </w:rPr>
        <w:t xml:space="preserve"> sub-slab </w:t>
      </w:r>
      <w:r w:rsidR="00B653AD">
        <w:rPr>
          <w:sz w:val="28"/>
          <w:szCs w:val="28"/>
        </w:rPr>
        <w:t xml:space="preserve">screening values </w:t>
      </w:r>
      <w:r w:rsidR="00AC1339">
        <w:rPr>
          <w:sz w:val="28"/>
          <w:szCs w:val="28"/>
        </w:rPr>
        <w:t xml:space="preserve">and </w:t>
      </w:r>
      <w:r w:rsidR="00B653AD">
        <w:rPr>
          <w:sz w:val="28"/>
          <w:szCs w:val="28"/>
        </w:rPr>
        <w:t xml:space="preserve">the </w:t>
      </w:r>
      <w:r w:rsidR="00AC1339">
        <w:rPr>
          <w:sz w:val="28"/>
          <w:szCs w:val="28"/>
        </w:rPr>
        <w:t xml:space="preserve">groundwater </w:t>
      </w:r>
      <w:r w:rsidR="00B653AD">
        <w:rPr>
          <w:sz w:val="28"/>
          <w:szCs w:val="28"/>
        </w:rPr>
        <w:t xml:space="preserve">screening values </w:t>
      </w:r>
      <w:r w:rsidR="00AC1339">
        <w:rPr>
          <w:sz w:val="28"/>
          <w:szCs w:val="28"/>
        </w:rPr>
        <w:t>are based on EPA’s empirical database</w:t>
      </w:r>
      <w:r w:rsidR="00B653AD">
        <w:rPr>
          <w:sz w:val="28"/>
          <w:szCs w:val="28"/>
        </w:rPr>
        <w:t>.</w:t>
      </w:r>
      <w:r w:rsidR="00A662AE">
        <w:rPr>
          <w:sz w:val="28"/>
          <w:szCs w:val="28"/>
        </w:rPr>
        <w:t xml:space="preserve"> </w:t>
      </w:r>
      <w:r w:rsidR="00B653AD">
        <w:rPr>
          <w:sz w:val="28"/>
          <w:szCs w:val="28"/>
        </w:rPr>
        <w:t xml:space="preserve">The default attenuation factors </w:t>
      </w:r>
      <w:r w:rsidR="00AC1339">
        <w:rPr>
          <w:sz w:val="28"/>
          <w:szCs w:val="28"/>
        </w:rPr>
        <w:t xml:space="preserve">for </w:t>
      </w:r>
      <w:r w:rsidR="00B653AD">
        <w:rPr>
          <w:sz w:val="28"/>
          <w:szCs w:val="28"/>
        </w:rPr>
        <w:t xml:space="preserve">the </w:t>
      </w:r>
      <w:r w:rsidR="00AC1339">
        <w:rPr>
          <w:sz w:val="28"/>
          <w:szCs w:val="28"/>
        </w:rPr>
        <w:t>near</w:t>
      </w:r>
      <w:r w:rsidR="00B653AD">
        <w:rPr>
          <w:sz w:val="28"/>
          <w:szCs w:val="28"/>
        </w:rPr>
        <w:t>-</w:t>
      </w:r>
      <w:r w:rsidR="00AC1339">
        <w:rPr>
          <w:sz w:val="28"/>
          <w:szCs w:val="28"/>
        </w:rPr>
        <w:t>source</w:t>
      </w:r>
      <w:r w:rsidR="0097643F">
        <w:rPr>
          <w:sz w:val="28"/>
          <w:szCs w:val="28"/>
        </w:rPr>
        <w:t xml:space="preserve"> </w:t>
      </w:r>
      <w:r w:rsidR="00B653AD">
        <w:rPr>
          <w:sz w:val="28"/>
          <w:szCs w:val="28"/>
        </w:rPr>
        <w:t xml:space="preserve">soil gas </w:t>
      </w:r>
      <w:r w:rsidR="00AC1339">
        <w:rPr>
          <w:sz w:val="28"/>
          <w:szCs w:val="28"/>
        </w:rPr>
        <w:t xml:space="preserve">and soil </w:t>
      </w:r>
      <w:r w:rsidR="00B653AD">
        <w:rPr>
          <w:sz w:val="28"/>
          <w:szCs w:val="28"/>
        </w:rPr>
        <w:t xml:space="preserve">screening values </w:t>
      </w:r>
      <w:r w:rsidR="00AC1339">
        <w:rPr>
          <w:sz w:val="28"/>
          <w:szCs w:val="28"/>
        </w:rPr>
        <w:t xml:space="preserve">are </w:t>
      </w:r>
      <w:r w:rsidR="00B653AD">
        <w:rPr>
          <w:sz w:val="28"/>
          <w:szCs w:val="28"/>
        </w:rPr>
        <w:t>based on</w:t>
      </w:r>
      <w:r w:rsidR="00AC1339">
        <w:rPr>
          <w:sz w:val="28"/>
          <w:szCs w:val="28"/>
        </w:rPr>
        <w:t xml:space="preserve"> DEP’s modeling studies.</w:t>
      </w:r>
      <w:r w:rsidR="00A662AE">
        <w:rPr>
          <w:sz w:val="28"/>
          <w:szCs w:val="28"/>
        </w:rPr>
        <w:t xml:space="preserve"> </w:t>
      </w:r>
    </w:p>
    <w:p w14:paraId="519A386D" w14:textId="2E3E5B93" w:rsidR="00623EE5" w:rsidRPr="008A5E1F" w:rsidRDefault="00BC5752" w:rsidP="00AC1339">
      <w:pPr>
        <w:spacing w:before="360" w:line="240" w:lineRule="auto"/>
        <w:ind w:left="720"/>
        <w:rPr>
          <w:sz w:val="28"/>
          <w:szCs w:val="28"/>
        </w:rPr>
      </w:pPr>
      <w:r>
        <w:rPr>
          <w:sz w:val="28"/>
          <w:szCs w:val="28"/>
        </w:rPr>
        <w:t>Attenuation factors other than the default</w:t>
      </w:r>
      <w:r w:rsidR="0021206C">
        <w:rPr>
          <w:sz w:val="28"/>
          <w:szCs w:val="28"/>
        </w:rPr>
        <w:t xml:space="preserve"> values</w:t>
      </w:r>
      <w:r>
        <w:rPr>
          <w:sz w:val="28"/>
          <w:szCs w:val="28"/>
        </w:rPr>
        <w:t xml:space="preserve"> may be used with adequate justification </w:t>
      </w:r>
      <w:r w:rsidR="00AC1339">
        <w:rPr>
          <w:sz w:val="28"/>
          <w:szCs w:val="28"/>
        </w:rPr>
        <w:t xml:space="preserve">under </w:t>
      </w:r>
      <w:r>
        <w:rPr>
          <w:sz w:val="28"/>
          <w:szCs w:val="28"/>
        </w:rPr>
        <w:t>the site-specific standard.</w:t>
      </w:r>
      <w:r w:rsidR="00623EE5" w:rsidRPr="008A5E1F">
        <w:rPr>
          <w:sz w:val="28"/>
          <w:szCs w:val="28"/>
        </w:rPr>
        <w:t xml:space="preserve"> </w:t>
      </w:r>
    </w:p>
    <w:p w14:paraId="24738291" w14:textId="77777777" w:rsidR="00623EE5" w:rsidRPr="008A5E1F" w:rsidRDefault="00623EE5" w:rsidP="00401012">
      <w:pPr>
        <w:spacing w:before="360" w:line="240" w:lineRule="auto"/>
        <w:ind w:left="900"/>
        <w:rPr>
          <w:sz w:val="28"/>
          <w:szCs w:val="28"/>
        </w:rPr>
      </w:pPr>
      <w:r w:rsidRPr="008A5E1F">
        <w:rPr>
          <w:sz w:val="28"/>
          <w:szCs w:val="28"/>
        </w:rPr>
        <w:t>Reference: VI Guidance</w:t>
      </w:r>
      <w:r w:rsidR="006C1517" w:rsidRPr="008A5E1F">
        <w:rPr>
          <w:sz w:val="28"/>
          <w:szCs w:val="28"/>
        </w:rPr>
        <w:t xml:space="preserve"> Appendix B.6</w:t>
      </w:r>
      <w:r w:rsidR="00DF455E" w:rsidRPr="008A5E1F">
        <w:rPr>
          <w:sz w:val="28"/>
          <w:szCs w:val="28"/>
        </w:rPr>
        <w:t>.</w:t>
      </w:r>
    </w:p>
    <w:p w14:paraId="7E64CDC3" w14:textId="77777777" w:rsidR="006C1517" w:rsidRPr="008A5E1F" w:rsidRDefault="006C1517" w:rsidP="00623EE5">
      <w:pPr>
        <w:spacing w:before="360" w:line="240" w:lineRule="auto"/>
        <w:ind w:left="720" w:hanging="540"/>
        <w:rPr>
          <w:sz w:val="28"/>
          <w:szCs w:val="28"/>
        </w:rPr>
      </w:pPr>
    </w:p>
    <w:p w14:paraId="7C36B0EA" w14:textId="2D9CEAEB" w:rsidR="00DD406A" w:rsidRDefault="00957500" w:rsidP="006C1517">
      <w:pPr>
        <w:keepNext/>
        <w:spacing w:before="360" w:line="240" w:lineRule="auto"/>
        <w:ind w:left="720" w:hanging="1987"/>
        <w:rPr>
          <w:sz w:val="36"/>
          <w:szCs w:val="36"/>
        </w:rPr>
      </w:pPr>
      <w:hyperlink w:anchor="_top" w:history="1">
        <w:r w:rsidR="00623EE5" w:rsidRPr="008A5E1F">
          <w:rPr>
            <w:rStyle w:val="Hyperlink"/>
          </w:rPr>
          <w:t>Back to Top</w:t>
        </w:r>
        <w:r w:rsidR="00A662AE">
          <w:rPr>
            <w:rStyle w:val="Hyperlink"/>
            <w:u w:val="none"/>
          </w:rPr>
          <w:t xml:space="preserve"> </w:t>
        </w:r>
        <w:r w:rsidR="00623EE5" w:rsidRPr="008A5E1F">
          <w:rPr>
            <w:rStyle w:val="Hyperlink"/>
            <w:u w:val="none"/>
          </w:rPr>
          <w:t xml:space="preserve"> </w:t>
        </w:r>
      </w:hyperlink>
      <w:r w:rsidR="00623EE5" w:rsidRPr="008A5E1F">
        <w:rPr>
          <w:sz w:val="36"/>
          <w:szCs w:val="36"/>
        </w:rPr>
        <w:t xml:space="preserve"> </w:t>
      </w:r>
    </w:p>
    <w:p w14:paraId="592E039B" w14:textId="77777777" w:rsidR="00623EE5" w:rsidRPr="008A5E1F" w:rsidRDefault="00623EE5" w:rsidP="00216BF7">
      <w:pPr>
        <w:pStyle w:val="ListParagraph"/>
        <w:keepNext/>
        <w:numPr>
          <w:ilvl w:val="0"/>
          <w:numId w:val="16"/>
        </w:numPr>
        <w:spacing w:line="240" w:lineRule="auto"/>
        <w:ind w:left="-360"/>
        <w:rPr>
          <w:sz w:val="32"/>
          <w:szCs w:val="32"/>
        </w:rPr>
      </w:pPr>
      <w:r w:rsidRPr="008A5E1F">
        <w:rPr>
          <w:sz w:val="32"/>
          <w:szCs w:val="32"/>
          <w:u w:val="single"/>
        </w:rPr>
        <w:t>Off</w:t>
      </w:r>
      <w:bookmarkStart w:id="7" w:name="_Hlt472604121"/>
      <w:bookmarkStart w:id="8" w:name="OffSiteProperties"/>
      <w:r w:rsidRPr="008A5E1F">
        <w:rPr>
          <w:sz w:val="32"/>
          <w:szCs w:val="32"/>
          <w:u w:val="single"/>
        </w:rPr>
        <w:t>-Site Properties</w:t>
      </w:r>
      <w:bookmarkEnd w:id="7"/>
      <w:bookmarkEnd w:id="8"/>
    </w:p>
    <w:p w14:paraId="554D4239" w14:textId="77777777" w:rsidR="00216BF7" w:rsidRPr="008A5E1F" w:rsidRDefault="00216BF7" w:rsidP="00216BF7">
      <w:pPr>
        <w:pStyle w:val="ListParagraph"/>
        <w:keepNext/>
        <w:spacing w:line="240" w:lineRule="auto"/>
        <w:ind w:left="-360"/>
        <w:rPr>
          <w:sz w:val="36"/>
          <w:szCs w:val="36"/>
        </w:rPr>
      </w:pPr>
    </w:p>
    <w:p w14:paraId="0FF27AA6" w14:textId="58EABF9F" w:rsidR="00623EE5" w:rsidRPr="008A5E1F" w:rsidRDefault="002568DB" w:rsidP="007531C5">
      <w:pPr>
        <w:pStyle w:val="ListParagraph"/>
        <w:numPr>
          <w:ilvl w:val="0"/>
          <w:numId w:val="32"/>
        </w:numPr>
        <w:spacing w:before="360" w:line="240" w:lineRule="auto"/>
        <w:rPr>
          <w:sz w:val="28"/>
          <w:szCs w:val="28"/>
        </w:rPr>
      </w:pPr>
      <w:r>
        <w:rPr>
          <w:color w:val="0070C0"/>
          <w:sz w:val="28"/>
          <w:szCs w:val="28"/>
        </w:rPr>
        <w:t>Do</w:t>
      </w:r>
      <w:r w:rsidR="0012164A" w:rsidRPr="008A5E1F">
        <w:rPr>
          <w:color w:val="0070C0"/>
          <w:sz w:val="28"/>
          <w:szCs w:val="28"/>
        </w:rPr>
        <w:t xml:space="preserve"> remediators</w:t>
      </w:r>
      <w:r w:rsidR="00623EE5" w:rsidRPr="008A5E1F">
        <w:rPr>
          <w:color w:val="0070C0"/>
          <w:sz w:val="28"/>
          <w:szCs w:val="28"/>
        </w:rPr>
        <w:t xml:space="preserve"> need to address </w:t>
      </w:r>
      <w:r w:rsidR="00354F67">
        <w:rPr>
          <w:color w:val="0070C0"/>
          <w:sz w:val="28"/>
          <w:szCs w:val="28"/>
        </w:rPr>
        <w:t xml:space="preserve">the </w:t>
      </w:r>
      <w:r w:rsidR="00623EE5" w:rsidRPr="008A5E1F">
        <w:rPr>
          <w:color w:val="0070C0"/>
          <w:sz w:val="28"/>
          <w:szCs w:val="28"/>
        </w:rPr>
        <w:t>potential future use of off</w:t>
      </w:r>
      <w:r w:rsidR="0012164A" w:rsidRPr="008A5E1F">
        <w:rPr>
          <w:color w:val="0070C0"/>
          <w:sz w:val="28"/>
          <w:szCs w:val="28"/>
        </w:rPr>
        <w:t>-</w:t>
      </w:r>
      <w:r w:rsidR="003D230E">
        <w:rPr>
          <w:color w:val="0070C0"/>
          <w:sz w:val="28"/>
          <w:szCs w:val="28"/>
        </w:rPr>
        <w:t>site properties</w:t>
      </w:r>
      <w:r w:rsidR="00623EE5" w:rsidRPr="008A5E1F">
        <w:rPr>
          <w:color w:val="0070C0"/>
          <w:sz w:val="28"/>
          <w:szCs w:val="28"/>
        </w:rPr>
        <w:t xml:space="preserve"> while evaluating vapor intrusion</w:t>
      </w:r>
      <w:r w:rsidR="0012164A" w:rsidRPr="008A5E1F">
        <w:rPr>
          <w:color w:val="0070C0"/>
          <w:sz w:val="28"/>
          <w:szCs w:val="28"/>
        </w:rPr>
        <w:t>?</w:t>
      </w:r>
      <w:r w:rsidR="00A662AE">
        <w:rPr>
          <w:color w:val="0070C0"/>
          <w:sz w:val="28"/>
          <w:szCs w:val="28"/>
        </w:rPr>
        <w:t xml:space="preserve"> </w:t>
      </w:r>
      <w:r w:rsidR="000974BF">
        <w:rPr>
          <w:color w:val="0070C0"/>
          <w:sz w:val="28"/>
          <w:szCs w:val="28"/>
        </w:rPr>
        <w:t>D</w:t>
      </w:r>
      <w:r w:rsidR="00623EE5" w:rsidRPr="008A5E1F">
        <w:rPr>
          <w:color w:val="0070C0"/>
          <w:sz w:val="28"/>
          <w:szCs w:val="28"/>
        </w:rPr>
        <w:t xml:space="preserve">oes the source property need to </w:t>
      </w:r>
      <w:r>
        <w:rPr>
          <w:color w:val="0070C0"/>
          <w:sz w:val="28"/>
          <w:szCs w:val="28"/>
        </w:rPr>
        <w:t xml:space="preserve">use </w:t>
      </w:r>
      <w:r w:rsidR="003D230E">
        <w:rPr>
          <w:color w:val="0070C0"/>
          <w:sz w:val="28"/>
          <w:szCs w:val="28"/>
        </w:rPr>
        <w:t>an environmental covenant</w:t>
      </w:r>
      <w:r w:rsidR="00623EE5" w:rsidRPr="008A5E1F">
        <w:rPr>
          <w:color w:val="0070C0"/>
          <w:sz w:val="28"/>
          <w:szCs w:val="28"/>
        </w:rPr>
        <w:t xml:space="preserve"> </w:t>
      </w:r>
      <w:r w:rsidR="000974BF">
        <w:rPr>
          <w:color w:val="0070C0"/>
          <w:sz w:val="28"/>
          <w:szCs w:val="28"/>
        </w:rPr>
        <w:t>to cover</w:t>
      </w:r>
      <w:r w:rsidR="00843F36" w:rsidRPr="008A5E1F">
        <w:rPr>
          <w:color w:val="0070C0"/>
          <w:sz w:val="28"/>
          <w:szCs w:val="28"/>
        </w:rPr>
        <w:t xml:space="preserve"> </w:t>
      </w:r>
      <w:r w:rsidR="003D230E">
        <w:rPr>
          <w:color w:val="0070C0"/>
          <w:sz w:val="28"/>
          <w:szCs w:val="28"/>
        </w:rPr>
        <w:t xml:space="preserve">the </w:t>
      </w:r>
      <w:r w:rsidR="00843F36" w:rsidRPr="008A5E1F">
        <w:rPr>
          <w:color w:val="0070C0"/>
          <w:sz w:val="28"/>
          <w:szCs w:val="28"/>
        </w:rPr>
        <w:t>potential future use</w:t>
      </w:r>
      <w:r w:rsidR="003D230E">
        <w:rPr>
          <w:color w:val="0070C0"/>
          <w:sz w:val="28"/>
          <w:szCs w:val="28"/>
        </w:rPr>
        <w:t xml:space="preserve"> of off-site properties</w:t>
      </w:r>
      <w:r w:rsidR="00623EE5" w:rsidRPr="008A5E1F">
        <w:rPr>
          <w:color w:val="0070C0"/>
          <w:sz w:val="28"/>
          <w:szCs w:val="28"/>
        </w:rPr>
        <w:t>?</w:t>
      </w:r>
    </w:p>
    <w:p w14:paraId="6457E208" w14:textId="7DDC700A" w:rsidR="003D230E" w:rsidRDefault="00623EE5" w:rsidP="003D230E">
      <w:pPr>
        <w:spacing w:before="360" w:line="240" w:lineRule="auto"/>
        <w:ind w:left="720" w:hanging="540"/>
        <w:rPr>
          <w:sz w:val="28"/>
          <w:szCs w:val="28"/>
        </w:rPr>
      </w:pPr>
      <w:r w:rsidRPr="008A5E1F">
        <w:rPr>
          <w:sz w:val="28"/>
          <w:szCs w:val="28"/>
        </w:rPr>
        <w:t>Response:</w:t>
      </w:r>
      <w:r w:rsidR="00A662AE">
        <w:rPr>
          <w:sz w:val="28"/>
          <w:szCs w:val="28"/>
        </w:rPr>
        <w:t xml:space="preserve"> </w:t>
      </w:r>
      <w:r w:rsidR="0097643F">
        <w:rPr>
          <w:sz w:val="28"/>
          <w:szCs w:val="28"/>
        </w:rPr>
        <w:t>If the future use plans for the of</w:t>
      </w:r>
      <w:r w:rsidR="00C30940">
        <w:rPr>
          <w:sz w:val="28"/>
          <w:szCs w:val="28"/>
        </w:rPr>
        <w:t>f-site property are known, then</w:t>
      </w:r>
      <w:r w:rsidR="00FA7629">
        <w:rPr>
          <w:sz w:val="28"/>
          <w:szCs w:val="28"/>
        </w:rPr>
        <w:t xml:space="preserve"> VI should be evaluated considering the</w:t>
      </w:r>
      <w:r w:rsidR="0097643F">
        <w:rPr>
          <w:sz w:val="28"/>
          <w:szCs w:val="28"/>
        </w:rPr>
        <w:t xml:space="preserve"> planned future use </w:t>
      </w:r>
      <w:r w:rsidR="00FA7629">
        <w:rPr>
          <w:sz w:val="28"/>
          <w:szCs w:val="28"/>
        </w:rPr>
        <w:t>of the off-site property</w:t>
      </w:r>
      <w:r w:rsidR="0097643F">
        <w:rPr>
          <w:sz w:val="28"/>
          <w:szCs w:val="28"/>
        </w:rPr>
        <w:t>.</w:t>
      </w:r>
      <w:r w:rsidR="00A662AE">
        <w:rPr>
          <w:sz w:val="28"/>
          <w:szCs w:val="28"/>
        </w:rPr>
        <w:t xml:space="preserve"> </w:t>
      </w:r>
      <w:r w:rsidR="0097643F">
        <w:rPr>
          <w:sz w:val="28"/>
          <w:szCs w:val="28"/>
        </w:rPr>
        <w:t>Otherwise, no additional VI evaluation is necessary</w:t>
      </w:r>
      <w:r w:rsidR="00FA7629">
        <w:rPr>
          <w:sz w:val="28"/>
          <w:szCs w:val="28"/>
        </w:rPr>
        <w:t xml:space="preserve"> for the off-site property</w:t>
      </w:r>
      <w:r w:rsidR="0097643F">
        <w:rPr>
          <w:sz w:val="28"/>
          <w:szCs w:val="28"/>
        </w:rPr>
        <w:t>.</w:t>
      </w:r>
      <w:r w:rsidR="00A662AE">
        <w:rPr>
          <w:sz w:val="28"/>
          <w:szCs w:val="28"/>
        </w:rPr>
        <w:t xml:space="preserve">  </w:t>
      </w:r>
    </w:p>
    <w:p w14:paraId="1A8741CC" w14:textId="36BE7A1C" w:rsidR="00623EE5" w:rsidRPr="008A5E1F" w:rsidRDefault="009F3C18" w:rsidP="003D230E">
      <w:pPr>
        <w:spacing w:before="360" w:line="240" w:lineRule="auto"/>
        <w:ind w:left="720"/>
        <w:rPr>
          <w:sz w:val="28"/>
          <w:szCs w:val="28"/>
        </w:rPr>
      </w:pPr>
      <w:r>
        <w:rPr>
          <w:sz w:val="28"/>
          <w:szCs w:val="28"/>
        </w:rPr>
        <w:t>When there is planned future development for an off-site proper</w:t>
      </w:r>
      <w:r w:rsidR="00FB0E95">
        <w:rPr>
          <w:sz w:val="28"/>
          <w:szCs w:val="28"/>
        </w:rPr>
        <w:t>ty, an environmental covenant may be</w:t>
      </w:r>
      <w:r>
        <w:rPr>
          <w:sz w:val="28"/>
          <w:szCs w:val="28"/>
        </w:rPr>
        <w:t xml:space="preserve"> required for the deed of that property</w:t>
      </w:r>
      <w:r w:rsidR="00FB0E95">
        <w:rPr>
          <w:sz w:val="28"/>
          <w:szCs w:val="28"/>
        </w:rPr>
        <w:t xml:space="preserve"> if the VI exposure pathway is potentially complete</w:t>
      </w:r>
      <w:r>
        <w:rPr>
          <w:sz w:val="28"/>
          <w:szCs w:val="28"/>
        </w:rPr>
        <w:t>.</w:t>
      </w:r>
      <w:r w:rsidR="00A662AE">
        <w:rPr>
          <w:sz w:val="28"/>
          <w:szCs w:val="28"/>
        </w:rPr>
        <w:t xml:space="preserve"> </w:t>
      </w:r>
      <w:r w:rsidR="00FB0E95">
        <w:rPr>
          <w:sz w:val="28"/>
          <w:szCs w:val="28"/>
        </w:rPr>
        <w:t xml:space="preserve">If a covenant cannot be </w:t>
      </w:r>
      <w:r w:rsidR="00FB0E95">
        <w:rPr>
          <w:sz w:val="28"/>
          <w:szCs w:val="28"/>
        </w:rPr>
        <w:lastRenderedPageBreak/>
        <w:t>placed on the downgradient property, then the selected cleanup standard or remedy may need to be revisited.</w:t>
      </w:r>
      <w:r>
        <w:rPr>
          <w:sz w:val="28"/>
          <w:szCs w:val="28"/>
        </w:rPr>
        <w:t xml:space="preserve"> </w:t>
      </w:r>
      <w:r w:rsidR="000974BF">
        <w:rPr>
          <w:sz w:val="28"/>
          <w:szCs w:val="28"/>
        </w:rPr>
        <w:t xml:space="preserve">The </w:t>
      </w:r>
      <w:r w:rsidR="002568DB">
        <w:rPr>
          <w:sz w:val="28"/>
          <w:szCs w:val="28"/>
        </w:rPr>
        <w:t xml:space="preserve">source </w:t>
      </w:r>
      <w:r w:rsidR="000974BF">
        <w:rPr>
          <w:sz w:val="28"/>
          <w:szCs w:val="28"/>
        </w:rPr>
        <w:t>property owner has the</w:t>
      </w:r>
      <w:r w:rsidR="00623EE5" w:rsidRPr="008A5E1F">
        <w:rPr>
          <w:sz w:val="28"/>
          <w:szCs w:val="28"/>
        </w:rPr>
        <w:t xml:space="preserve"> option of using an EC to monitor </w:t>
      </w:r>
      <w:r>
        <w:rPr>
          <w:sz w:val="28"/>
          <w:szCs w:val="28"/>
        </w:rPr>
        <w:t>for potential future exposure pathways at</w:t>
      </w:r>
      <w:r w:rsidR="00FA7629">
        <w:rPr>
          <w:sz w:val="28"/>
          <w:szCs w:val="28"/>
        </w:rPr>
        <w:t xml:space="preserve"> off-site properties</w:t>
      </w:r>
      <w:r w:rsidR="00623EE5" w:rsidRPr="008A5E1F">
        <w:rPr>
          <w:sz w:val="28"/>
          <w:szCs w:val="28"/>
        </w:rPr>
        <w:t xml:space="preserve">, but it is not required. If </w:t>
      </w:r>
      <w:r w:rsidR="0097643F">
        <w:rPr>
          <w:sz w:val="28"/>
          <w:szCs w:val="28"/>
        </w:rPr>
        <w:t xml:space="preserve">future use is not evaluated and </w:t>
      </w:r>
      <w:r w:rsidR="00623EE5" w:rsidRPr="008A5E1F">
        <w:rPr>
          <w:sz w:val="28"/>
          <w:szCs w:val="28"/>
        </w:rPr>
        <w:t>a building were to be constructed</w:t>
      </w:r>
      <w:r w:rsidR="0097643F">
        <w:rPr>
          <w:sz w:val="28"/>
          <w:szCs w:val="28"/>
        </w:rPr>
        <w:t>, VI would need to be evaluated.</w:t>
      </w:r>
    </w:p>
    <w:p w14:paraId="51F3F05F" w14:textId="4901B1BA" w:rsidR="00400457" w:rsidRPr="008A5E1F" w:rsidRDefault="00400457" w:rsidP="00400457">
      <w:pPr>
        <w:spacing w:before="360" w:line="240" w:lineRule="auto"/>
        <w:ind w:left="900"/>
        <w:rPr>
          <w:sz w:val="28"/>
          <w:szCs w:val="28"/>
        </w:rPr>
      </w:pPr>
      <w:r w:rsidRPr="008A5E1F">
        <w:rPr>
          <w:sz w:val="28"/>
          <w:szCs w:val="28"/>
        </w:rPr>
        <w:t>Reference: VI Guidance Section</w:t>
      </w:r>
      <w:r w:rsidR="00F81565">
        <w:rPr>
          <w:sz w:val="28"/>
          <w:szCs w:val="28"/>
        </w:rPr>
        <w:t>s</w:t>
      </w:r>
      <w:r w:rsidRPr="008A5E1F">
        <w:rPr>
          <w:sz w:val="28"/>
          <w:szCs w:val="28"/>
        </w:rPr>
        <w:t xml:space="preserve"> A</w:t>
      </w:r>
      <w:r w:rsidR="00DF455E" w:rsidRPr="008A5E1F">
        <w:rPr>
          <w:sz w:val="28"/>
          <w:szCs w:val="28"/>
        </w:rPr>
        <w:t>.</w:t>
      </w:r>
      <w:r w:rsidRPr="008A5E1F">
        <w:rPr>
          <w:sz w:val="28"/>
          <w:szCs w:val="28"/>
        </w:rPr>
        <w:t xml:space="preserve"> and H</w:t>
      </w:r>
      <w:r w:rsidR="00DF455E" w:rsidRPr="008A5E1F">
        <w:rPr>
          <w:sz w:val="28"/>
          <w:szCs w:val="28"/>
        </w:rPr>
        <w:t>.</w:t>
      </w:r>
      <w:r w:rsidR="009F3C18">
        <w:rPr>
          <w:sz w:val="28"/>
          <w:szCs w:val="28"/>
        </w:rPr>
        <w:t>; Act 2 Section 505.</w:t>
      </w:r>
    </w:p>
    <w:p w14:paraId="16594E5F" w14:textId="77777777" w:rsidR="00623EE5" w:rsidRPr="00A662AE" w:rsidRDefault="00623EE5" w:rsidP="001419C8">
      <w:pPr>
        <w:spacing w:before="360" w:line="240" w:lineRule="auto"/>
        <w:rPr>
          <w:sz w:val="18"/>
          <w:szCs w:val="18"/>
        </w:rPr>
      </w:pPr>
    </w:p>
    <w:p w14:paraId="7B204E87" w14:textId="1AABFEFF" w:rsidR="00DD406A" w:rsidRDefault="00957500" w:rsidP="00623EE5">
      <w:pPr>
        <w:spacing w:before="360" w:line="240" w:lineRule="auto"/>
        <w:ind w:hanging="1260"/>
        <w:rPr>
          <w:sz w:val="36"/>
          <w:szCs w:val="36"/>
        </w:rPr>
      </w:pPr>
      <w:hyperlink w:anchor="_top" w:history="1">
        <w:r w:rsidR="00623EE5" w:rsidRPr="008A5E1F">
          <w:rPr>
            <w:rStyle w:val="Hyperlink"/>
          </w:rPr>
          <w:t>Back to Top</w:t>
        </w:r>
        <w:r w:rsidR="00A662AE">
          <w:rPr>
            <w:rStyle w:val="Hyperlink"/>
            <w:u w:val="none"/>
          </w:rPr>
          <w:t xml:space="preserve"> </w:t>
        </w:r>
        <w:r w:rsidR="00623EE5" w:rsidRPr="008A5E1F">
          <w:rPr>
            <w:rStyle w:val="Hyperlink"/>
            <w:u w:val="none"/>
          </w:rPr>
          <w:t xml:space="preserve"> </w:t>
        </w:r>
      </w:hyperlink>
      <w:r w:rsidR="00623EE5" w:rsidRPr="008A5E1F">
        <w:rPr>
          <w:sz w:val="36"/>
          <w:szCs w:val="36"/>
        </w:rPr>
        <w:t xml:space="preserve"> </w:t>
      </w:r>
    </w:p>
    <w:p w14:paraId="21717DD7" w14:textId="77777777" w:rsidR="00EA6BEC" w:rsidRPr="008A5E1F" w:rsidRDefault="0097487B" w:rsidP="007A3AED">
      <w:pPr>
        <w:pStyle w:val="ListParagraph"/>
        <w:keepNext/>
        <w:numPr>
          <w:ilvl w:val="0"/>
          <w:numId w:val="16"/>
        </w:numPr>
        <w:spacing w:line="240" w:lineRule="auto"/>
        <w:ind w:left="-360"/>
        <w:rPr>
          <w:sz w:val="32"/>
          <w:szCs w:val="32"/>
          <w:u w:val="single"/>
        </w:rPr>
      </w:pPr>
      <w:r w:rsidRPr="008A5E1F">
        <w:rPr>
          <w:sz w:val="32"/>
          <w:szCs w:val="32"/>
          <w:u w:val="single"/>
        </w:rPr>
        <w:t>Preferential Path</w:t>
      </w:r>
      <w:bookmarkStart w:id="9" w:name="PreferentialPathways"/>
      <w:bookmarkEnd w:id="9"/>
      <w:r w:rsidRPr="008A5E1F">
        <w:rPr>
          <w:sz w:val="32"/>
          <w:szCs w:val="32"/>
          <w:u w:val="single"/>
        </w:rPr>
        <w:t>ways</w:t>
      </w:r>
    </w:p>
    <w:p w14:paraId="19F5710E" w14:textId="77777777" w:rsidR="007A3AED" w:rsidRPr="008A5E1F" w:rsidRDefault="007A3AED" w:rsidP="007A3AED">
      <w:pPr>
        <w:pStyle w:val="ListParagraph"/>
        <w:keepNext/>
        <w:spacing w:line="240" w:lineRule="auto"/>
        <w:ind w:left="-360"/>
        <w:rPr>
          <w:sz w:val="32"/>
          <w:szCs w:val="32"/>
          <w:u w:val="single"/>
        </w:rPr>
      </w:pPr>
    </w:p>
    <w:p w14:paraId="77FEF8A7" w14:textId="541DC8B8" w:rsidR="00793618" w:rsidRDefault="00B54A2D" w:rsidP="00C8532A">
      <w:pPr>
        <w:pStyle w:val="ListParagraph"/>
        <w:numPr>
          <w:ilvl w:val="0"/>
          <w:numId w:val="7"/>
        </w:numPr>
        <w:spacing w:before="360" w:line="240" w:lineRule="auto"/>
        <w:rPr>
          <w:sz w:val="28"/>
          <w:szCs w:val="28"/>
        </w:rPr>
      </w:pPr>
      <w:r>
        <w:rPr>
          <w:color w:val="0070C0"/>
          <w:sz w:val="28"/>
          <w:szCs w:val="28"/>
        </w:rPr>
        <w:t xml:space="preserve">Do </w:t>
      </w:r>
      <w:proofErr w:type="gramStart"/>
      <w:r w:rsidR="00B13278">
        <w:rPr>
          <w:color w:val="0070C0"/>
          <w:sz w:val="28"/>
          <w:szCs w:val="28"/>
        </w:rPr>
        <w:t xml:space="preserve">both of </w:t>
      </w:r>
      <w:r>
        <w:rPr>
          <w:color w:val="0070C0"/>
          <w:sz w:val="28"/>
          <w:szCs w:val="28"/>
        </w:rPr>
        <w:t>the</w:t>
      </w:r>
      <w:proofErr w:type="gramEnd"/>
      <w:r>
        <w:rPr>
          <w:color w:val="0070C0"/>
          <w:sz w:val="28"/>
          <w:szCs w:val="28"/>
        </w:rPr>
        <w:t xml:space="preserve"> vertical and horizontal separation distances between an external preferential pathway and a potential VI source need to be met for the separation distances to apply</w:t>
      </w:r>
      <w:r w:rsidR="00C30940">
        <w:rPr>
          <w:color w:val="0070C0"/>
          <w:sz w:val="28"/>
          <w:szCs w:val="28"/>
        </w:rPr>
        <w:t>,</w:t>
      </w:r>
      <w:r>
        <w:rPr>
          <w:color w:val="0070C0"/>
          <w:sz w:val="28"/>
          <w:szCs w:val="28"/>
        </w:rPr>
        <w:t xml:space="preserve"> or does only one of the two need to be met? </w:t>
      </w:r>
    </w:p>
    <w:p w14:paraId="1A2257A4" w14:textId="34456224" w:rsidR="00067238" w:rsidRPr="00793618" w:rsidRDefault="00793618" w:rsidP="00C8532A">
      <w:pPr>
        <w:spacing w:before="360" w:line="240" w:lineRule="auto"/>
        <w:ind w:left="720" w:hanging="540"/>
        <w:rPr>
          <w:sz w:val="28"/>
          <w:szCs w:val="28"/>
        </w:rPr>
      </w:pPr>
      <w:r w:rsidRPr="00793618">
        <w:rPr>
          <w:sz w:val="28"/>
          <w:szCs w:val="28"/>
        </w:rPr>
        <w:t>Response:</w:t>
      </w:r>
      <w:r w:rsidR="00A662AE">
        <w:rPr>
          <w:sz w:val="28"/>
          <w:szCs w:val="28"/>
        </w:rPr>
        <w:t xml:space="preserve"> </w:t>
      </w:r>
      <w:r w:rsidR="00067238">
        <w:rPr>
          <w:sz w:val="28"/>
          <w:szCs w:val="28"/>
        </w:rPr>
        <w:t>The guidance is incorrectly worded in Section D.1.</w:t>
      </w:r>
      <w:r w:rsidR="00A662AE">
        <w:rPr>
          <w:sz w:val="28"/>
          <w:szCs w:val="28"/>
        </w:rPr>
        <w:t xml:space="preserve"> </w:t>
      </w:r>
      <w:r w:rsidR="00067238">
        <w:rPr>
          <w:sz w:val="28"/>
          <w:szCs w:val="28"/>
        </w:rPr>
        <w:t>The text says that to be excluded as a preferential pathway, petroleum contamination is at least 30 horizontal AND 5 vertical feet from the feature.</w:t>
      </w:r>
      <w:r w:rsidR="00A662AE">
        <w:rPr>
          <w:sz w:val="28"/>
          <w:szCs w:val="28"/>
        </w:rPr>
        <w:t xml:space="preserve"> </w:t>
      </w:r>
      <w:r w:rsidR="00067238">
        <w:rPr>
          <w:sz w:val="28"/>
          <w:szCs w:val="28"/>
        </w:rPr>
        <w:t xml:space="preserve">The text should state that the contamination </w:t>
      </w:r>
      <w:r w:rsidR="0080283D">
        <w:rPr>
          <w:sz w:val="28"/>
          <w:szCs w:val="28"/>
        </w:rPr>
        <w:t xml:space="preserve">should be at least </w:t>
      </w:r>
      <w:r w:rsidR="00067238">
        <w:rPr>
          <w:sz w:val="28"/>
          <w:szCs w:val="28"/>
        </w:rPr>
        <w:t>30 horizontal OR 5 vertical feet from the feature.</w:t>
      </w:r>
      <w:r w:rsidR="00A662AE">
        <w:rPr>
          <w:sz w:val="28"/>
          <w:szCs w:val="28"/>
        </w:rPr>
        <w:t xml:space="preserve"> </w:t>
      </w:r>
      <w:r w:rsidR="00067238">
        <w:rPr>
          <w:sz w:val="28"/>
          <w:szCs w:val="28"/>
        </w:rPr>
        <w:t xml:space="preserve">The same </w:t>
      </w:r>
      <w:r w:rsidR="0080283D">
        <w:rPr>
          <w:sz w:val="28"/>
          <w:szCs w:val="28"/>
        </w:rPr>
        <w:t xml:space="preserve">correction </w:t>
      </w:r>
      <w:r w:rsidR="00067238">
        <w:rPr>
          <w:sz w:val="28"/>
          <w:szCs w:val="28"/>
        </w:rPr>
        <w:t>applies to SPL: any SPL should be at least 30 horizontal OR 15 vertical feet from the feature.</w:t>
      </w:r>
    </w:p>
    <w:p w14:paraId="3288DF6F" w14:textId="77777777" w:rsidR="00793618" w:rsidRPr="00793618" w:rsidRDefault="00334CB2" w:rsidP="00793618">
      <w:pPr>
        <w:pStyle w:val="ListParagraph"/>
        <w:spacing w:before="360" w:line="240" w:lineRule="auto"/>
        <w:ind w:left="864"/>
        <w:rPr>
          <w:sz w:val="28"/>
          <w:szCs w:val="28"/>
        </w:rPr>
      </w:pPr>
      <w:r>
        <w:rPr>
          <w:sz w:val="28"/>
          <w:szCs w:val="28"/>
        </w:rPr>
        <w:t>Reference: VI Guidance Section D.1.</w:t>
      </w:r>
    </w:p>
    <w:p w14:paraId="47F06949" w14:textId="77777777" w:rsidR="00793618" w:rsidRPr="00793618" w:rsidRDefault="00793618" w:rsidP="00793618">
      <w:pPr>
        <w:spacing w:before="360" w:line="240" w:lineRule="auto"/>
        <w:rPr>
          <w:sz w:val="28"/>
          <w:szCs w:val="28"/>
        </w:rPr>
      </w:pPr>
    </w:p>
    <w:p w14:paraId="6D03E5B1" w14:textId="77777777" w:rsidR="00576453" w:rsidRPr="008A5E1F" w:rsidRDefault="00576453" w:rsidP="00C30940">
      <w:pPr>
        <w:pStyle w:val="ListParagraph"/>
        <w:keepNext/>
        <w:numPr>
          <w:ilvl w:val="0"/>
          <w:numId w:val="7"/>
        </w:numPr>
        <w:spacing w:before="360" w:line="240" w:lineRule="auto"/>
        <w:rPr>
          <w:sz w:val="28"/>
          <w:szCs w:val="28"/>
        </w:rPr>
      </w:pPr>
      <w:r w:rsidRPr="008A5E1F">
        <w:rPr>
          <w:color w:val="0070C0"/>
          <w:sz w:val="28"/>
          <w:szCs w:val="28"/>
        </w:rPr>
        <w:t>Can a preferential pathway be addressed by eliminating the pathway?</w:t>
      </w:r>
    </w:p>
    <w:p w14:paraId="498F9EC7" w14:textId="715BA350" w:rsidR="00576453" w:rsidRPr="008A5E1F" w:rsidRDefault="00576453" w:rsidP="00576453">
      <w:pPr>
        <w:spacing w:before="360" w:line="240" w:lineRule="auto"/>
        <w:ind w:left="720" w:hanging="540"/>
        <w:rPr>
          <w:sz w:val="28"/>
          <w:szCs w:val="28"/>
        </w:rPr>
      </w:pPr>
      <w:r w:rsidRPr="008A5E1F">
        <w:rPr>
          <w:sz w:val="28"/>
          <w:szCs w:val="28"/>
        </w:rPr>
        <w:t>Response:</w:t>
      </w:r>
      <w:r w:rsidR="00A662AE">
        <w:rPr>
          <w:sz w:val="28"/>
          <w:szCs w:val="28"/>
        </w:rPr>
        <w:t xml:space="preserve"> </w:t>
      </w:r>
      <w:r w:rsidRPr="008A5E1F">
        <w:rPr>
          <w:sz w:val="28"/>
          <w:szCs w:val="28"/>
        </w:rPr>
        <w:t xml:space="preserve"> </w:t>
      </w:r>
      <w:r w:rsidR="0083113A" w:rsidRPr="008A5E1F">
        <w:rPr>
          <w:sz w:val="28"/>
          <w:szCs w:val="28"/>
        </w:rPr>
        <w:t>Yes.</w:t>
      </w:r>
      <w:r w:rsidR="00A662AE">
        <w:rPr>
          <w:sz w:val="28"/>
          <w:szCs w:val="28"/>
        </w:rPr>
        <w:t xml:space="preserve"> </w:t>
      </w:r>
      <w:r w:rsidR="0083113A" w:rsidRPr="008A5E1F">
        <w:rPr>
          <w:sz w:val="28"/>
          <w:szCs w:val="28"/>
        </w:rPr>
        <w:t xml:space="preserve">If </w:t>
      </w:r>
      <w:r w:rsidR="00F32F2A">
        <w:rPr>
          <w:sz w:val="28"/>
          <w:szCs w:val="28"/>
        </w:rPr>
        <w:t xml:space="preserve">the pathway to the building is </w:t>
      </w:r>
      <w:r w:rsidR="0083113A" w:rsidRPr="008A5E1F">
        <w:rPr>
          <w:sz w:val="28"/>
          <w:szCs w:val="28"/>
        </w:rPr>
        <w:t>eliminate</w:t>
      </w:r>
      <w:r w:rsidR="00F32F2A">
        <w:rPr>
          <w:sz w:val="28"/>
          <w:szCs w:val="28"/>
        </w:rPr>
        <w:t>d,</w:t>
      </w:r>
      <w:r w:rsidR="0083113A" w:rsidRPr="008A5E1F">
        <w:rPr>
          <w:sz w:val="28"/>
          <w:szCs w:val="28"/>
        </w:rPr>
        <w:t xml:space="preserve"> then it is no longer affecting receptors and the preferential pathway is no longer of concern.</w:t>
      </w:r>
      <w:r w:rsidR="00A662AE">
        <w:rPr>
          <w:sz w:val="28"/>
          <w:szCs w:val="28"/>
        </w:rPr>
        <w:t xml:space="preserve"> </w:t>
      </w:r>
      <w:r w:rsidR="00D20430">
        <w:rPr>
          <w:sz w:val="28"/>
          <w:szCs w:val="28"/>
        </w:rPr>
        <w:t xml:space="preserve">A covenant </w:t>
      </w:r>
      <w:r w:rsidR="00F81565">
        <w:rPr>
          <w:sz w:val="28"/>
          <w:szCs w:val="28"/>
        </w:rPr>
        <w:t xml:space="preserve">may be </w:t>
      </w:r>
      <w:r w:rsidR="00D20430">
        <w:rPr>
          <w:sz w:val="28"/>
          <w:szCs w:val="28"/>
        </w:rPr>
        <w:t>needed to ensure that this pathway elimination is maintained.</w:t>
      </w:r>
    </w:p>
    <w:p w14:paraId="25CB0C4A" w14:textId="7359875B" w:rsidR="003601C5" w:rsidRDefault="003601C5" w:rsidP="003601C5">
      <w:pPr>
        <w:spacing w:before="360" w:line="240" w:lineRule="auto"/>
        <w:ind w:left="900"/>
        <w:rPr>
          <w:sz w:val="28"/>
          <w:szCs w:val="28"/>
        </w:rPr>
      </w:pPr>
      <w:r w:rsidRPr="008A5E1F">
        <w:rPr>
          <w:sz w:val="28"/>
          <w:szCs w:val="28"/>
        </w:rPr>
        <w:t>Reference: VI Guidance Section</w:t>
      </w:r>
      <w:r w:rsidR="00F81565">
        <w:rPr>
          <w:sz w:val="28"/>
          <w:szCs w:val="28"/>
        </w:rPr>
        <w:t>s</w:t>
      </w:r>
      <w:r w:rsidRPr="008A5E1F">
        <w:rPr>
          <w:sz w:val="28"/>
          <w:szCs w:val="28"/>
        </w:rPr>
        <w:t xml:space="preserve"> D</w:t>
      </w:r>
      <w:r w:rsidR="00DF455E" w:rsidRPr="008A5E1F">
        <w:rPr>
          <w:sz w:val="28"/>
          <w:szCs w:val="28"/>
        </w:rPr>
        <w:t>.</w:t>
      </w:r>
      <w:r w:rsidRPr="008A5E1F">
        <w:rPr>
          <w:sz w:val="28"/>
          <w:szCs w:val="28"/>
        </w:rPr>
        <w:t xml:space="preserve"> and H</w:t>
      </w:r>
      <w:r w:rsidR="00DF455E" w:rsidRPr="008A5E1F">
        <w:rPr>
          <w:sz w:val="28"/>
          <w:szCs w:val="28"/>
        </w:rPr>
        <w:t>.</w:t>
      </w:r>
    </w:p>
    <w:p w14:paraId="41F13A2C" w14:textId="0D593EF2" w:rsidR="00DD406A" w:rsidRDefault="00DD406A">
      <w:pPr>
        <w:rPr>
          <w:sz w:val="28"/>
          <w:szCs w:val="28"/>
        </w:rPr>
      </w:pPr>
    </w:p>
    <w:p w14:paraId="221C6331" w14:textId="77777777" w:rsidR="004676D1" w:rsidRPr="008A5E1F" w:rsidRDefault="004676D1" w:rsidP="00C8532A">
      <w:pPr>
        <w:pStyle w:val="ListParagraph"/>
        <w:numPr>
          <w:ilvl w:val="0"/>
          <w:numId w:val="7"/>
        </w:numPr>
        <w:spacing w:before="360" w:line="240" w:lineRule="auto"/>
        <w:rPr>
          <w:sz w:val="28"/>
          <w:szCs w:val="28"/>
        </w:rPr>
      </w:pPr>
      <w:r w:rsidRPr="008A5E1F">
        <w:rPr>
          <w:color w:val="0070C0"/>
          <w:sz w:val="28"/>
          <w:szCs w:val="28"/>
        </w:rPr>
        <w:t>Will the department require the remediator to obtain access to buildings to look for significant foundation openings?</w:t>
      </w:r>
    </w:p>
    <w:p w14:paraId="36160B92" w14:textId="36539EFD" w:rsidR="004676D1" w:rsidRPr="008A5E1F" w:rsidRDefault="004676D1" w:rsidP="004676D1">
      <w:pPr>
        <w:spacing w:before="360" w:line="240" w:lineRule="auto"/>
        <w:ind w:left="720" w:hanging="540"/>
        <w:rPr>
          <w:sz w:val="28"/>
          <w:szCs w:val="28"/>
        </w:rPr>
      </w:pPr>
      <w:r w:rsidRPr="008A5E1F">
        <w:rPr>
          <w:sz w:val="28"/>
          <w:szCs w:val="28"/>
        </w:rPr>
        <w:t>Response:</w:t>
      </w:r>
      <w:r w:rsidR="00A662AE">
        <w:rPr>
          <w:sz w:val="28"/>
          <w:szCs w:val="28"/>
        </w:rPr>
        <w:t xml:space="preserve"> </w:t>
      </w:r>
      <w:r w:rsidRPr="004D7BB1">
        <w:rPr>
          <w:sz w:val="28"/>
          <w:szCs w:val="28"/>
        </w:rPr>
        <w:t>Remediators should make a reasonable effort to access buildings whenever possible so that they can get the best possible information when evaluating significant foundation openings.</w:t>
      </w:r>
      <w:r w:rsidR="00A662AE">
        <w:rPr>
          <w:sz w:val="28"/>
          <w:szCs w:val="28"/>
        </w:rPr>
        <w:t xml:space="preserve"> </w:t>
      </w:r>
      <w:r w:rsidRPr="004D7BB1">
        <w:rPr>
          <w:sz w:val="28"/>
          <w:szCs w:val="28"/>
        </w:rPr>
        <w:t>However, addressing significant foundation openings does not always require obtaining access to the building. Options for assessing significant foundation openings that do not require building access are provided in Section D.2 of the VI guidance.</w:t>
      </w:r>
      <w:r w:rsidR="00A662AE">
        <w:rPr>
          <w:sz w:val="28"/>
          <w:szCs w:val="28"/>
        </w:rPr>
        <w:t xml:space="preserve"> </w:t>
      </w:r>
      <w:r w:rsidRPr="004D7BB1">
        <w:rPr>
          <w:sz w:val="28"/>
          <w:szCs w:val="28"/>
        </w:rPr>
        <w:t>Additionally, the significant foundation opening information could be acquired from a written survey completed by the property owner or from an interview with the owner or occupants.</w:t>
      </w:r>
      <w:r w:rsidR="00A662AE">
        <w:rPr>
          <w:sz w:val="28"/>
          <w:szCs w:val="28"/>
        </w:rPr>
        <w:t xml:space="preserve"> </w:t>
      </w:r>
      <w:r w:rsidRPr="008A5E1F">
        <w:rPr>
          <w:sz w:val="28"/>
          <w:szCs w:val="28"/>
        </w:rPr>
        <w:t xml:space="preserve"> </w:t>
      </w:r>
    </w:p>
    <w:p w14:paraId="06C69F6F" w14:textId="7A57CD73" w:rsidR="004676D1" w:rsidRPr="008A5E1F" w:rsidRDefault="004676D1" w:rsidP="004676D1">
      <w:pPr>
        <w:spacing w:before="360" w:line="240" w:lineRule="auto"/>
        <w:ind w:left="900"/>
        <w:rPr>
          <w:sz w:val="28"/>
          <w:szCs w:val="28"/>
        </w:rPr>
      </w:pPr>
      <w:r w:rsidRPr="008A5E1F">
        <w:rPr>
          <w:sz w:val="28"/>
          <w:szCs w:val="28"/>
        </w:rPr>
        <w:t xml:space="preserve">Reference: VI Guidance </w:t>
      </w:r>
      <w:r w:rsidR="00FC488A">
        <w:rPr>
          <w:sz w:val="28"/>
          <w:szCs w:val="28"/>
        </w:rPr>
        <w:t xml:space="preserve">Section </w:t>
      </w:r>
      <w:r w:rsidRPr="008A5E1F">
        <w:rPr>
          <w:sz w:val="28"/>
          <w:szCs w:val="28"/>
        </w:rPr>
        <w:t>D.2.</w:t>
      </w:r>
    </w:p>
    <w:p w14:paraId="0692A01A" w14:textId="48193C1B" w:rsidR="008805B8" w:rsidRDefault="00957500" w:rsidP="00B6580D">
      <w:pPr>
        <w:keepNext/>
        <w:spacing w:before="360" w:line="240" w:lineRule="auto"/>
        <w:ind w:left="720" w:hanging="1987"/>
        <w:rPr>
          <w:sz w:val="36"/>
          <w:szCs w:val="36"/>
        </w:rPr>
      </w:pPr>
      <w:hyperlink w:anchor="_top" w:history="1">
        <w:r w:rsidR="00CC25BE" w:rsidRPr="008A5E1F">
          <w:rPr>
            <w:rStyle w:val="Hyperlink"/>
          </w:rPr>
          <w:t>Back to Top</w:t>
        </w:r>
        <w:r w:rsidR="00A662AE">
          <w:rPr>
            <w:rStyle w:val="Hyperlink"/>
            <w:u w:val="none"/>
          </w:rPr>
          <w:t xml:space="preserve"> </w:t>
        </w:r>
        <w:r w:rsidR="00CC25BE" w:rsidRPr="008A5E1F">
          <w:rPr>
            <w:rStyle w:val="Hyperlink"/>
            <w:u w:val="none"/>
          </w:rPr>
          <w:t xml:space="preserve"> </w:t>
        </w:r>
      </w:hyperlink>
      <w:r w:rsidR="00CC25BE" w:rsidRPr="008A5E1F">
        <w:rPr>
          <w:sz w:val="36"/>
          <w:szCs w:val="36"/>
        </w:rPr>
        <w:t xml:space="preserve"> </w:t>
      </w:r>
    </w:p>
    <w:p w14:paraId="7D204E1C" w14:textId="77777777" w:rsidR="00A14061" w:rsidRPr="008A5E1F" w:rsidRDefault="00A14061" w:rsidP="00B6580D">
      <w:pPr>
        <w:keepNext/>
        <w:spacing w:before="360" w:line="240" w:lineRule="auto"/>
        <w:ind w:left="720" w:hanging="1987"/>
        <w:rPr>
          <w:sz w:val="36"/>
          <w:szCs w:val="36"/>
        </w:rPr>
      </w:pPr>
    </w:p>
    <w:p w14:paraId="4214B686" w14:textId="77777777" w:rsidR="00C55D43" w:rsidRDefault="0097487B" w:rsidP="007906EE">
      <w:pPr>
        <w:pStyle w:val="ListParagraph"/>
        <w:keepNext/>
        <w:numPr>
          <w:ilvl w:val="0"/>
          <w:numId w:val="16"/>
        </w:numPr>
        <w:spacing w:line="240" w:lineRule="auto"/>
        <w:ind w:left="-360"/>
        <w:rPr>
          <w:sz w:val="32"/>
          <w:szCs w:val="32"/>
          <w:u w:val="single"/>
        </w:rPr>
      </w:pPr>
      <w:r w:rsidRPr="008A5E1F">
        <w:rPr>
          <w:sz w:val="32"/>
          <w:szCs w:val="32"/>
          <w:u w:val="single"/>
        </w:rPr>
        <w:t>Proximity Distan</w:t>
      </w:r>
      <w:bookmarkStart w:id="10" w:name="ProximityDistances"/>
      <w:bookmarkEnd w:id="10"/>
      <w:r w:rsidRPr="008A5E1F">
        <w:rPr>
          <w:sz w:val="32"/>
          <w:szCs w:val="32"/>
          <w:u w:val="single"/>
        </w:rPr>
        <w:t>ces</w:t>
      </w:r>
    </w:p>
    <w:p w14:paraId="2FAB0B8C" w14:textId="77777777" w:rsidR="0097487B" w:rsidRPr="008A5E1F" w:rsidRDefault="0097487B" w:rsidP="003F5D4C">
      <w:pPr>
        <w:pStyle w:val="ListParagraph"/>
        <w:spacing w:before="360" w:line="240" w:lineRule="auto"/>
        <w:ind w:left="-360"/>
        <w:rPr>
          <w:sz w:val="28"/>
          <w:szCs w:val="28"/>
        </w:rPr>
      </w:pPr>
    </w:p>
    <w:p w14:paraId="4FE6BDAB" w14:textId="099B0AB6" w:rsidR="006A26D3" w:rsidRPr="008A5E1F" w:rsidRDefault="00274263" w:rsidP="00A05160">
      <w:pPr>
        <w:pStyle w:val="ListParagraph"/>
        <w:numPr>
          <w:ilvl w:val="0"/>
          <w:numId w:val="29"/>
        </w:numPr>
        <w:spacing w:before="360" w:line="240" w:lineRule="auto"/>
        <w:ind w:hanging="594"/>
        <w:rPr>
          <w:sz w:val="28"/>
          <w:szCs w:val="28"/>
        </w:rPr>
      </w:pPr>
      <w:r w:rsidRPr="008A5E1F">
        <w:rPr>
          <w:color w:val="0070C0"/>
          <w:sz w:val="28"/>
          <w:szCs w:val="28"/>
        </w:rPr>
        <w:t>T</w:t>
      </w:r>
      <w:r w:rsidR="004D280F" w:rsidRPr="008A5E1F">
        <w:rPr>
          <w:color w:val="0070C0"/>
          <w:sz w:val="28"/>
          <w:szCs w:val="28"/>
        </w:rPr>
        <w:t>here are horizontal and vertical proximity distances listed for petroleum</w:t>
      </w:r>
      <w:r w:rsidR="00665270">
        <w:rPr>
          <w:color w:val="0070C0"/>
          <w:sz w:val="28"/>
          <w:szCs w:val="28"/>
        </w:rPr>
        <w:t>-</w:t>
      </w:r>
      <w:r w:rsidR="004D280F" w:rsidRPr="008A5E1F">
        <w:rPr>
          <w:color w:val="0070C0"/>
          <w:sz w:val="28"/>
          <w:szCs w:val="28"/>
        </w:rPr>
        <w:t>based contaminants. For non-petroleum</w:t>
      </w:r>
      <w:r w:rsidR="00665270">
        <w:rPr>
          <w:color w:val="0070C0"/>
          <w:sz w:val="28"/>
          <w:szCs w:val="28"/>
        </w:rPr>
        <w:t>-</w:t>
      </w:r>
      <w:r w:rsidR="004D280F" w:rsidRPr="008A5E1F">
        <w:rPr>
          <w:color w:val="0070C0"/>
          <w:sz w:val="28"/>
          <w:szCs w:val="28"/>
        </w:rPr>
        <w:t>based contaminants</w:t>
      </w:r>
      <w:r w:rsidRPr="008A5E1F">
        <w:rPr>
          <w:color w:val="0070C0"/>
          <w:sz w:val="28"/>
          <w:szCs w:val="28"/>
        </w:rPr>
        <w:t>,</w:t>
      </w:r>
      <w:r w:rsidR="004D280F" w:rsidRPr="008A5E1F">
        <w:rPr>
          <w:color w:val="0070C0"/>
          <w:sz w:val="28"/>
          <w:szCs w:val="28"/>
        </w:rPr>
        <w:t xml:space="preserve"> there is a horizontal proximity distance of 100 f</w:t>
      </w:r>
      <w:r w:rsidR="00BB79AD" w:rsidRPr="008A5E1F">
        <w:rPr>
          <w:color w:val="0070C0"/>
          <w:sz w:val="28"/>
          <w:szCs w:val="28"/>
        </w:rPr>
        <w:t>ee</w:t>
      </w:r>
      <w:r w:rsidR="004D280F" w:rsidRPr="008A5E1F">
        <w:rPr>
          <w:color w:val="0070C0"/>
          <w:sz w:val="28"/>
          <w:szCs w:val="28"/>
        </w:rPr>
        <w:t xml:space="preserve">t. Is there a vertical proximity distance for non-petroleum </w:t>
      </w:r>
      <w:r w:rsidR="00FC488A">
        <w:rPr>
          <w:color w:val="0070C0"/>
          <w:sz w:val="28"/>
          <w:szCs w:val="28"/>
        </w:rPr>
        <w:t>contamination</w:t>
      </w:r>
      <w:r w:rsidR="004D280F" w:rsidRPr="008A5E1F">
        <w:rPr>
          <w:color w:val="0070C0"/>
          <w:sz w:val="28"/>
          <w:szCs w:val="28"/>
        </w:rPr>
        <w:t xml:space="preserve"> that exceed</w:t>
      </w:r>
      <w:r w:rsidR="00FC488A">
        <w:rPr>
          <w:color w:val="0070C0"/>
          <w:sz w:val="28"/>
          <w:szCs w:val="28"/>
        </w:rPr>
        <w:t>s</w:t>
      </w:r>
      <w:r w:rsidR="004D280F" w:rsidRPr="008A5E1F">
        <w:rPr>
          <w:color w:val="0070C0"/>
          <w:sz w:val="28"/>
          <w:szCs w:val="28"/>
        </w:rPr>
        <w:t xml:space="preserve"> screening values?</w:t>
      </w:r>
    </w:p>
    <w:p w14:paraId="620731B8" w14:textId="189E89AE" w:rsidR="006A26D3" w:rsidRPr="008A5E1F" w:rsidRDefault="006A26D3" w:rsidP="00240CA1">
      <w:pPr>
        <w:spacing w:before="360" w:line="240" w:lineRule="auto"/>
        <w:ind w:left="720" w:hanging="540"/>
        <w:rPr>
          <w:sz w:val="28"/>
          <w:szCs w:val="28"/>
        </w:rPr>
      </w:pPr>
      <w:r w:rsidRPr="008A5E1F">
        <w:rPr>
          <w:sz w:val="28"/>
          <w:szCs w:val="28"/>
        </w:rPr>
        <w:t>Response:</w:t>
      </w:r>
      <w:r w:rsidR="00A662AE">
        <w:rPr>
          <w:sz w:val="28"/>
          <w:szCs w:val="28"/>
        </w:rPr>
        <w:t xml:space="preserve"> </w:t>
      </w:r>
      <w:r w:rsidR="0015092F">
        <w:rPr>
          <w:sz w:val="28"/>
          <w:szCs w:val="28"/>
        </w:rPr>
        <w:t>T</w:t>
      </w:r>
      <w:r w:rsidR="004D280F" w:rsidRPr="008A5E1F">
        <w:rPr>
          <w:sz w:val="28"/>
          <w:szCs w:val="28"/>
        </w:rPr>
        <w:t>here is not a vertical proximity distance for non-petroleum substances.</w:t>
      </w:r>
      <w:r w:rsidR="00A662AE">
        <w:rPr>
          <w:sz w:val="28"/>
          <w:szCs w:val="28"/>
        </w:rPr>
        <w:t xml:space="preserve"> </w:t>
      </w:r>
      <w:r w:rsidR="00FC488A">
        <w:rPr>
          <w:sz w:val="28"/>
          <w:szCs w:val="28"/>
        </w:rPr>
        <w:t>Proximity distances are based on the attenuation of vapors caused by diffusion through soil.</w:t>
      </w:r>
      <w:r w:rsidR="00A662AE">
        <w:rPr>
          <w:sz w:val="28"/>
          <w:szCs w:val="28"/>
        </w:rPr>
        <w:t xml:space="preserve"> </w:t>
      </w:r>
      <w:r w:rsidR="008D70BC">
        <w:rPr>
          <w:sz w:val="28"/>
          <w:szCs w:val="28"/>
        </w:rPr>
        <w:t>A</w:t>
      </w:r>
      <w:r w:rsidR="00FC488A">
        <w:rPr>
          <w:sz w:val="28"/>
          <w:szCs w:val="28"/>
        </w:rPr>
        <w:t xml:space="preserve"> non-petroleum </w:t>
      </w:r>
      <w:r w:rsidR="0015092F">
        <w:rPr>
          <w:sz w:val="28"/>
          <w:szCs w:val="28"/>
        </w:rPr>
        <w:t>vertical proximity distance</w:t>
      </w:r>
      <w:r w:rsidR="00FC488A">
        <w:rPr>
          <w:sz w:val="28"/>
          <w:szCs w:val="28"/>
        </w:rPr>
        <w:t xml:space="preserve"> </w:t>
      </w:r>
      <w:r w:rsidR="0015092F">
        <w:rPr>
          <w:sz w:val="28"/>
          <w:szCs w:val="28"/>
        </w:rPr>
        <w:t xml:space="preserve">would </w:t>
      </w:r>
      <w:r w:rsidR="008D70BC">
        <w:rPr>
          <w:sz w:val="28"/>
          <w:szCs w:val="28"/>
        </w:rPr>
        <w:t>be deeper than</w:t>
      </w:r>
      <w:r w:rsidR="0015092F">
        <w:rPr>
          <w:sz w:val="28"/>
          <w:szCs w:val="28"/>
        </w:rPr>
        <w:t xml:space="preserve"> bedrock</w:t>
      </w:r>
      <w:r w:rsidR="004E4AB3">
        <w:rPr>
          <w:sz w:val="28"/>
          <w:szCs w:val="28"/>
        </w:rPr>
        <w:t xml:space="preserve"> and groundwater</w:t>
      </w:r>
      <w:r w:rsidR="008D70BC">
        <w:rPr>
          <w:sz w:val="28"/>
          <w:szCs w:val="28"/>
        </w:rPr>
        <w:t xml:space="preserve"> at many sites</w:t>
      </w:r>
      <w:r w:rsidR="0015092F">
        <w:rPr>
          <w:sz w:val="28"/>
          <w:szCs w:val="28"/>
        </w:rPr>
        <w:t xml:space="preserve">, and </w:t>
      </w:r>
      <w:r w:rsidR="008D70BC">
        <w:rPr>
          <w:sz w:val="28"/>
          <w:szCs w:val="28"/>
        </w:rPr>
        <w:t>it would not account for vapor advection through fractures</w:t>
      </w:r>
      <w:r w:rsidR="0015092F">
        <w:rPr>
          <w:sz w:val="28"/>
          <w:szCs w:val="28"/>
        </w:rPr>
        <w:t>.</w:t>
      </w:r>
      <w:r w:rsidR="00A662AE">
        <w:rPr>
          <w:sz w:val="28"/>
          <w:szCs w:val="28"/>
        </w:rPr>
        <w:t xml:space="preserve">  </w:t>
      </w:r>
    </w:p>
    <w:p w14:paraId="490B4F90" w14:textId="77777777" w:rsidR="00CB21E3" w:rsidRPr="008A5E1F" w:rsidRDefault="00CB21E3" w:rsidP="00CB21E3">
      <w:pPr>
        <w:spacing w:before="360" w:line="240" w:lineRule="auto"/>
        <w:ind w:left="900"/>
        <w:rPr>
          <w:sz w:val="28"/>
          <w:szCs w:val="28"/>
        </w:rPr>
      </w:pPr>
      <w:r w:rsidRPr="008A5E1F">
        <w:rPr>
          <w:sz w:val="28"/>
          <w:szCs w:val="28"/>
        </w:rPr>
        <w:t>Reference: VI Guidance Section E</w:t>
      </w:r>
      <w:r w:rsidR="00DF455E" w:rsidRPr="008A5E1F">
        <w:rPr>
          <w:sz w:val="28"/>
          <w:szCs w:val="28"/>
        </w:rPr>
        <w:t>.</w:t>
      </w:r>
    </w:p>
    <w:p w14:paraId="51F81A7B" w14:textId="239B017B" w:rsidR="00DD406A" w:rsidRDefault="00DD406A">
      <w:pPr>
        <w:rPr>
          <w:sz w:val="28"/>
          <w:szCs w:val="28"/>
        </w:rPr>
      </w:pPr>
    </w:p>
    <w:p w14:paraId="361CD25A" w14:textId="50B9BB43" w:rsidR="006A26D3" w:rsidRPr="008A5E1F" w:rsidRDefault="00FF564C" w:rsidP="00A05160">
      <w:pPr>
        <w:pStyle w:val="ListParagraph"/>
        <w:numPr>
          <w:ilvl w:val="0"/>
          <w:numId w:val="29"/>
        </w:numPr>
        <w:spacing w:before="360" w:line="240" w:lineRule="auto"/>
        <w:ind w:hanging="594"/>
        <w:rPr>
          <w:sz w:val="28"/>
          <w:szCs w:val="28"/>
        </w:rPr>
      </w:pPr>
      <w:r>
        <w:rPr>
          <w:color w:val="0070C0"/>
          <w:sz w:val="28"/>
          <w:szCs w:val="28"/>
        </w:rPr>
        <w:lastRenderedPageBreak/>
        <w:t>If there is a release of a non-fuel material that contains petroleum hydrocarbons (such as benzene or 1,2,4-trimethylbenzene), do the vertical proximity distances apply?</w:t>
      </w:r>
    </w:p>
    <w:p w14:paraId="0ABE8F3B" w14:textId="5C9B678C" w:rsidR="00567ACA" w:rsidRPr="008A5E1F" w:rsidRDefault="006A26D3" w:rsidP="006A26D3">
      <w:pPr>
        <w:spacing w:before="360" w:line="240" w:lineRule="auto"/>
        <w:ind w:left="720" w:hanging="540"/>
        <w:rPr>
          <w:sz w:val="28"/>
          <w:szCs w:val="28"/>
        </w:rPr>
      </w:pPr>
      <w:r w:rsidRPr="008A5E1F">
        <w:rPr>
          <w:sz w:val="28"/>
          <w:szCs w:val="28"/>
        </w:rPr>
        <w:t>Response:</w:t>
      </w:r>
      <w:r w:rsidR="00A662AE">
        <w:rPr>
          <w:sz w:val="28"/>
          <w:szCs w:val="28"/>
        </w:rPr>
        <w:t xml:space="preserve"> </w:t>
      </w:r>
      <w:r w:rsidR="00240CA1" w:rsidRPr="008A5E1F">
        <w:rPr>
          <w:sz w:val="28"/>
          <w:szCs w:val="28"/>
        </w:rPr>
        <w:t>Yes.</w:t>
      </w:r>
      <w:r w:rsidR="00A662AE">
        <w:rPr>
          <w:sz w:val="28"/>
          <w:szCs w:val="28"/>
        </w:rPr>
        <w:t xml:space="preserve"> </w:t>
      </w:r>
      <w:r w:rsidR="00FF564C">
        <w:rPr>
          <w:sz w:val="28"/>
          <w:szCs w:val="28"/>
        </w:rPr>
        <w:t>The</w:t>
      </w:r>
      <w:r w:rsidR="004D280F" w:rsidRPr="008A5E1F">
        <w:rPr>
          <w:sz w:val="28"/>
          <w:szCs w:val="28"/>
        </w:rPr>
        <w:t xml:space="preserve"> petroleum proximity distances apply to all petroleum hydrocarbons, not just to chemicals in petroleum fuels.</w:t>
      </w:r>
    </w:p>
    <w:p w14:paraId="4B897751" w14:textId="47E37C7A" w:rsidR="00CB21E3" w:rsidRPr="008A5E1F" w:rsidRDefault="00CB21E3" w:rsidP="0034733E">
      <w:pPr>
        <w:spacing w:before="360" w:line="240" w:lineRule="auto"/>
        <w:ind w:left="900"/>
        <w:rPr>
          <w:sz w:val="28"/>
          <w:szCs w:val="28"/>
        </w:rPr>
      </w:pPr>
      <w:r w:rsidRPr="008A5E1F">
        <w:rPr>
          <w:sz w:val="28"/>
          <w:szCs w:val="28"/>
        </w:rPr>
        <w:t>Reference: VI Guidance Section E</w:t>
      </w:r>
      <w:r w:rsidR="00DF455E" w:rsidRPr="008A5E1F">
        <w:rPr>
          <w:sz w:val="28"/>
          <w:szCs w:val="28"/>
        </w:rPr>
        <w:t>.</w:t>
      </w:r>
    </w:p>
    <w:p w14:paraId="73B330B2" w14:textId="65D0A2D8" w:rsidR="00567ACA" w:rsidRPr="00117FAA" w:rsidRDefault="00567ACA" w:rsidP="00D9039B">
      <w:pPr>
        <w:spacing w:before="360" w:line="240" w:lineRule="auto"/>
        <w:rPr>
          <w:sz w:val="20"/>
          <w:szCs w:val="20"/>
        </w:rPr>
      </w:pPr>
    </w:p>
    <w:p w14:paraId="02D2B816" w14:textId="4A2B9755" w:rsidR="002A0429" w:rsidRPr="008A5E1F" w:rsidRDefault="002A0429" w:rsidP="002A0429">
      <w:pPr>
        <w:pStyle w:val="ListParagraph"/>
        <w:numPr>
          <w:ilvl w:val="0"/>
          <w:numId w:val="29"/>
        </w:numPr>
        <w:spacing w:before="360" w:line="240" w:lineRule="auto"/>
        <w:ind w:hanging="594"/>
        <w:rPr>
          <w:sz w:val="28"/>
          <w:szCs w:val="28"/>
        </w:rPr>
      </w:pPr>
      <w:r w:rsidRPr="008A5E1F">
        <w:rPr>
          <w:color w:val="0070C0"/>
          <w:sz w:val="28"/>
          <w:szCs w:val="28"/>
        </w:rPr>
        <w:t xml:space="preserve">Is it necessary to account for </w:t>
      </w:r>
      <w:r>
        <w:rPr>
          <w:color w:val="0070C0"/>
          <w:sz w:val="28"/>
          <w:szCs w:val="28"/>
        </w:rPr>
        <w:t xml:space="preserve">future </w:t>
      </w:r>
      <w:r w:rsidRPr="008A5E1F">
        <w:rPr>
          <w:color w:val="0070C0"/>
          <w:sz w:val="28"/>
          <w:szCs w:val="28"/>
        </w:rPr>
        <w:t>gro</w:t>
      </w:r>
      <w:r>
        <w:rPr>
          <w:color w:val="0070C0"/>
          <w:sz w:val="28"/>
          <w:szCs w:val="28"/>
        </w:rPr>
        <w:t>undwater migration</w:t>
      </w:r>
      <w:r w:rsidRPr="008A5E1F">
        <w:rPr>
          <w:color w:val="0070C0"/>
          <w:sz w:val="28"/>
          <w:szCs w:val="28"/>
        </w:rPr>
        <w:t>?</w:t>
      </w:r>
      <w:r w:rsidR="00A662AE">
        <w:rPr>
          <w:color w:val="0070C0"/>
          <w:sz w:val="28"/>
          <w:szCs w:val="28"/>
        </w:rPr>
        <w:t xml:space="preserve"> </w:t>
      </w:r>
      <w:r w:rsidRPr="008A5E1F">
        <w:rPr>
          <w:color w:val="0070C0"/>
          <w:sz w:val="28"/>
          <w:szCs w:val="28"/>
        </w:rPr>
        <w:t xml:space="preserve">Contamination may be outside of proximity distances </w:t>
      </w:r>
      <w:r>
        <w:rPr>
          <w:color w:val="0070C0"/>
          <w:sz w:val="28"/>
          <w:szCs w:val="28"/>
        </w:rPr>
        <w:t xml:space="preserve">from a building </w:t>
      </w:r>
      <w:r w:rsidRPr="008A5E1F">
        <w:rPr>
          <w:color w:val="0070C0"/>
          <w:sz w:val="28"/>
          <w:szCs w:val="28"/>
        </w:rPr>
        <w:t xml:space="preserve">now, but </w:t>
      </w:r>
      <w:r>
        <w:rPr>
          <w:color w:val="0070C0"/>
          <w:sz w:val="28"/>
          <w:szCs w:val="28"/>
        </w:rPr>
        <w:t xml:space="preserve">it </w:t>
      </w:r>
      <w:r w:rsidRPr="008A5E1F">
        <w:rPr>
          <w:color w:val="0070C0"/>
          <w:sz w:val="28"/>
          <w:szCs w:val="28"/>
        </w:rPr>
        <w:t xml:space="preserve">may be within </w:t>
      </w:r>
      <w:r>
        <w:rPr>
          <w:color w:val="0070C0"/>
          <w:sz w:val="28"/>
          <w:szCs w:val="28"/>
        </w:rPr>
        <w:t>proximity distances in the future</w:t>
      </w:r>
      <w:r w:rsidRPr="008A5E1F">
        <w:rPr>
          <w:color w:val="0070C0"/>
          <w:sz w:val="28"/>
          <w:szCs w:val="28"/>
        </w:rPr>
        <w:t>.</w:t>
      </w:r>
    </w:p>
    <w:p w14:paraId="68ECCD20" w14:textId="52587DEE" w:rsidR="002A0429" w:rsidRPr="008A5E1F" w:rsidRDefault="002A0429" w:rsidP="002A0429">
      <w:pPr>
        <w:spacing w:before="360" w:line="240" w:lineRule="auto"/>
        <w:ind w:left="720" w:hanging="540"/>
        <w:rPr>
          <w:sz w:val="28"/>
          <w:szCs w:val="28"/>
        </w:rPr>
      </w:pPr>
      <w:r w:rsidRPr="008A5E1F">
        <w:rPr>
          <w:sz w:val="28"/>
          <w:szCs w:val="28"/>
        </w:rPr>
        <w:t>Response:</w:t>
      </w:r>
      <w:r w:rsidR="00A662AE">
        <w:rPr>
          <w:sz w:val="28"/>
          <w:szCs w:val="28"/>
        </w:rPr>
        <w:t xml:space="preserve"> </w:t>
      </w:r>
      <w:r w:rsidRPr="008A5E1F">
        <w:rPr>
          <w:sz w:val="28"/>
          <w:szCs w:val="28"/>
        </w:rPr>
        <w:t xml:space="preserve"> Yes. The use of proximity distances should account for </w:t>
      </w:r>
      <w:r>
        <w:rPr>
          <w:sz w:val="28"/>
          <w:szCs w:val="28"/>
        </w:rPr>
        <w:t>future plume migration as determined in a fate-and-transport analysis.</w:t>
      </w:r>
    </w:p>
    <w:p w14:paraId="10042784" w14:textId="3DC3F6EB" w:rsidR="002A0429" w:rsidRDefault="002A0429" w:rsidP="005859B0">
      <w:pPr>
        <w:spacing w:before="360" w:line="240" w:lineRule="auto"/>
        <w:ind w:left="900"/>
        <w:rPr>
          <w:sz w:val="28"/>
          <w:szCs w:val="28"/>
        </w:rPr>
      </w:pPr>
      <w:r w:rsidRPr="008A5E1F">
        <w:rPr>
          <w:sz w:val="28"/>
          <w:szCs w:val="28"/>
        </w:rPr>
        <w:t>Reference: VI Guidance Section E</w:t>
      </w:r>
      <w:r w:rsidR="00EB6F75">
        <w:rPr>
          <w:sz w:val="28"/>
          <w:szCs w:val="28"/>
        </w:rPr>
        <w:t>.</w:t>
      </w:r>
    </w:p>
    <w:p w14:paraId="21E46E63" w14:textId="77777777" w:rsidR="00EB6F75" w:rsidRPr="00117FAA" w:rsidRDefault="00EB6F75" w:rsidP="002A0429">
      <w:pPr>
        <w:spacing w:before="360" w:line="240" w:lineRule="auto"/>
        <w:rPr>
          <w:sz w:val="24"/>
          <w:szCs w:val="24"/>
        </w:rPr>
      </w:pPr>
    </w:p>
    <w:p w14:paraId="3C600770" w14:textId="6FCE20BA" w:rsidR="006A26D3" w:rsidRPr="008A5E1F" w:rsidRDefault="007F3E5A" w:rsidP="00A05160">
      <w:pPr>
        <w:pStyle w:val="ListParagraph"/>
        <w:numPr>
          <w:ilvl w:val="0"/>
          <w:numId w:val="29"/>
        </w:numPr>
        <w:spacing w:before="360" w:line="240" w:lineRule="auto"/>
        <w:ind w:hanging="594"/>
        <w:rPr>
          <w:sz w:val="28"/>
          <w:szCs w:val="28"/>
        </w:rPr>
      </w:pPr>
      <w:r>
        <w:rPr>
          <w:color w:val="0070C0"/>
          <w:sz w:val="28"/>
          <w:szCs w:val="28"/>
        </w:rPr>
        <w:t xml:space="preserve">How do proximity distances apply </w:t>
      </w:r>
      <w:r w:rsidR="004A3B2D">
        <w:rPr>
          <w:color w:val="0070C0"/>
          <w:sz w:val="28"/>
          <w:szCs w:val="28"/>
        </w:rPr>
        <w:t xml:space="preserve">for </w:t>
      </w:r>
      <w:r>
        <w:rPr>
          <w:color w:val="0070C0"/>
          <w:sz w:val="28"/>
          <w:szCs w:val="28"/>
        </w:rPr>
        <w:t xml:space="preserve">a </w:t>
      </w:r>
      <w:r w:rsidR="00117FAA">
        <w:rPr>
          <w:color w:val="0070C0"/>
          <w:sz w:val="28"/>
          <w:szCs w:val="28"/>
        </w:rPr>
        <w:t>gasoline release that includes</w:t>
      </w:r>
      <w:r>
        <w:rPr>
          <w:color w:val="0070C0"/>
          <w:sz w:val="28"/>
          <w:szCs w:val="28"/>
        </w:rPr>
        <w:t xml:space="preserve"> </w:t>
      </w:r>
      <w:r w:rsidR="00117FAA">
        <w:rPr>
          <w:color w:val="0070C0"/>
          <w:sz w:val="28"/>
          <w:szCs w:val="28"/>
        </w:rPr>
        <w:t xml:space="preserve">non-petroleum </w:t>
      </w:r>
      <w:r>
        <w:rPr>
          <w:color w:val="0070C0"/>
          <w:sz w:val="28"/>
          <w:szCs w:val="28"/>
        </w:rPr>
        <w:t xml:space="preserve">additives such as MTBE, </w:t>
      </w:r>
      <w:r w:rsidR="00EB6F75" w:rsidRPr="00EB6F75">
        <w:rPr>
          <w:color w:val="0070C0"/>
          <w:sz w:val="28"/>
          <w:szCs w:val="28"/>
        </w:rPr>
        <w:t xml:space="preserve">1,2- </w:t>
      </w:r>
      <w:proofErr w:type="spellStart"/>
      <w:r w:rsidR="00EB6F75" w:rsidRPr="00EB6F75">
        <w:rPr>
          <w:color w:val="0070C0"/>
          <w:sz w:val="28"/>
          <w:szCs w:val="28"/>
        </w:rPr>
        <w:t>dichloroethane</w:t>
      </w:r>
      <w:proofErr w:type="spellEnd"/>
      <w:r w:rsidR="00EB6F75" w:rsidRPr="00EB6F75">
        <w:rPr>
          <w:color w:val="0070C0"/>
          <w:sz w:val="28"/>
          <w:szCs w:val="28"/>
        </w:rPr>
        <w:t xml:space="preserve"> (EDC)</w:t>
      </w:r>
      <w:r w:rsidR="00117FAA">
        <w:rPr>
          <w:color w:val="0070C0"/>
          <w:sz w:val="28"/>
          <w:szCs w:val="28"/>
        </w:rPr>
        <w:t>,</w:t>
      </w:r>
      <w:r w:rsidR="00EB6F75" w:rsidRPr="00EB6F75">
        <w:rPr>
          <w:color w:val="0070C0"/>
          <w:sz w:val="28"/>
          <w:szCs w:val="28"/>
        </w:rPr>
        <w:t xml:space="preserve"> or 1,2- dibromoethane (EDB)?</w:t>
      </w:r>
      <w:r w:rsidR="00A662AE">
        <w:rPr>
          <w:color w:val="0070C0"/>
          <w:sz w:val="28"/>
          <w:szCs w:val="28"/>
        </w:rPr>
        <w:t xml:space="preserve"> </w:t>
      </w:r>
    </w:p>
    <w:p w14:paraId="079526BB" w14:textId="00C3DAC7" w:rsidR="00117FAA" w:rsidRDefault="006A26D3" w:rsidP="006A26D3">
      <w:pPr>
        <w:spacing w:before="360" w:line="240" w:lineRule="auto"/>
        <w:ind w:left="720" w:hanging="540"/>
        <w:rPr>
          <w:sz w:val="28"/>
          <w:szCs w:val="28"/>
        </w:rPr>
      </w:pPr>
      <w:r w:rsidRPr="008A5E1F">
        <w:rPr>
          <w:sz w:val="28"/>
          <w:szCs w:val="28"/>
        </w:rPr>
        <w:t>Response:</w:t>
      </w:r>
      <w:r w:rsidR="00A662AE">
        <w:rPr>
          <w:sz w:val="28"/>
          <w:szCs w:val="28"/>
        </w:rPr>
        <w:t xml:space="preserve"> </w:t>
      </w:r>
      <w:r w:rsidRPr="008A5E1F">
        <w:rPr>
          <w:sz w:val="28"/>
          <w:szCs w:val="28"/>
        </w:rPr>
        <w:t xml:space="preserve"> </w:t>
      </w:r>
      <w:r w:rsidR="00EB6F75" w:rsidRPr="00EB6F75">
        <w:rPr>
          <w:sz w:val="28"/>
          <w:szCs w:val="28"/>
        </w:rPr>
        <w:t>The petroleum proximity distances apply only to the petroleum hydrocarbons in a release</w:t>
      </w:r>
      <w:r w:rsidR="004A3B2D">
        <w:rPr>
          <w:sz w:val="28"/>
          <w:szCs w:val="28"/>
        </w:rPr>
        <w:t>, not the non-petroleum additives</w:t>
      </w:r>
      <w:r w:rsidR="00EB6F75" w:rsidRPr="00EB6F75">
        <w:rPr>
          <w:sz w:val="28"/>
          <w:szCs w:val="28"/>
        </w:rPr>
        <w:t>.</w:t>
      </w:r>
      <w:r w:rsidR="00A662AE">
        <w:rPr>
          <w:sz w:val="28"/>
          <w:szCs w:val="28"/>
        </w:rPr>
        <w:t xml:space="preserve"> </w:t>
      </w:r>
      <w:r w:rsidR="00EB6F75" w:rsidRPr="00EB6F75">
        <w:rPr>
          <w:sz w:val="28"/>
          <w:szCs w:val="28"/>
        </w:rPr>
        <w:t>The non-petroleum proximity distances apply to any non-petroleum hydrocarbon additives present along with the fuel, including, but not limited to, EDC, EDB, and MTBE.</w:t>
      </w:r>
      <w:r w:rsidR="00117FAA">
        <w:rPr>
          <w:sz w:val="28"/>
          <w:szCs w:val="28"/>
        </w:rPr>
        <w:t xml:space="preserve"> </w:t>
      </w:r>
    </w:p>
    <w:p w14:paraId="4B0A2762" w14:textId="60B2A8ED" w:rsidR="006A26D3" w:rsidRPr="008A5E1F" w:rsidRDefault="00EB6F75" w:rsidP="00117FAA">
      <w:pPr>
        <w:spacing w:before="360" w:line="240" w:lineRule="auto"/>
        <w:ind w:left="720"/>
        <w:rPr>
          <w:sz w:val="28"/>
          <w:szCs w:val="28"/>
        </w:rPr>
      </w:pPr>
      <w:r w:rsidRPr="00EB6F75">
        <w:rPr>
          <w:sz w:val="28"/>
          <w:szCs w:val="28"/>
        </w:rPr>
        <w:t xml:space="preserve">It is worth noting that </w:t>
      </w:r>
      <w:r w:rsidR="004A3B2D">
        <w:rPr>
          <w:sz w:val="28"/>
          <w:szCs w:val="28"/>
        </w:rPr>
        <w:t>some</w:t>
      </w:r>
      <w:r w:rsidRPr="00EB6F75">
        <w:rPr>
          <w:sz w:val="28"/>
          <w:szCs w:val="28"/>
        </w:rPr>
        <w:t xml:space="preserve"> of the substances on the petroleum short list are </w:t>
      </w:r>
      <w:r w:rsidR="004A3B2D">
        <w:rPr>
          <w:sz w:val="28"/>
          <w:szCs w:val="28"/>
        </w:rPr>
        <w:t xml:space="preserve">not </w:t>
      </w:r>
      <w:r w:rsidRPr="00EB6F75">
        <w:rPr>
          <w:sz w:val="28"/>
          <w:szCs w:val="28"/>
        </w:rPr>
        <w:t>petroleum</w:t>
      </w:r>
      <w:r w:rsidR="004A3B2D">
        <w:rPr>
          <w:sz w:val="28"/>
          <w:szCs w:val="28"/>
        </w:rPr>
        <w:t xml:space="preserve"> substances.</w:t>
      </w:r>
      <w:r w:rsidR="00A662AE">
        <w:rPr>
          <w:sz w:val="28"/>
          <w:szCs w:val="28"/>
        </w:rPr>
        <w:t xml:space="preserve"> </w:t>
      </w:r>
      <w:r w:rsidR="004A3B2D">
        <w:rPr>
          <w:sz w:val="28"/>
          <w:szCs w:val="28"/>
        </w:rPr>
        <w:t>The petroleum short list represents the chemicals of concern that need to be tested for to demonstrate attainment of an Act 2 standard.</w:t>
      </w:r>
      <w:r w:rsidR="00A662AE">
        <w:rPr>
          <w:sz w:val="28"/>
          <w:szCs w:val="28"/>
        </w:rPr>
        <w:t xml:space="preserve"> </w:t>
      </w:r>
      <w:r w:rsidR="00117FAA">
        <w:rPr>
          <w:sz w:val="28"/>
          <w:szCs w:val="28"/>
        </w:rPr>
        <w:t>MTBE, EDB and EDC</w:t>
      </w:r>
      <w:r w:rsidRPr="00EB6F75">
        <w:rPr>
          <w:sz w:val="28"/>
          <w:szCs w:val="28"/>
        </w:rPr>
        <w:t xml:space="preserve"> are on the petroleum short list </w:t>
      </w:r>
      <w:r w:rsidRPr="00EB6F75">
        <w:rPr>
          <w:sz w:val="28"/>
          <w:szCs w:val="28"/>
        </w:rPr>
        <w:lastRenderedPageBreak/>
        <w:t>because they are often pre</w:t>
      </w:r>
      <w:r w:rsidR="00117FAA">
        <w:rPr>
          <w:sz w:val="28"/>
          <w:szCs w:val="28"/>
        </w:rPr>
        <w:t xml:space="preserve">sent in petroleum contamination, but they are </w:t>
      </w:r>
      <w:r w:rsidRPr="00EB6F75">
        <w:rPr>
          <w:sz w:val="28"/>
          <w:szCs w:val="28"/>
        </w:rPr>
        <w:t>non-petroleum su</w:t>
      </w:r>
      <w:r w:rsidR="004A3B2D">
        <w:rPr>
          <w:sz w:val="28"/>
          <w:szCs w:val="28"/>
        </w:rPr>
        <w:t>bstances.</w:t>
      </w:r>
      <w:r w:rsidR="00A662AE">
        <w:rPr>
          <w:sz w:val="28"/>
          <w:szCs w:val="28"/>
        </w:rPr>
        <w:t xml:space="preserve">  </w:t>
      </w:r>
    </w:p>
    <w:p w14:paraId="5F95B051" w14:textId="77777777" w:rsidR="00051AF7" w:rsidRPr="008A5E1F" w:rsidRDefault="00051AF7" w:rsidP="00051AF7">
      <w:pPr>
        <w:spacing w:before="360" w:line="240" w:lineRule="auto"/>
        <w:ind w:left="900"/>
        <w:rPr>
          <w:sz w:val="28"/>
          <w:szCs w:val="28"/>
        </w:rPr>
      </w:pPr>
      <w:r w:rsidRPr="008A5E1F">
        <w:rPr>
          <w:sz w:val="28"/>
          <w:szCs w:val="28"/>
        </w:rPr>
        <w:t>Reference: VI Guidance Section E</w:t>
      </w:r>
      <w:r w:rsidR="00DF455E" w:rsidRPr="008A5E1F">
        <w:rPr>
          <w:sz w:val="28"/>
          <w:szCs w:val="28"/>
        </w:rPr>
        <w:t>.</w:t>
      </w:r>
    </w:p>
    <w:p w14:paraId="0C9A0BD7" w14:textId="77777777" w:rsidR="006C0A33" w:rsidRPr="00957500" w:rsidRDefault="006C0A33" w:rsidP="00F05762">
      <w:pPr>
        <w:spacing w:before="360" w:line="240" w:lineRule="auto"/>
        <w:rPr>
          <w:sz w:val="18"/>
          <w:szCs w:val="18"/>
        </w:rPr>
      </w:pPr>
      <w:bookmarkStart w:id="11" w:name="_GoBack"/>
      <w:bookmarkEnd w:id="11"/>
    </w:p>
    <w:p w14:paraId="0CC4E69D" w14:textId="60238FA9" w:rsidR="008805B8" w:rsidRPr="008A5E1F" w:rsidRDefault="00957500" w:rsidP="00CC25BE">
      <w:pPr>
        <w:spacing w:before="360" w:line="240" w:lineRule="auto"/>
        <w:ind w:left="720" w:hanging="1980"/>
        <w:rPr>
          <w:sz w:val="36"/>
          <w:szCs w:val="36"/>
        </w:rPr>
      </w:pPr>
      <w:r>
        <w:fldChar w:fldCharType="begin"/>
      </w:r>
      <w:r>
        <w:instrText xml:space="preserve"> HYPERLINK \l "_top" </w:instrText>
      </w:r>
      <w:r>
        <w:fldChar w:fldCharType="separate"/>
      </w:r>
      <w:r w:rsidR="00CC25BE" w:rsidRPr="008A5E1F">
        <w:rPr>
          <w:rStyle w:val="Hyperlink"/>
        </w:rPr>
        <w:t>Back to Top</w:t>
      </w:r>
      <w:r w:rsidR="00A662AE">
        <w:rPr>
          <w:rStyle w:val="Hyperlink"/>
          <w:u w:val="none"/>
        </w:rPr>
        <w:t xml:space="preserve"> </w:t>
      </w:r>
      <w:r w:rsidR="00CC25BE" w:rsidRPr="008A5E1F">
        <w:rPr>
          <w:rStyle w:val="Hyperlink"/>
          <w:u w:val="none"/>
        </w:rPr>
        <w:t xml:space="preserve"> </w:t>
      </w:r>
      <w:r>
        <w:rPr>
          <w:rStyle w:val="Hyperlink"/>
          <w:u w:val="none"/>
        </w:rPr>
        <w:fldChar w:fldCharType="end"/>
      </w:r>
      <w:r w:rsidR="00CC25BE" w:rsidRPr="008A5E1F">
        <w:rPr>
          <w:sz w:val="36"/>
          <w:szCs w:val="36"/>
        </w:rPr>
        <w:t xml:space="preserve"> </w:t>
      </w:r>
    </w:p>
    <w:p w14:paraId="78CFCEA7" w14:textId="77777777" w:rsidR="00623EE5" w:rsidRDefault="00D543B3" w:rsidP="00A662AE">
      <w:pPr>
        <w:pStyle w:val="ListParagraph"/>
        <w:keepNext/>
        <w:numPr>
          <w:ilvl w:val="0"/>
          <w:numId w:val="16"/>
        </w:numPr>
        <w:spacing w:line="240" w:lineRule="auto"/>
        <w:ind w:left="-360"/>
        <w:rPr>
          <w:sz w:val="32"/>
          <w:szCs w:val="32"/>
          <w:u w:val="single"/>
        </w:rPr>
      </w:pPr>
      <w:r w:rsidRPr="008A5E1F">
        <w:rPr>
          <w:sz w:val="32"/>
          <w:szCs w:val="32"/>
        </w:rPr>
        <w:t xml:space="preserve"> </w:t>
      </w:r>
      <w:r w:rsidR="00623EE5" w:rsidRPr="008A5E1F">
        <w:rPr>
          <w:sz w:val="32"/>
          <w:szCs w:val="32"/>
          <w:u w:val="single"/>
        </w:rPr>
        <w:t>Sample Collect</w:t>
      </w:r>
      <w:bookmarkStart w:id="12" w:name="SampleCollection"/>
      <w:bookmarkEnd w:id="12"/>
      <w:r w:rsidR="00623EE5" w:rsidRPr="008A5E1F">
        <w:rPr>
          <w:sz w:val="32"/>
          <w:szCs w:val="32"/>
          <w:u w:val="single"/>
        </w:rPr>
        <w:t>ion</w:t>
      </w:r>
    </w:p>
    <w:p w14:paraId="5737D0A8" w14:textId="77777777" w:rsidR="0052273C" w:rsidRPr="003F5D4C" w:rsidRDefault="0052273C" w:rsidP="003F5D4C">
      <w:pPr>
        <w:pStyle w:val="ListParagraph"/>
        <w:spacing w:before="360" w:line="240" w:lineRule="auto"/>
        <w:ind w:left="-360"/>
        <w:rPr>
          <w:sz w:val="32"/>
          <w:szCs w:val="32"/>
          <w:u w:val="single"/>
        </w:rPr>
      </w:pPr>
    </w:p>
    <w:p w14:paraId="134C9DC4" w14:textId="52E5904C" w:rsidR="0052273C" w:rsidRPr="008A5E1F" w:rsidRDefault="00C30940" w:rsidP="003F5D4C">
      <w:pPr>
        <w:pStyle w:val="ListParagraph"/>
        <w:numPr>
          <w:ilvl w:val="0"/>
          <w:numId w:val="36"/>
        </w:numPr>
        <w:spacing w:before="360" w:line="240" w:lineRule="auto"/>
        <w:rPr>
          <w:sz w:val="28"/>
          <w:szCs w:val="28"/>
        </w:rPr>
      </w:pPr>
      <w:r>
        <w:rPr>
          <w:color w:val="0070C0"/>
          <w:sz w:val="28"/>
          <w:szCs w:val="28"/>
        </w:rPr>
        <w:t>S</w:t>
      </w:r>
      <w:r w:rsidR="0052273C" w:rsidRPr="008A5E1F">
        <w:rPr>
          <w:color w:val="0070C0"/>
          <w:sz w:val="28"/>
          <w:szCs w:val="28"/>
        </w:rPr>
        <w:t xml:space="preserve">ub-slab and indoor air samples </w:t>
      </w:r>
      <w:r>
        <w:rPr>
          <w:color w:val="0070C0"/>
          <w:sz w:val="28"/>
          <w:szCs w:val="28"/>
        </w:rPr>
        <w:t xml:space="preserve">are being collected </w:t>
      </w:r>
      <w:r w:rsidR="0052273C" w:rsidRPr="008A5E1F">
        <w:rPr>
          <w:color w:val="0070C0"/>
          <w:sz w:val="28"/>
          <w:szCs w:val="28"/>
        </w:rPr>
        <w:t xml:space="preserve">in mid-February. If the second round </w:t>
      </w:r>
      <w:r>
        <w:rPr>
          <w:color w:val="0070C0"/>
          <w:sz w:val="28"/>
          <w:szCs w:val="28"/>
        </w:rPr>
        <w:t xml:space="preserve">is collected </w:t>
      </w:r>
      <w:r w:rsidR="0052273C" w:rsidRPr="008A5E1F">
        <w:rPr>
          <w:color w:val="0070C0"/>
          <w:sz w:val="28"/>
          <w:szCs w:val="28"/>
        </w:rPr>
        <w:t>45 days later, the 15°F indoor–outdoor temperature differential guideline</w:t>
      </w:r>
      <w:r>
        <w:rPr>
          <w:color w:val="0070C0"/>
          <w:sz w:val="28"/>
          <w:szCs w:val="28"/>
        </w:rPr>
        <w:t xml:space="preserve"> may not be met</w:t>
      </w:r>
      <w:r w:rsidR="0052273C" w:rsidRPr="008A5E1F">
        <w:rPr>
          <w:color w:val="0070C0"/>
          <w:sz w:val="28"/>
          <w:szCs w:val="28"/>
        </w:rPr>
        <w:t>. Will the data be acceptable?</w:t>
      </w:r>
    </w:p>
    <w:p w14:paraId="7D4D2EC8" w14:textId="11AD1DA0" w:rsidR="00D20430" w:rsidRPr="008A5E1F" w:rsidRDefault="0052273C" w:rsidP="00D20430">
      <w:pPr>
        <w:spacing w:before="360" w:line="240" w:lineRule="auto"/>
        <w:ind w:left="720"/>
        <w:rPr>
          <w:sz w:val="28"/>
          <w:szCs w:val="28"/>
        </w:rPr>
      </w:pPr>
      <w:r w:rsidRPr="008A5E1F">
        <w:rPr>
          <w:sz w:val="28"/>
          <w:szCs w:val="28"/>
        </w:rPr>
        <w:t>Response:</w:t>
      </w:r>
      <w:r w:rsidR="00A662AE">
        <w:rPr>
          <w:sz w:val="28"/>
          <w:szCs w:val="28"/>
        </w:rPr>
        <w:t xml:space="preserve"> </w:t>
      </w:r>
      <w:r w:rsidRPr="008A5E1F">
        <w:rPr>
          <w:sz w:val="28"/>
          <w:szCs w:val="28"/>
        </w:rPr>
        <w:t xml:space="preserve"> </w:t>
      </w:r>
      <w:r w:rsidR="00EC3218">
        <w:rPr>
          <w:sz w:val="28"/>
          <w:szCs w:val="28"/>
        </w:rPr>
        <w:t>S</w:t>
      </w:r>
      <w:r w:rsidR="00D20430" w:rsidRPr="008A5E1F">
        <w:rPr>
          <w:sz w:val="28"/>
          <w:szCs w:val="28"/>
        </w:rPr>
        <w:t>ub-slab samples do not have a differential temp</w:t>
      </w:r>
      <w:r w:rsidR="00EC3218">
        <w:rPr>
          <w:sz w:val="28"/>
          <w:szCs w:val="28"/>
        </w:rPr>
        <w:t>erature limitation and may be collected at any time of the year.</w:t>
      </w:r>
    </w:p>
    <w:p w14:paraId="1508B2E8" w14:textId="3C6AF8C1" w:rsidR="00334CB2" w:rsidRDefault="00020CD9" w:rsidP="00D20430">
      <w:pPr>
        <w:spacing w:before="360" w:line="240" w:lineRule="auto"/>
        <w:ind w:left="720"/>
        <w:rPr>
          <w:sz w:val="28"/>
          <w:szCs w:val="28"/>
        </w:rPr>
      </w:pPr>
      <w:r>
        <w:rPr>
          <w:sz w:val="28"/>
          <w:szCs w:val="28"/>
        </w:rPr>
        <w:t>If</w:t>
      </w:r>
      <w:r w:rsidR="0052273C" w:rsidRPr="008A5E1F">
        <w:rPr>
          <w:sz w:val="28"/>
          <w:szCs w:val="28"/>
        </w:rPr>
        <w:t xml:space="preserve"> indoor air data is required for screening, and scheduling does not allow for the tw</w:t>
      </w:r>
      <w:r w:rsidR="00665270">
        <w:rPr>
          <w:sz w:val="28"/>
          <w:szCs w:val="28"/>
        </w:rPr>
        <w:t xml:space="preserve">o rounds to satisfy both the 45 </w:t>
      </w:r>
      <w:r w:rsidR="0052273C" w:rsidRPr="008A5E1F">
        <w:rPr>
          <w:sz w:val="28"/>
          <w:szCs w:val="28"/>
        </w:rPr>
        <w:t>days and 15°F guidelines, then DEP would consider data obtained with the minimum 15°F temperature difference but less than 45 days apart to be more reliable than data obtained at a &lt; 15°F differential but 45 days or more apart. These situations should be discussed wi</w:t>
      </w:r>
      <w:r w:rsidR="006A4D58" w:rsidRPr="008A5E1F">
        <w:rPr>
          <w:sz w:val="28"/>
          <w:szCs w:val="28"/>
        </w:rPr>
        <w:t xml:space="preserve">th </w:t>
      </w:r>
      <w:r w:rsidR="00004BB1">
        <w:rPr>
          <w:sz w:val="28"/>
          <w:szCs w:val="28"/>
        </w:rPr>
        <w:t>the DEP</w:t>
      </w:r>
      <w:r w:rsidR="006A4D58" w:rsidRPr="008A5E1F">
        <w:rPr>
          <w:sz w:val="28"/>
          <w:szCs w:val="28"/>
        </w:rPr>
        <w:t xml:space="preserve"> project manager</w:t>
      </w:r>
      <w:r w:rsidR="0052273C" w:rsidRPr="008A5E1F">
        <w:rPr>
          <w:sz w:val="28"/>
          <w:szCs w:val="28"/>
        </w:rPr>
        <w:t>.</w:t>
      </w:r>
      <w:r w:rsidR="00A662AE">
        <w:rPr>
          <w:sz w:val="28"/>
          <w:szCs w:val="28"/>
        </w:rPr>
        <w:t xml:space="preserve"> </w:t>
      </w:r>
    </w:p>
    <w:p w14:paraId="17A7DABD" w14:textId="6CA1CE4E" w:rsidR="004E1EA4" w:rsidRDefault="0052273C" w:rsidP="00A14061">
      <w:pPr>
        <w:spacing w:before="360" w:line="240" w:lineRule="auto"/>
        <w:ind w:left="900"/>
        <w:rPr>
          <w:sz w:val="28"/>
          <w:szCs w:val="28"/>
        </w:rPr>
      </w:pPr>
      <w:r w:rsidRPr="008A5E1F">
        <w:rPr>
          <w:sz w:val="28"/>
          <w:szCs w:val="28"/>
        </w:rPr>
        <w:t>Reference: VI Guidance Section G.2</w:t>
      </w:r>
      <w:r w:rsidR="00DF455E" w:rsidRPr="008A5E1F">
        <w:rPr>
          <w:sz w:val="28"/>
          <w:szCs w:val="28"/>
        </w:rPr>
        <w:t>.</w:t>
      </w:r>
    </w:p>
    <w:p w14:paraId="167465DF" w14:textId="2DEEEC0D" w:rsidR="00EB6F75" w:rsidRDefault="00EB6F75" w:rsidP="00A14061">
      <w:pPr>
        <w:spacing w:before="360" w:line="240" w:lineRule="auto"/>
        <w:ind w:left="900"/>
        <w:rPr>
          <w:sz w:val="28"/>
          <w:szCs w:val="28"/>
        </w:rPr>
      </w:pPr>
    </w:p>
    <w:p w14:paraId="35F8F5FE" w14:textId="3A7F8DB7" w:rsidR="00EB6F75" w:rsidRPr="008A5E1F" w:rsidRDefault="00437D0E" w:rsidP="00EB6F75">
      <w:pPr>
        <w:pStyle w:val="ListParagraph"/>
        <w:numPr>
          <w:ilvl w:val="0"/>
          <w:numId w:val="36"/>
        </w:numPr>
        <w:spacing w:before="360" w:line="240" w:lineRule="auto"/>
        <w:rPr>
          <w:sz w:val="28"/>
          <w:szCs w:val="28"/>
        </w:rPr>
      </w:pPr>
      <w:r>
        <w:rPr>
          <w:color w:val="0070C0"/>
          <w:sz w:val="28"/>
          <w:szCs w:val="28"/>
        </w:rPr>
        <w:t xml:space="preserve">How should near-source </w:t>
      </w:r>
      <w:r w:rsidR="00F52EBF">
        <w:rPr>
          <w:color w:val="0070C0"/>
          <w:sz w:val="28"/>
          <w:szCs w:val="28"/>
        </w:rPr>
        <w:t>samples be collected above a groundwater source when there is a fluctuating water table?</w:t>
      </w:r>
      <w:r w:rsidR="00A662AE">
        <w:rPr>
          <w:color w:val="0070C0"/>
          <w:sz w:val="28"/>
          <w:szCs w:val="28"/>
        </w:rPr>
        <w:t xml:space="preserve"> </w:t>
      </w:r>
      <w:r w:rsidR="00F52EBF">
        <w:rPr>
          <w:color w:val="0070C0"/>
          <w:sz w:val="28"/>
          <w:szCs w:val="28"/>
        </w:rPr>
        <w:t xml:space="preserve">At the site in question the water table </w:t>
      </w:r>
      <w:r w:rsidR="00EB6F75" w:rsidRPr="00EB6F75">
        <w:rPr>
          <w:color w:val="0070C0"/>
          <w:sz w:val="28"/>
          <w:szCs w:val="28"/>
        </w:rPr>
        <w:t>fluctuates seasonally between 8 and 13 feet vertically</w:t>
      </w:r>
      <w:r w:rsidR="00F52EBF">
        <w:rPr>
          <w:color w:val="0070C0"/>
          <w:sz w:val="28"/>
          <w:szCs w:val="28"/>
        </w:rPr>
        <w:t>, so</w:t>
      </w:r>
      <w:r w:rsidR="00EB6F75" w:rsidRPr="00EB6F75">
        <w:rPr>
          <w:color w:val="0070C0"/>
          <w:sz w:val="28"/>
          <w:szCs w:val="28"/>
        </w:rPr>
        <w:t xml:space="preserve"> a probe set </w:t>
      </w:r>
      <w:r w:rsidR="00F52EBF">
        <w:rPr>
          <w:color w:val="0070C0"/>
          <w:sz w:val="28"/>
          <w:szCs w:val="28"/>
        </w:rPr>
        <w:t xml:space="preserve">within </w:t>
      </w:r>
      <w:r w:rsidR="00EB6F75" w:rsidRPr="00EB6F75">
        <w:rPr>
          <w:color w:val="0070C0"/>
          <w:sz w:val="28"/>
          <w:szCs w:val="28"/>
        </w:rPr>
        <w:t xml:space="preserve">1 foot of the highest </w:t>
      </w:r>
      <w:r w:rsidR="00F52EBF">
        <w:rPr>
          <w:color w:val="0070C0"/>
          <w:sz w:val="28"/>
          <w:szCs w:val="28"/>
        </w:rPr>
        <w:t xml:space="preserve">concentrations </w:t>
      </w:r>
      <w:r w:rsidR="00EB6F75" w:rsidRPr="00EB6F75">
        <w:rPr>
          <w:color w:val="0070C0"/>
          <w:sz w:val="28"/>
          <w:szCs w:val="28"/>
        </w:rPr>
        <w:t xml:space="preserve">would be under water for much of the year. </w:t>
      </w:r>
      <w:r w:rsidR="00F52EBF">
        <w:rPr>
          <w:color w:val="0070C0"/>
          <w:sz w:val="28"/>
          <w:szCs w:val="28"/>
        </w:rPr>
        <w:t>Is the top of the smear zone</w:t>
      </w:r>
      <w:r w:rsidR="00EB6F75" w:rsidRPr="00EB6F75">
        <w:rPr>
          <w:color w:val="0070C0"/>
          <w:sz w:val="28"/>
          <w:szCs w:val="28"/>
        </w:rPr>
        <w:t xml:space="preserve"> considered to be near-source, o</w:t>
      </w:r>
      <w:r w:rsidR="00F52EBF">
        <w:rPr>
          <w:color w:val="0070C0"/>
          <w:sz w:val="28"/>
          <w:szCs w:val="28"/>
        </w:rPr>
        <w:t>r is near-source defined as within</w:t>
      </w:r>
      <w:r w:rsidR="00EB6F75" w:rsidRPr="00EB6F75">
        <w:rPr>
          <w:color w:val="0070C0"/>
          <w:sz w:val="28"/>
          <w:szCs w:val="28"/>
        </w:rPr>
        <w:t xml:space="preserve"> 1 foot of the highest known residual occurrence of hydrocarbon?</w:t>
      </w:r>
      <w:r w:rsidR="00A662AE">
        <w:rPr>
          <w:color w:val="0070C0"/>
          <w:sz w:val="28"/>
          <w:szCs w:val="28"/>
        </w:rPr>
        <w:t xml:space="preserve"> </w:t>
      </w:r>
    </w:p>
    <w:p w14:paraId="00E26906" w14:textId="37DF85CE" w:rsidR="00EB6F75" w:rsidRDefault="00EB6F75" w:rsidP="00725E29">
      <w:pPr>
        <w:spacing w:before="360" w:line="240" w:lineRule="auto"/>
        <w:ind w:left="720"/>
        <w:rPr>
          <w:sz w:val="28"/>
          <w:szCs w:val="28"/>
        </w:rPr>
      </w:pPr>
      <w:r w:rsidRPr="008A5E1F">
        <w:rPr>
          <w:sz w:val="28"/>
          <w:szCs w:val="28"/>
        </w:rPr>
        <w:lastRenderedPageBreak/>
        <w:t>Response:</w:t>
      </w:r>
      <w:r w:rsidR="00A662AE">
        <w:rPr>
          <w:sz w:val="28"/>
          <w:szCs w:val="28"/>
        </w:rPr>
        <w:t xml:space="preserve"> </w:t>
      </w:r>
      <w:r w:rsidRPr="008A5E1F">
        <w:rPr>
          <w:sz w:val="28"/>
          <w:szCs w:val="28"/>
        </w:rPr>
        <w:t xml:space="preserve"> </w:t>
      </w:r>
      <w:r w:rsidR="00F52EBF">
        <w:rPr>
          <w:sz w:val="28"/>
          <w:szCs w:val="28"/>
        </w:rPr>
        <w:t>N</w:t>
      </w:r>
      <w:r w:rsidR="00725E29" w:rsidRPr="00725E29">
        <w:rPr>
          <w:sz w:val="28"/>
          <w:szCs w:val="28"/>
        </w:rPr>
        <w:t xml:space="preserve">ear-source soil gas screening </w:t>
      </w:r>
      <w:r w:rsidR="00F52EBF">
        <w:rPr>
          <w:sz w:val="28"/>
          <w:szCs w:val="28"/>
        </w:rPr>
        <w:t xml:space="preserve">generally cannot be used </w:t>
      </w:r>
      <w:r w:rsidR="00725E29" w:rsidRPr="00725E29">
        <w:rPr>
          <w:sz w:val="28"/>
          <w:szCs w:val="28"/>
        </w:rPr>
        <w:t>when sources ar</w:t>
      </w:r>
      <w:r w:rsidR="00F52EBF">
        <w:rPr>
          <w:sz w:val="28"/>
          <w:szCs w:val="28"/>
        </w:rPr>
        <w:t>e at two or more depths. In this</w:t>
      </w:r>
      <w:r w:rsidR="00725E29" w:rsidRPr="00725E29">
        <w:rPr>
          <w:sz w:val="28"/>
          <w:szCs w:val="28"/>
        </w:rPr>
        <w:t xml:space="preserve"> case, there’s a source in the smear zone, which is periodically unsaturated, and another source in groundwater, which can be a few feet deeper. </w:t>
      </w:r>
      <w:r w:rsidR="00F52EBF">
        <w:rPr>
          <w:sz w:val="28"/>
          <w:szCs w:val="28"/>
        </w:rPr>
        <w:t>T</w:t>
      </w:r>
      <w:r w:rsidR="00725E29" w:rsidRPr="00725E29">
        <w:rPr>
          <w:sz w:val="28"/>
          <w:szCs w:val="28"/>
        </w:rPr>
        <w:t xml:space="preserve">he near-source soil gas screening values </w:t>
      </w:r>
      <w:r w:rsidR="00F52EBF">
        <w:rPr>
          <w:sz w:val="28"/>
          <w:szCs w:val="28"/>
        </w:rPr>
        <w:t xml:space="preserve">were derived </w:t>
      </w:r>
      <w:proofErr w:type="gramStart"/>
      <w:r w:rsidR="00725E29" w:rsidRPr="00725E29">
        <w:rPr>
          <w:sz w:val="28"/>
          <w:szCs w:val="28"/>
        </w:rPr>
        <w:t xml:space="preserve">assuming </w:t>
      </w:r>
      <w:r w:rsidR="00F52EBF">
        <w:rPr>
          <w:sz w:val="28"/>
          <w:szCs w:val="28"/>
        </w:rPr>
        <w:t>that</w:t>
      </w:r>
      <w:proofErr w:type="gramEnd"/>
      <w:r w:rsidR="00F52EBF">
        <w:rPr>
          <w:sz w:val="28"/>
          <w:szCs w:val="28"/>
        </w:rPr>
        <w:t xml:space="preserve"> </w:t>
      </w:r>
      <w:r w:rsidR="00725E29" w:rsidRPr="00725E29">
        <w:rPr>
          <w:sz w:val="28"/>
          <w:szCs w:val="28"/>
        </w:rPr>
        <w:t>contamination is at a single depth, and that the sample is collected immediately above that one source.</w:t>
      </w:r>
      <w:r w:rsidR="00A662AE">
        <w:rPr>
          <w:sz w:val="28"/>
          <w:szCs w:val="28"/>
        </w:rPr>
        <w:t xml:space="preserve"> </w:t>
      </w:r>
      <w:r w:rsidR="00725E29" w:rsidRPr="00725E29">
        <w:rPr>
          <w:sz w:val="28"/>
          <w:szCs w:val="28"/>
        </w:rPr>
        <w:t>It is reasonable to screen the soil gas point at the top of</w:t>
      </w:r>
      <w:r w:rsidR="00F52EBF">
        <w:rPr>
          <w:sz w:val="28"/>
          <w:szCs w:val="28"/>
        </w:rPr>
        <w:t xml:space="preserve"> the smear zone, but the data should be evaluated differently.</w:t>
      </w:r>
      <w:r w:rsidR="00725E29" w:rsidRPr="00725E29">
        <w:rPr>
          <w:sz w:val="28"/>
          <w:szCs w:val="28"/>
        </w:rPr>
        <w:t xml:space="preserve"> If the soil gas point is beneath laterally extensive pavement, </w:t>
      </w:r>
      <w:r w:rsidR="00F52EBF">
        <w:rPr>
          <w:sz w:val="28"/>
          <w:szCs w:val="28"/>
        </w:rPr>
        <w:t xml:space="preserve">the data can be compared to </w:t>
      </w:r>
      <w:r w:rsidR="00725E29" w:rsidRPr="00725E29">
        <w:rPr>
          <w:sz w:val="28"/>
          <w:szCs w:val="28"/>
        </w:rPr>
        <w:t xml:space="preserve">sub-slab screening values; if not, </w:t>
      </w:r>
      <w:r w:rsidR="00F52EBF">
        <w:rPr>
          <w:sz w:val="28"/>
          <w:szCs w:val="28"/>
        </w:rPr>
        <w:t xml:space="preserve">it should be compared to </w:t>
      </w:r>
      <w:r w:rsidR="00725E29" w:rsidRPr="00725E29">
        <w:rPr>
          <w:sz w:val="28"/>
          <w:szCs w:val="28"/>
        </w:rPr>
        <w:t>indoor air screening values. Alternatively, you could mod</w:t>
      </w:r>
      <w:r w:rsidR="00792B09">
        <w:rPr>
          <w:sz w:val="28"/>
          <w:szCs w:val="28"/>
        </w:rPr>
        <w:t xml:space="preserve">el the soil gas data with J&amp;E. </w:t>
      </w:r>
    </w:p>
    <w:p w14:paraId="1ADF829D" w14:textId="77777777" w:rsidR="00EB6F75" w:rsidRPr="00957500" w:rsidRDefault="00EB6F75" w:rsidP="00957500">
      <w:pPr>
        <w:spacing w:before="120" w:line="240" w:lineRule="auto"/>
        <w:ind w:left="907"/>
        <w:rPr>
          <w:sz w:val="18"/>
          <w:szCs w:val="18"/>
        </w:rPr>
      </w:pPr>
    </w:p>
    <w:p w14:paraId="1D7F5270" w14:textId="175C3443" w:rsidR="00A56D6D" w:rsidRDefault="00957500" w:rsidP="00623EE5">
      <w:pPr>
        <w:spacing w:before="360" w:line="240" w:lineRule="auto"/>
        <w:ind w:left="720" w:hanging="1980"/>
        <w:rPr>
          <w:sz w:val="36"/>
          <w:szCs w:val="36"/>
        </w:rPr>
      </w:pPr>
      <w:hyperlink w:anchor="_top" w:history="1">
        <w:r w:rsidR="00623EE5" w:rsidRPr="008A5E1F">
          <w:rPr>
            <w:rStyle w:val="Hyperlink"/>
          </w:rPr>
          <w:t>Back to Top</w:t>
        </w:r>
        <w:r w:rsidR="00A662AE">
          <w:rPr>
            <w:rStyle w:val="Hyperlink"/>
            <w:u w:val="none"/>
          </w:rPr>
          <w:t xml:space="preserve"> </w:t>
        </w:r>
        <w:r w:rsidR="00623EE5" w:rsidRPr="008A5E1F">
          <w:rPr>
            <w:rStyle w:val="Hyperlink"/>
            <w:u w:val="none"/>
          </w:rPr>
          <w:t xml:space="preserve"> </w:t>
        </w:r>
      </w:hyperlink>
      <w:r w:rsidR="00623EE5" w:rsidRPr="008A5E1F">
        <w:rPr>
          <w:sz w:val="36"/>
          <w:szCs w:val="36"/>
        </w:rPr>
        <w:t xml:space="preserve"> </w:t>
      </w:r>
    </w:p>
    <w:p w14:paraId="6E981E14" w14:textId="77777777" w:rsidR="00A14061" w:rsidRPr="00A14061" w:rsidRDefault="00A14061" w:rsidP="00623EE5">
      <w:pPr>
        <w:spacing w:before="360" w:line="240" w:lineRule="auto"/>
        <w:ind w:left="720" w:hanging="1980"/>
        <w:rPr>
          <w:sz w:val="24"/>
          <w:szCs w:val="24"/>
        </w:rPr>
      </w:pPr>
    </w:p>
    <w:p w14:paraId="388A5AFE" w14:textId="77777777" w:rsidR="0097487B" w:rsidRPr="008A5E1F" w:rsidRDefault="0097487B" w:rsidP="00A56D6D">
      <w:pPr>
        <w:pStyle w:val="ListParagraph"/>
        <w:keepNext/>
        <w:numPr>
          <w:ilvl w:val="0"/>
          <w:numId w:val="16"/>
        </w:numPr>
        <w:spacing w:line="240" w:lineRule="auto"/>
        <w:ind w:left="-360"/>
        <w:rPr>
          <w:sz w:val="32"/>
          <w:szCs w:val="32"/>
          <w:u w:val="single"/>
        </w:rPr>
      </w:pPr>
      <w:r w:rsidRPr="008A5E1F">
        <w:rPr>
          <w:sz w:val="32"/>
          <w:szCs w:val="32"/>
          <w:u w:val="single"/>
        </w:rPr>
        <w:t xml:space="preserve">Sampling </w:t>
      </w:r>
      <w:bookmarkStart w:id="13" w:name="SamplingOptions"/>
      <w:bookmarkEnd w:id="13"/>
      <w:r w:rsidRPr="008A5E1F">
        <w:rPr>
          <w:sz w:val="32"/>
          <w:szCs w:val="32"/>
          <w:u w:val="single"/>
        </w:rPr>
        <w:t>Options (</w:t>
      </w:r>
      <w:r w:rsidR="00BE77D0" w:rsidRPr="008A5E1F">
        <w:rPr>
          <w:sz w:val="32"/>
          <w:szCs w:val="32"/>
          <w:u w:val="single"/>
        </w:rPr>
        <w:t xml:space="preserve">Soil, GW, </w:t>
      </w:r>
      <w:r w:rsidRPr="008A5E1F">
        <w:rPr>
          <w:sz w:val="32"/>
          <w:szCs w:val="32"/>
          <w:u w:val="single"/>
        </w:rPr>
        <w:t>NS, SS, IA)</w:t>
      </w:r>
    </w:p>
    <w:p w14:paraId="2ED1A6FA" w14:textId="77777777" w:rsidR="00216BF7" w:rsidRPr="008A5E1F" w:rsidRDefault="00216BF7" w:rsidP="00216BF7">
      <w:pPr>
        <w:pStyle w:val="ListParagraph"/>
        <w:spacing w:before="360" w:line="240" w:lineRule="auto"/>
        <w:ind w:left="-360"/>
        <w:rPr>
          <w:sz w:val="32"/>
          <w:szCs w:val="32"/>
          <w:u w:val="single"/>
        </w:rPr>
      </w:pPr>
    </w:p>
    <w:p w14:paraId="3BFFA375" w14:textId="6E926F31" w:rsidR="006A26D3" w:rsidRPr="008A5E1F" w:rsidRDefault="004C711C" w:rsidP="003F5D4C">
      <w:pPr>
        <w:pStyle w:val="ListParagraph"/>
        <w:numPr>
          <w:ilvl w:val="0"/>
          <w:numId w:val="37"/>
        </w:numPr>
        <w:spacing w:before="360" w:line="240" w:lineRule="auto"/>
        <w:rPr>
          <w:sz w:val="28"/>
          <w:szCs w:val="28"/>
        </w:rPr>
      </w:pPr>
      <w:r w:rsidRPr="008A5E1F">
        <w:rPr>
          <w:color w:val="0070C0"/>
          <w:sz w:val="28"/>
          <w:szCs w:val="28"/>
        </w:rPr>
        <w:t xml:space="preserve">If </w:t>
      </w:r>
      <w:r w:rsidR="004D280F" w:rsidRPr="008A5E1F">
        <w:rPr>
          <w:color w:val="0070C0"/>
          <w:sz w:val="28"/>
          <w:szCs w:val="28"/>
        </w:rPr>
        <w:t>sub</w:t>
      </w:r>
      <w:r w:rsidR="00E44C4F">
        <w:rPr>
          <w:color w:val="0070C0"/>
          <w:sz w:val="28"/>
          <w:szCs w:val="28"/>
        </w:rPr>
        <w:t>-</w:t>
      </w:r>
      <w:r w:rsidR="004D280F" w:rsidRPr="008A5E1F">
        <w:rPr>
          <w:color w:val="0070C0"/>
          <w:sz w:val="28"/>
          <w:szCs w:val="28"/>
        </w:rPr>
        <w:t xml:space="preserve">slab soil gas samples </w:t>
      </w:r>
      <w:r w:rsidR="002D5C2A" w:rsidRPr="008A5E1F">
        <w:rPr>
          <w:color w:val="0070C0"/>
          <w:sz w:val="28"/>
          <w:szCs w:val="28"/>
        </w:rPr>
        <w:t>are collected,</w:t>
      </w:r>
      <w:r w:rsidR="004D280F" w:rsidRPr="008A5E1F">
        <w:rPr>
          <w:color w:val="0070C0"/>
          <w:sz w:val="28"/>
          <w:szCs w:val="28"/>
        </w:rPr>
        <w:t xml:space="preserve"> and the </w:t>
      </w:r>
      <w:r w:rsidR="002D5C2A" w:rsidRPr="008A5E1F">
        <w:rPr>
          <w:color w:val="0070C0"/>
          <w:sz w:val="28"/>
          <w:szCs w:val="28"/>
        </w:rPr>
        <w:t>first round has an exceedance of</w:t>
      </w:r>
      <w:r w:rsidR="004D280F" w:rsidRPr="008A5E1F">
        <w:rPr>
          <w:color w:val="0070C0"/>
          <w:sz w:val="28"/>
          <w:szCs w:val="28"/>
        </w:rPr>
        <w:t xml:space="preserve"> the soil vapor sub-slab screening </w:t>
      </w:r>
      <w:r w:rsidR="00F16500">
        <w:rPr>
          <w:color w:val="0070C0"/>
          <w:sz w:val="28"/>
          <w:szCs w:val="28"/>
        </w:rPr>
        <w:t>values</w:t>
      </w:r>
      <w:r w:rsidRPr="008A5E1F">
        <w:rPr>
          <w:color w:val="0070C0"/>
          <w:sz w:val="28"/>
          <w:szCs w:val="28"/>
        </w:rPr>
        <w:t>,</w:t>
      </w:r>
      <w:r w:rsidR="004D280F" w:rsidRPr="008A5E1F">
        <w:rPr>
          <w:color w:val="0070C0"/>
          <w:sz w:val="28"/>
          <w:szCs w:val="28"/>
        </w:rPr>
        <w:t xml:space="preserve"> do</w:t>
      </w:r>
      <w:r w:rsidRPr="008A5E1F">
        <w:rPr>
          <w:color w:val="0070C0"/>
          <w:sz w:val="28"/>
          <w:szCs w:val="28"/>
        </w:rPr>
        <w:t xml:space="preserve">es a </w:t>
      </w:r>
      <w:r w:rsidR="004D280F" w:rsidRPr="008A5E1F">
        <w:rPr>
          <w:color w:val="0070C0"/>
          <w:sz w:val="28"/>
          <w:szCs w:val="28"/>
        </w:rPr>
        <w:t>second round</w:t>
      </w:r>
      <w:r w:rsidRPr="008A5E1F">
        <w:rPr>
          <w:color w:val="0070C0"/>
          <w:sz w:val="28"/>
          <w:szCs w:val="28"/>
        </w:rPr>
        <w:t xml:space="preserve"> of </w:t>
      </w:r>
      <w:r w:rsidR="00F16500" w:rsidRPr="008A5E1F">
        <w:rPr>
          <w:color w:val="0070C0"/>
          <w:sz w:val="28"/>
          <w:szCs w:val="28"/>
        </w:rPr>
        <w:t>sampl</w:t>
      </w:r>
      <w:r w:rsidR="00F16500">
        <w:rPr>
          <w:color w:val="0070C0"/>
          <w:sz w:val="28"/>
          <w:szCs w:val="28"/>
        </w:rPr>
        <w:t>es</w:t>
      </w:r>
      <w:r w:rsidR="00F16500" w:rsidRPr="008A5E1F">
        <w:rPr>
          <w:color w:val="0070C0"/>
          <w:sz w:val="28"/>
          <w:szCs w:val="28"/>
        </w:rPr>
        <w:t xml:space="preserve"> </w:t>
      </w:r>
      <w:proofErr w:type="gramStart"/>
      <w:r w:rsidRPr="008A5E1F">
        <w:rPr>
          <w:color w:val="0070C0"/>
          <w:sz w:val="28"/>
          <w:szCs w:val="28"/>
        </w:rPr>
        <w:t>have to</w:t>
      </w:r>
      <w:proofErr w:type="gramEnd"/>
      <w:r w:rsidRPr="008A5E1F">
        <w:rPr>
          <w:color w:val="0070C0"/>
          <w:sz w:val="28"/>
          <w:szCs w:val="28"/>
        </w:rPr>
        <w:t xml:space="preserve"> be collected</w:t>
      </w:r>
      <w:r w:rsidR="004D280F" w:rsidRPr="008A5E1F">
        <w:rPr>
          <w:color w:val="0070C0"/>
          <w:sz w:val="28"/>
          <w:szCs w:val="28"/>
        </w:rPr>
        <w:t>? </w:t>
      </w:r>
    </w:p>
    <w:p w14:paraId="592E82CA" w14:textId="30081086" w:rsidR="00E10AF4" w:rsidRPr="008A5E1F" w:rsidRDefault="006A26D3" w:rsidP="00D20430">
      <w:pPr>
        <w:spacing w:before="360" w:line="240" w:lineRule="auto"/>
        <w:ind w:left="720" w:hanging="540"/>
        <w:rPr>
          <w:sz w:val="28"/>
          <w:szCs w:val="28"/>
        </w:rPr>
      </w:pPr>
      <w:r w:rsidRPr="008A5E1F">
        <w:rPr>
          <w:sz w:val="28"/>
          <w:szCs w:val="28"/>
        </w:rPr>
        <w:t>Response:</w:t>
      </w:r>
      <w:r w:rsidR="00A662AE">
        <w:rPr>
          <w:sz w:val="28"/>
          <w:szCs w:val="28"/>
        </w:rPr>
        <w:t xml:space="preserve"> </w:t>
      </w:r>
      <w:r w:rsidR="00E44C4F">
        <w:rPr>
          <w:sz w:val="28"/>
          <w:szCs w:val="28"/>
        </w:rPr>
        <w:t xml:space="preserve">A minimum of two rounds of </w:t>
      </w:r>
      <w:r w:rsidR="00F16500">
        <w:rPr>
          <w:sz w:val="28"/>
          <w:szCs w:val="28"/>
        </w:rPr>
        <w:t>vapor</w:t>
      </w:r>
      <w:r w:rsidR="00E44C4F">
        <w:rPr>
          <w:sz w:val="28"/>
          <w:szCs w:val="28"/>
        </w:rPr>
        <w:t xml:space="preserve"> sampling is necessary for screening.</w:t>
      </w:r>
      <w:r w:rsidR="00A662AE">
        <w:rPr>
          <w:sz w:val="28"/>
          <w:szCs w:val="28"/>
        </w:rPr>
        <w:t xml:space="preserve"> </w:t>
      </w:r>
      <w:r w:rsidR="00F4786D" w:rsidRPr="008A5E1F">
        <w:rPr>
          <w:sz w:val="28"/>
          <w:szCs w:val="28"/>
        </w:rPr>
        <w:t>If the initial round of sampling (soil gas, sub-slab, or indoor air) exc</w:t>
      </w:r>
      <w:r w:rsidR="00C02A1A" w:rsidRPr="008A5E1F">
        <w:rPr>
          <w:sz w:val="28"/>
          <w:szCs w:val="28"/>
        </w:rPr>
        <w:t>eeds a screening value</w:t>
      </w:r>
      <w:r w:rsidR="00E44C4F">
        <w:rPr>
          <w:sz w:val="28"/>
          <w:szCs w:val="28"/>
        </w:rPr>
        <w:t xml:space="preserve"> and the remediator chooses to move on to another VI evaluation option</w:t>
      </w:r>
      <w:r w:rsidR="00C02A1A" w:rsidRPr="008A5E1F">
        <w:rPr>
          <w:sz w:val="28"/>
          <w:szCs w:val="28"/>
        </w:rPr>
        <w:t xml:space="preserve">, then </w:t>
      </w:r>
      <w:r w:rsidR="00E44C4F">
        <w:rPr>
          <w:sz w:val="28"/>
          <w:szCs w:val="28"/>
        </w:rPr>
        <w:t>the remediator</w:t>
      </w:r>
      <w:r w:rsidR="00E44C4F" w:rsidRPr="008A5E1F">
        <w:rPr>
          <w:sz w:val="28"/>
          <w:szCs w:val="28"/>
        </w:rPr>
        <w:t xml:space="preserve"> </w:t>
      </w:r>
      <w:r w:rsidR="00C02A1A" w:rsidRPr="008A5E1F">
        <w:rPr>
          <w:sz w:val="28"/>
          <w:szCs w:val="28"/>
        </w:rPr>
        <w:t>is not</w:t>
      </w:r>
      <w:r w:rsidR="00F4786D" w:rsidRPr="008A5E1F">
        <w:rPr>
          <w:sz w:val="28"/>
          <w:szCs w:val="28"/>
        </w:rPr>
        <w:t xml:space="preserve"> required to collect a second round</w:t>
      </w:r>
      <w:r w:rsidR="00E44C4F">
        <w:rPr>
          <w:sz w:val="28"/>
          <w:szCs w:val="28"/>
        </w:rPr>
        <w:t xml:space="preserve"> of samples</w:t>
      </w:r>
      <w:r w:rsidR="00FB0E95">
        <w:rPr>
          <w:sz w:val="28"/>
          <w:szCs w:val="28"/>
        </w:rPr>
        <w:t>.</w:t>
      </w:r>
      <w:r w:rsidR="00A662AE">
        <w:rPr>
          <w:sz w:val="28"/>
          <w:szCs w:val="28"/>
        </w:rPr>
        <w:t xml:space="preserve"> </w:t>
      </w:r>
    </w:p>
    <w:p w14:paraId="3A7E69E1" w14:textId="77777777" w:rsidR="00CD1D56" w:rsidRPr="008A5E1F" w:rsidRDefault="00BC58AE" w:rsidP="00C02C9F">
      <w:pPr>
        <w:spacing w:before="120" w:line="240" w:lineRule="auto"/>
        <w:ind w:left="907"/>
        <w:rPr>
          <w:sz w:val="28"/>
          <w:szCs w:val="28"/>
        </w:rPr>
      </w:pPr>
      <w:r w:rsidRPr="008A5E1F">
        <w:rPr>
          <w:sz w:val="28"/>
          <w:szCs w:val="28"/>
        </w:rPr>
        <w:t>Reference: VI Guidan</w:t>
      </w:r>
      <w:r w:rsidR="00CD1D56" w:rsidRPr="008A5E1F">
        <w:rPr>
          <w:sz w:val="28"/>
          <w:szCs w:val="28"/>
        </w:rPr>
        <w:t xml:space="preserve">ce Section </w:t>
      </w:r>
      <w:r w:rsidRPr="008A5E1F">
        <w:rPr>
          <w:sz w:val="28"/>
          <w:szCs w:val="28"/>
        </w:rPr>
        <w:t>G.2</w:t>
      </w:r>
      <w:r w:rsidR="00DF455E" w:rsidRPr="008A5E1F">
        <w:rPr>
          <w:sz w:val="28"/>
          <w:szCs w:val="28"/>
        </w:rPr>
        <w:t>.</w:t>
      </w:r>
      <w:r w:rsidRPr="008A5E1F">
        <w:rPr>
          <w:sz w:val="28"/>
          <w:szCs w:val="28"/>
        </w:rPr>
        <w:t xml:space="preserve"> and Section K</w:t>
      </w:r>
      <w:r w:rsidR="00DF455E" w:rsidRPr="008A5E1F">
        <w:rPr>
          <w:sz w:val="28"/>
          <w:szCs w:val="28"/>
        </w:rPr>
        <w:t>.</w:t>
      </w:r>
    </w:p>
    <w:p w14:paraId="7AF4AD78" w14:textId="74497878" w:rsidR="00576453" w:rsidRPr="008A5E1F" w:rsidRDefault="00576453" w:rsidP="00792B09">
      <w:pPr>
        <w:pStyle w:val="ListParagraph"/>
        <w:numPr>
          <w:ilvl w:val="0"/>
          <w:numId w:val="37"/>
        </w:numPr>
        <w:spacing w:before="360" w:line="240" w:lineRule="auto"/>
        <w:rPr>
          <w:sz w:val="28"/>
          <w:szCs w:val="28"/>
        </w:rPr>
      </w:pPr>
      <w:r w:rsidRPr="008A5E1F">
        <w:rPr>
          <w:color w:val="0070C0"/>
          <w:sz w:val="28"/>
          <w:szCs w:val="28"/>
        </w:rPr>
        <w:t xml:space="preserve">If there is </w:t>
      </w:r>
      <w:r w:rsidR="00F16500">
        <w:rPr>
          <w:color w:val="0070C0"/>
          <w:sz w:val="28"/>
          <w:szCs w:val="28"/>
        </w:rPr>
        <w:t xml:space="preserve">a </w:t>
      </w:r>
      <w:r w:rsidRPr="008A5E1F">
        <w:rPr>
          <w:color w:val="0070C0"/>
          <w:sz w:val="28"/>
          <w:szCs w:val="28"/>
        </w:rPr>
        <w:t xml:space="preserve">clean groundwater </w:t>
      </w:r>
      <w:r w:rsidR="00EC3218">
        <w:rPr>
          <w:color w:val="0070C0"/>
          <w:sz w:val="28"/>
          <w:szCs w:val="28"/>
        </w:rPr>
        <w:t xml:space="preserve">lens </w:t>
      </w:r>
      <w:r w:rsidRPr="008A5E1F">
        <w:rPr>
          <w:color w:val="0070C0"/>
          <w:sz w:val="28"/>
          <w:szCs w:val="28"/>
        </w:rPr>
        <w:t>above a deeper</w:t>
      </w:r>
      <w:r w:rsidR="00257CB4">
        <w:rPr>
          <w:color w:val="0070C0"/>
          <w:sz w:val="28"/>
          <w:szCs w:val="28"/>
        </w:rPr>
        <w:t xml:space="preserve"> potential VI</w:t>
      </w:r>
      <w:r w:rsidRPr="008A5E1F">
        <w:rPr>
          <w:color w:val="0070C0"/>
          <w:sz w:val="28"/>
          <w:szCs w:val="28"/>
        </w:rPr>
        <w:t xml:space="preserve"> source, does VI need to be addressed? </w:t>
      </w:r>
    </w:p>
    <w:p w14:paraId="17AFE0A3" w14:textId="097B4BE6" w:rsidR="00576453" w:rsidRPr="008A5E1F" w:rsidRDefault="00576453" w:rsidP="00576453">
      <w:pPr>
        <w:spacing w:before="360" w:line="240" w:lineRule="auto"/>
        <w:ind w:left="720" w:hanging="540"/>
        <w:rPr>
          <w:sz w:val="28"/>
          <w:szCs w:val="28"/>
        </w:rPr>
      </w:pPr>
      <w:r w:rsidRPr="008A5E1F">
        <w:rPr>
          <w:sz w:val="28"/>
          <w:szCs w:val="28"/>
        </w:rPr>
        <w:t>Response:</w:t>
      </w:r>
      <w:r w:rsidR="00A662AE">
        <w:rPr>
          <w:sz w:val="28"/>
          <w:szCs w:val="28"/>
        </w:rPr>
        <w:t xml:space="preserve"> </w:t>
      </w:r>
      <w:r w:rsidRPr="008A5E1F">
        <w:rPr>
          <w:sz w:val="28"/>
          <w:szCs w:val="28"/>
        </w:rPr>
        <w:t xml:space="preserve"> </w:t>
      </w:r>
      <w:r w:rsidR="007E06F1" w:rsidRPr="008A5E1F">
        <w:rPr>
          <w:sz w:val="28"/>
          <w:szCs w:val="28"/>
        </w:rPr>
        <w:t xml:space="preserve">If </w:t>
      </w:r>
      <w:r w:rsidR="00257CB4">
        <w:rPr>
          <w:sz w:val="28"/>
          <w:szCs w:val="28"/>
        </w:rPr>
        <w:t xml:space="preserve">a clean </w:t>
      </w:r>
      <w:r w:rsidR="00F16500">
        <w:rPr>
          <w:sz w:val="28"/>
          <w:szCs w:val="28"/>
        </w:rPr>
        <w:t xml:space="preserve">groundwater </w:t>
      </w:r>
      <w:r w:rsidR="00257CB4">
        <w:rPr>
          <w:sz w:val="28"/>
          <w:szCs w:val="28"/>
        </w:rPr>
        <w:t xml:space="preserve">lens </w:t>
      </w:r>
      <w:r w:rsidR="00F16500">
        <w:rPr>
          <w:sz w:val="28"/>
          <w:szCs w:val="28"/>
        </w:rPr>
        <w:t xml:space="preserve">is </w:t>
      </w:r>
      <w:r w:rsidR="00257CB4">
        <w:rPr>
          <w:sz w:val="28"/>
          <w:szCs w:val="28"/>
        </w:rPr>
        <w:t xml:space="preserve">present, it </w:t>
      </w:r>
      <w:r w:rsidR="006E105A">
        <w:rPr>
          <w:sz w:val="28"/>
          <w:szCs w:val="28"/>
        </w:rPr>
        <w:t xml:space="preserve">can </w:t>
      </w:r>
      <w:r w:rsidR="00257CB4">
        <w:rPr>
          <w:sz w:val="28"/>
          <w:szCs w:val="28"/>
        </w:rPr>
        <w:t xml:space="preserve">serve as a </w:t>
      </w:r>
      <w:r w:rsidR="00F16500">
        <w:rPr>
          <w:sz w:val="28"/>
          <w:szCs w:val="28"/>
        </w:rPr>
        <w:t xml:space="preserve">barrier </w:t>
      </w:r>
      <w:r w:rsidR="00257CB4">
        <w:rPr>
          <w:sz w:val="28"/>
          <w:szCs w:val="28"/>
        </w:rPr>
        <w:t xml:space="preserve">between the VI source and the receptor, and </w:t>
      </w:r>
      <w:r w:rsidR="006E105A">
        <w:rPr>
          <w:sz w:val="28"/>
          <w:szCs w:val="28"/>
        </w:rPr>
        <w:t xml:space="preserve">VI from </w:t>
      </w:r>
      <w:r w:rsidR="00257CB4">
        <w:rPr>
          <w:sz w:val="28"/>
          <w:szCs w:val="28"/>
        </w:rPr>
        <w:t>groundwater can be considered an incomplete pathway.</w:t>
      </w:r>
      <w:r w:rsidR="00A662AE">
        <w:rPr>
          <w:sz w:val="28"/>
          <w:szCs w:val="28"/>
        </w:rPr>
        <w:t xml:space="preserve"> </w:t>
      </w:r>
      <w:r w:rsidR="00257CB4">
        <w:rPr>
          <w:sz w:val="28"/>
          <w:szCs w:val="28"/>
        </w:rPr>
        <w:t xml:space="preserve">It is necessary to demonstrate that a clean </w:t>
      </w:r>
      <w:r w:rsidR="00810D70">
        <w:rPr>
          <w:sz w:val="28"/>
          <w:szCs w:val="28"/>
        </w:rPr>
        <w:t xml:space="preserve">water </w:t>
      </w:r>
      <w:r w:rsidR="00257CB4">
        <w:rPr>
          <w:sz w:val="28"/>
          <w:szCs w:val="28"/>
        </w:rPr>
        <w:t xml:space="preserve">lens is present </w:t>
      </w:r>
      <w:r w:rsidR="00810D70">
        <w:rPr>
          <w:sz w:val="28"/>
          <w:szCs w:val="28"/>
        </w:rPr>
        <w:t xml:space="preserve">beneath potential receptors at </w:t>
      </w:r>
      <w:r w:rsidR="00257CB4">
        <w:rPr>
          <w:sz w:val="28"/>
          <w:szCs w:val="28"/>
        </w:rPr>
        <w:t>the site</w:t>
      </w:r>
      <w:r w:rsidR="00FB0E95">
        <w:rPr>
          <w:sz w:val="28"/>
          <w:szCs w:val="28"/>
        </w:rPr>
        <w:t xml:space="preserve">, that it is </w:t>
      </w:r>
      <w:r w:rsidR="00FB0E95">
        <w:rPr>
          <w:sz w:val="28"/>
          <w:szCs w:val="28"/>
        </w:rPr>
        <w:lastRenderedPageBreak/>
        <w:t>laterally continuous, and that it is a perennial feature</w:t>
      </w:r>
      <w:r w:rsidR="00257CB4">
        <w:rPr>
          <w:sz w:val="28"/>
          <w:szCs w:val="28"/>
        </w:rPr>
        <w:t>.</w:t>
      </w:r>
      <w:r w:rsidR="00A662AE">
        <w:rPr>
          <w:sz w:val="28"/>
          <w:szCs w:val="28"/>
        </w:rPr>
        <w:t xml:space="preserve"> </w:t>
      </w:r>
      <w:r w:rsidR="00F16500">
        <w:rPr>
          <w:sz w:val="28"/>
          <w:szCs w:val="28"/>
        </w:rPr>
        <w:t xml:space="preserve">Potential </w:t>
      </w:r>
      <w:r w:rsidR="00257CB4">
        <w:rPr>
          <w:sz w:val="28"/>
          <w:szCs w:val="28"/>
        </w:rPr>
        <w:t xml:space="preserve">preferential pathways </w:t>
      </w:r>
      <w:r w:rsidR="00F16500">
        <w:rPr>
          <w:sz w:val="28"/>
          <w:szCs w:val="28"/>
        </w:rPr>
        <w:t xml:space="preserve">should be evaluated because </w:t>
      </w:r>
      <w:r w:rsidR="00257CB4">
        <w:rPr>
          <w:sz w:val="28"/>
          <w:szCs w:val="28"/>
        </w:rPr>
        <w:t xml:space="preserve">they </w:t>
      </w:r>
      <w:r w:rsidR="00A75420">
        <w:rPr>
          <w:sz w:val="28"/>
          <w:szCs w:val="28"/>
        </w:rPr>
        <w:t xml:space="preserve">could </w:t>
      </w:r>
      <w:r w:rsidR="00257CB4">
        <w:rPr>
          <w:sz w:val="28"/>
          <w:szCs w:val="28"/>
        </w:rPr>
        <w:t xml:space="preserve">allow </w:t>
      </w:r>
      <w:r w:rsidR="00F16500">
        <w:rPr>
          <w:sz w:val="28"/>
          <w:szCs w:val="28"/>
        </w:rPr>
        <w:t xml:space="preserve">contamination </w:t>
      </w:r>
      <w:r w:rsidR="00257CB4">
        <w:rPr>
          <w:sz w:val="28"/>
          <w:szCs w:val="28"/>
        </w:rPr>
        <w:t xml:space="preserve">from below the lens to move </w:t>
      </w:r>
      <w:r w:rsidR="00F16500">
        <w:rPr>
          <w:sz w:val="28"/>
          <w:szCs w:val="28"/>
        </w:rPr>
        <w:t>above it</w:t>
      </w:r>
      <w:r w:rsidR="00257CB4">
        <w:rPr>
          <w:sz w:val="28"/>
          <w:szCs w:val="28"/>
        </w:rPr>
        <w:t>.</w:t>
      </w:r>
    </w:p>
    <w:p w14:paraId="5149936C" w14:textId="5D0C9051" w:rsidR="003A11E6" w:rsidRPr="008A5E1F" w:rsidRDefault="003A11E6" w:rsidP="003A11E6">
      <w:pPr>
        <w:spacing w:before="360" w:line="240" w:lineRule="auto"/>
        <w:ind w:left="900"/>
        <w:rPr>
          <w:sz w:val="28"/>
          <w:szCs w:val="28"/>
        </w:rPr>
      </w:pPr>
      <w:r w:rsidRPr="008A5E1F">
        <w:rPr>
          <w:sz w:val="28"/>
          <w:szCs w:val="28"/>
        </w:rPr>
        <w:t xml:space="preserve">Reference: VI Guidance Section </w:t>
      </w:r>
      <w:r w:rsidR="00A75420">
        <w:rPr>
          <w:sz w:val="28"/>
          <w:szCs w:val="28"/>
        </w:rPr>
        <w:t>C.1</w:t>
      </w:r>
      <w:r w:rsidR="00DF455E" w:rsidRPr="008A5E1F">
        <w:rPr>
          <w:sz w:val="28"/>
          <w:szCs w:val="28"/>
        </w:rPr>
        <w:t>.</w:t>
      </w:r>
    </w:p>
    <w:p w14:paraId="165FAD84" w14:textId="77777777" w:rsidR="005508BD" w:rsidRPr="008A5E1F" w:rsidRDefault="005508BD" w:rsidP="006447DA">
      <w:pPr>
        <w:spacing w:before="360" w:line="240" w:lineRule="auto"/>
        <w:ind w:left="900"/>
        <w:rPr>
          <w:sz w:val="28"/>
          <w:szCs w:val="28"/>
        </w:rPr>
      </w:pPr>
    </w:p>
    <w:p w14:paraId="6F9059BF" w14:textId="693E00E3" w:rsidR="00B103C5" w:rsidRPr="008A5E1F" w:rsidRDefault="00257CB4" w:rsidP="00522C28">
      <w:pPr>
        <w:pStyle w:val="ListParagraph"/>
        <w:numPr>
          <w:ilvl w:val="0"/>
          <w:numId w:val="37"/>
        </w:numPr>
        <w:tabs>
          <w:tab w:val="left" w:pos="990"/>
        </w:tabs>
        <w:spacing w:before="360" w:line="240" w:lineRule="auto"/>
        <w:rPr>
          <w:sz w:val="28"/>
          <w:szCs w:val="28"/>
        </w:rPr>
      </w:pPr>
      <w:r>
        <w:rPr>
          <w:color w:val="0070C0"/>
          <w:sz w:val="28"/>
          <w:szCs w:val="28"/>
        </w:rPr>
        <w:t xml:space="preserve">In </w:t>
      </w:r>
      <w:r w:rsidR="00B103C5" w:rsidRPr="008A5E1F">
        <w:rPr>
          <w:color w:val="0070C0"/>
          <w:sz w:val="28"/>
          <w:szCs w:val="28"/>
        </w:rPr>
        <w:t>shallow groundwater</w:t>
      </w:r>
      <w:r w:rsidR="00AD0BC8" w:rsidRPr="008A5E1F">
        <w:rPr>
          <w:color w:val="0070C0"/>
          <w:sz w:val="28"/>
          <w:szCs w:val="28"/>
        </w:rPr>
        <w:t xml:space="preserve"> </w:t>
      </w:r>
      <w:r>
        <w:rPr>
          <w:color w:val="0070C0"/>
          <w:sz w:val="28"/>
          <w:szCs w:val="28"/>
        </w:rPr>
        <w:t xml:space="preserve">conditions where the </w:t>
      </w:r>
      <w:r w:rsidR="00AD0BC8" w:rsidRPr="008A5E1F">
        <w:rPr>
          <w:color w:val="0070C0"/>
          <w:sz w:val="28"/>
          <w:szCs w:val="28"/>
        </w:rPr>
        <w:t xml:space="preserve">capillary fringe </w:t>
      </w:r>
      <w:r>
        <w:rPr>
          <w:color w:val="0070C0"/>
          <w:sz w:val="28"/>
          <w:szCs w:val="28"/>
        </w:rPr>
        <w:t xml:space="preserve">is </w:t>
      </w:r>
      <w:r w:rsidR="00B103C5" w:rsidRPr="008A5E1F">
        <w:rPr>
          <w:color w:val="0070C0"/>
          <w:sz w:val="28"/>
          <w:szCs w:val="28"/>
        </w:rPr>
        <w:t xml:space="preserve">less than </w:t>
      </w:r>
      <w:r w:rsidR="00810D70">
        <w:rPr>
          <w:color w:val="0070C0"/>
          <w:sz w:val="28"/>
          <w:szCs w:val="28"/>
        </w:rPr>
        <w:br/>
      </w:r>
      <w:r w:rsidR="00B103C5" w:rsidRPr="008A5E1F">
        <w:rPr>
          <w:color w:val="0070C0"/>
          <w:sz w:val="28"/>
          <w:szCs w:val="28"/>
        </w:rPr>
        <w:t>5 feet</w:t>
      </w:r>
      <w:r w:rsidR="00AD0BC8" w:rsidRPr="008A5E1F">
        <w:rPr>
          <w:color w:val="0070C0"/>
          <w:sz w:val="28"/>
          <w:szCs w:val="28"/>
        </w:rPr>
        <w:t xml:space="preserve"> below grade</w:t>
      </w:r>
      <w:r>
        <w:rPr>
          <w:color w:val="0070C0"/>
          <w:sz w:val="28"/>
          <w:szCs w:val="28"/>
        </w:rPr>
        <w:t xml:space="preserve">, is </w:t>
      </w:r>
      <w:r w:rsidR="00B103C5" w:rsidRPr="008A5E1F">
        <w:rPr>
          <w:color w:val="0070C0"/>
          <w:sz w:val="28"/>
          <w:szCs w:val="28"/>
        </w:rPr>
        <w:t>groundwater</w:t>
      </w:r>
      <w:r>
        <w:rPr>
          <w:color w:val="0070C0"/>
          <w:sz w:val="28"/>
          <w:szCs w:val="28"/>
        </w:rPr>
        <w:t xml:space="preserve"> or</w:t>
      </w:r>
      <w:r w:rsidR="00AD0BC8" w:rsidRPr="008A5E1F">
        <w:rPr>
          <w:color w:val="0070C0"/>
          <w:sz w:val="28"/>
          <w:szCs w:val="28"/>
        </w:rPr>
        <w:t xml:space="preserve"> near-source soil gas sampling </w:t>
      </w:r>
      <w:r>
        <w:rPr>
          <w:color w:val="0070C0"/>
          <w:sz w:val="28"/>
          <w:szCs w:val="28"/>
        </w:rPr>
        <w:t xml:space="preserve">an </w:t>
      </w:r>
      <w:r w:rsidR="00AD0BC8" w:rsidRPr="008A5E1F">
        <w:rPr>
          <w:color w:val="0070C0"/>
          <w:sz w:val="28"/>
          <w:szCs w:val="28"/>
        </w:rPr>
        <w:t>option?</w:t>
      </w:r>
      <w:r w:rsidR="00A662AE">
        <w:rPr>
          <w:color w:val="0070C0"/>
          <w:sz w:val="28"/>
          <w:szCs w:val="28"/>
        </w:rPr>
        <w:t xml:space="preserve"> </w:t>
      </w:r>
      <w:r w:rsidR="00665270">
        <w:rPr>
          <w:color w:val="0070C0"/>
          <w:sz w:val="28"/>
          <w:szCs w:val="28"/>
        </w:rPr>
        <w:t>Are there other options?</w:t>
      </w:r>
    </w:p>
    <w:p w14:paraId="0FCFE874" w14:textId="669A10C0" w:rsidR="00AD0BC8" w:rsidRPr="008A5E1F" w:rsidRDefault="00B103C5" w:rsidP="00522C28">
      <w:pPr>
        <w:spacing w:before="360" w:line="240" w:lineRule="auto"/>
        <w:ind w:left="734" w:hanging="547"/>
        <w:rPr>
          <w:sz w:val="28"/>
          <w:szCs w:val="28"/>
        </w:rPr>
      </w:pPr>
      <w:r w:rsidRPr="008A5E1F">
        <w:rPr>
          <w:sz w:val="28"/>
          <w:szCs w:val="28"/>
        </w:rPr>
        <w:t>Response:</w:t>
      </w:r>
      <w:r w:rsidR="00A662AE">
        <w:rPr>
          <w:sz w:val="28"/>
          <w:szCs w:val="28"/>
        </w:rPr>
        <w:t xml:space="preserve"> </w:t>
      </w:r>
      <w:r w:rsidR="00257CB4">
        <w:rPr>
          <w:sz w:val="28"/>
          <w:szCs w:val="28"/>
        </w:rPr>
        <w:t>Shallow</w:t>
      </w:r>
      <w:r w:rsidR="001A1313" w:rsidRPr="008A5E1F">
        <w:rPr>
          <w:sz w:val="28"/>
          <w:szCs w:val="28"/>
        </w:rPr>
        <w:t xml:space="preserve"> groundw</w:t>
      </w:r>
      <w:r w:rsidR="00257CB4">
        <w:rPr>
          <w:sz w:val="28"/>
          <w:szCs w:val="28"/>
        </w:rPr>
        <w:t>ater samples (&lt;</w:t>
      </w:r>
      <w:r w:rsidR="001A1313" w:rsidRPr="008A5E1F">
        <w:rPr>
          <w:sz w:val="28"/>
          <w:szCs w:val="28"/>
        </w:rPr>
        <w:t xml:space="preserve"> 5 feet below grade</w:t>
      </w:r>
      <w:r w:rsidR="00257CB4">
        <w:rPr>
          <w:sz w:val="28"/>
          <w:szCs w:val="28"/>
        </w:rPr>
        <w:t>)</w:t>
      </w:r>
      <w:r w:rsidR="001A1313" w:rsidRPr="008A5E1F">
        <w:rPr>
          <w:sz w:val="28"/>
          <w:szCs w:val="28"/>
        </w:rPr>
        <w:t xml:space="preserve"> </w:t>
      </w:r>
      <w:r w:rsidR="00257CB4">
        <w:rPr>
          <w:sz w:val="28"/>
          <w:szCs w:val="28"/>
        </w:rPr>
        <w:t>can</w:t>
      </w:r>
      <w:r w:rsidR="001A1313" w:rsidRPr="008A5E1F">
        <w:rPr>
          <w:sz w:val="28"/>
          <w:szCs w:val="28"/>
        </w:rPr>
        <w:t xml:space="preserve"> be </w:t>
      </w:r>
      <w:r w:rsidR="00257CB4">
        <w:rPr>
          <w:sz w:val="28"/>
          <w:szCs w:val="28"/>
        </w:rPr>
        <w:t xml:space="preserve">collected but cannot be compared </w:t>
      </w:r>
      <w:r w:rsidR="001A1313" w:rsidRPr="008A5E1F">
        <w:rPr>
          <w:sz w:val="28"/>
          <w:szCs w:val="28"/>
        </w:rPr>
        <w:t>to the groundwa</w:t>
      </w:r>
      <w:r w:rsidR="00257CB4">
        <w:rPr>
          <w:sz w:val="28"/>
          <w:szCs w:val="28"/>
        </w:rPr>
        <w:t>ter screening values in Table 1.</w:t>
      </w:r>
      <w:r w:rsidR="00A662AE">
        <w:rPr>
          <w:sz w:val="28"/>
          <w:szCs w:val="28"/>
        </w:rPr>
        <w:t xml:space="preserve"> </w:t>
      </w:r>
      <w:r w:rsidR="00257CB4">
        <w:rPr>
          <w:sz w:val="28"/>
          <w:szCs w:val="28"/>
        </w:rPr>
        <w:t>Shallow groundwater data can only be</w:t>
      </w:r>
      <w:r w:rsidR="001A1313" w:rsidRPr="008A5E1F">
        <w:rPr>
          <w:sz w:val="28"/>
          <w:szCs w:val="28"/>
        </w:rPr>
        <w:t xml:space="preserve"> compared to the </w:t>
      </w:r>
      <w:r w:rsidR="00810D70">
        <w:rPr>
          <w:sz w:val="28"/>
          <w:szCs w:val="28"/>
        </w:rPr>
        <w:t>u</w:t>
      </w:r>
      <w:r w:rsidR="00810D70" w:rsidRPr="008A5E1F">
        <w:rPr>
          <w:sz w:val="28"/>
          <w:szCs w:val="28"/>
        </w:rPr>
        <w:t xml:space="preserve">sed </w:t>
      </w:r>
      <w:r w:rsidR="00810D70">
        <w:rPr>
          <w:sz w:val="28"/>
          <w:szCs w:val="28"/>
        </w:rPr>
        <w:t>a</w:t>
      </w:r>
      <w:r w:rsidR="00810D70" w:rsidRPr="008A5E1F">
        <w:rPr>
          <w:sz w:val="28"/>
          <w:szCs w:val="28"/>
        </w:rPr>
        <w:t xml:space="preserve">quifer </w:t>
      </w:r>
      <w:r w:rsidR="00A75420">
        <w:rPr>
          <w:sz w:val="28"/>
          <w:szCs w:val="28"/>
        </w:rPr>
        <w:t>groundwater</w:t>
      </w:r>
      <w:r w:rsidR="00A75420" w:rsidRPr="008A5E1F">
        <w:rPr>
          <w:sz w:val="28"/>
          <w:szCs w:val="28"/>
        </w:rPr>
        <w:t xml:space="preserve"> </w:t>
      </w:r>
      <w:r w:rsidR="001A1313" w:rsidRPr="008A5E1F">
        <w:rPr>
          <w:sz w:val="28"/>
          <w:szCs w:val="28"/>
        </w:rPr>
        <w:t>MSC</w:t>
      </w:r>
      <w:r w:rsidR="00A75420">
        <w:rPr>
          <w:sz w:val="28"/>
          <w:szCs w:val="28"/>
        </w:rPr>
        <w:t>s</w:t>
      </w:r>
      <w:r w:rsidR="001A1313" w:rsidRPr="008A5E1F">
        <w:rPr>
          <w:sz w:val="28"/>
          <w:szCs w:val="28"/>
        </w:rPr>
        <w:t>.</w:t>
      </w:r>
      <w:r w:rsidR="00A662AE">
        <w:rPr>
          <w:sz w:val="28"/>
          <w:szCs w:val="28"/>
        </w:rPr>
        <w:t xml:space="preserve"> </w:t>
      </w:r>
    </w:p>
    <w:p w14:paraId="36156B8E" w14:textId="68DB6963" w:rsidR="00AD0BC8" w:rsidRPr="008A5E1F" w:rsidRDefault="00257CB4" w:rsidP="00AD0BC8">
      <w:pPr>
        <w:spacing w:before="360" w:line="240" w:lineRule="auto"/>
        <w:ind w:left="720"/>
        <w:rPr>
          <w:sz w:val="28"/>
          <w:szCs w:val="28"/>
        </w:rPr>
      </w:pPr>
      <w:r>
        <w:rPr>
          <w:sz w:val="28"/>
          <w:szCs w:val="28"/>
        </w:rPr>
        <w:t xml:space="preserve">Soil gas </w:t>
      </w:r>
      <w:r w:rsidR="00810D70">
        <w:rPr>
          <w:sz w:val="28"/>
          <w:szCs w:val="28"/>
        </w:rPr>
        <w:t xml:space="preserve">samples </w:t>
      </w:r>
      <w:r>
        <w:rPr>
          <w:sz w:val="28"/>
          <w:szCs w:val="28"/>
        </w:rPr>
        <w:t>should</w:t>
      </w:r>
      <w:r w:rsidR="00AD0BC8" w:rsidRPr="008A5E1F">
        <w:rPr>
          <w:sz w:val="28"/>
          <w:szCs w:val="28"/>
        </w:rPr>
        <w:t xml:space="preserve"> not be collected less than 5 feet </w:t>
      </w:r>
      <w:r>
        <w:rPr>
          <w:sz w:val="28"/>
          <w:szCs w:val="28"/>
        </w:rPr>
        <w:t>below ground surface</w:t>
      </w:r>
      <w:r w:rsidR="000E0CC1">
        <w:rPr>
          <w:sz w:val="28"/>
          <w:szCs w:val="28"/>
        </w:rPr>
        <w:t xml:space="preserve"> because atmospheric conditions can affect shallow soil gas samples.</w:t>
      </w:r>
      <w:r w:rsidR="00A662AE">
        <w:rPr>
          <w:sz w:val="28"/>
          <w:szCs w:val="28"/>
        </w:rPr>
        <w:t xml:space="preserve"> </w:t>
      </w:r>
      <w:r w:rsidR="000E0CC1">
        <w:rPr>
          <w:sz w:val="28"/>
          <w:szCs w:val="28"/>
        </w:rPr>
        <w:t>Thus,</w:t>
      </w:r>
      <w:r>
        <w:rPr>
          <w:sz w:val="28"/>
          <w:szCs w:val="28"/>
        </w:rPr>
        <w:t xml:space="preserve"> near-source </w:t>
      </w:r>
      <w:r w:rsidR="00A75420">
        <w:rPr>
          <w:sz w:val="28"/>
          <w:szCs w:val="28"/>
        </w:rPr>
        <w:t xml:space="preserve">screening </w:t>
      </w:r>
      <w:r>
        <w:rPr>
          <w:sz w:val="28"/>
          <w:szCs w:val="28"/>
        </w:rPr>
        <w:t>would</w:t>
      </w:r>
      <w:r w:rsidR="00AD0BC8" w:rsidRPr="008A5E1F">
        <w:rPr>
          <w:sz w:val="28"/>
          <w:szCs w:val="28"/>
        </w:rPr>
        <w:t xml:space="preserve"> not be an </w:t>
      </w:r>
      <w:r w:rsidR="000E0CC1" w:rsidRPr="008A5E1F">
        <w:rPr>
          <w:sz w:val="28"/>
          <w:szCs w:val="28"/>
        </w:rPr>
        <w:t>option</w:t>
      </w:r>
      <w:r w:rsidR="000E0CC1">
        <w:rPr>
          <w:rStyle w:val="CommentReference"/>
        </w:rPr>
        <w:t>.</w:t>
      </w:r>
      <w:r w:rsidR="000E0CC1">
        <w:rPr>
          <w:sz w:val="28"/>
          <w:szCs w:val="28"/>
        </w:rPr>
        <w:t xml:space="preserve"> Data from s</w:t>
      </w:r>
      <w:r w:rsidR="000E0CC1" w:rsidRPr="008A5E1F">
        <w:rPr>
          <w:sz w:val="28"/>
          <w:szCs w:val="28"/>
        </w:rPr>
        <w:t>ub</w:t>
      </w:r>
      <w:r w:rsidR="000E0CC1">
        <w:rPr>
          <w:sz w:val="28"/>
          <w:szCs w:val="28"/>
        </w:rPr>
        <w:t>-slab samples collected beneath intact paved areas large enough to be representative of future inhabited building</w:t>
      </w:r>
      <w:r w:rsidR="00665270">
        <w:rPr>
          <w:sz w:val="28"/>
          <w:szCs w:val="28"/>
        </w:rPr>
        <w:t>s</w:t>
      </w:r>
      <w:r w:rsidR="000E0CC1">
        <w:rPr>
          <w:sz w:val="28"/>
          <w:szCs w:val="28"/>
        </w:rPr>
        <w:t xml:space="preserve"> can be screened with sub-slab screening values.</w:t>
      </w:r>
    </w:p>
    <w:p w14:paraId="6ECBF003" w14:textId="4967773C" w:rsidR="00AD0BC8" w:rsidRDefault="00AD0BC8" w:rsidP="00AD0BC8">
      <w:pPr>
        <w:spacing w:before="360" w:line="240" w:lineRule="auto"/>
        <w:ind w:left="900"/>
        <w:rPr>
          <w:sz w:val="28"/>
          <w:szCs w:val="28"/>
        </w:rPr>
      </w:pPr>
      <w:r w:rsidRPr="008A5E1F">
        <w:rPr>
          <w:sz w:val="28"/>
          <w:szCs w:val="28"/>
        </w:rPr>
        <w:t>Reference: VI Guidance Section</w:t>
      </w:r>
      <w:r w:rsidR="00A75420">
        <w:rPr>
          <w:sz w:val="28"/>
          <w:szCs w:val="28"/>
        </w:rPr>
        <w:t>s</w:t>
      </w:r>
      <w:r w:rsidRPr="008A5E1F">
        <w:rPr>
          <w:sz w:val="28"/>
          <w:szCs w:val="28"/>
        </w:rPr>
        <w:t xml:space="preserve"> F.1</w:t>
      </w:r>
      <w:r w:rsidR="00DF455E" w:rsidRPr="008A5E1F">
        <w:rPr>
          <w:sz w:val="28"/>
          <w:szCs w:val="28"/>
        </w:rPr>
        <w:t>.</w:t>
      </w:r>
      <w:r w:rsidR="000E0CC1">
        <w:rPr>
          <w:sz w:val="28"/>
          <w:szCs w:val="28"/>
        </w:rPr>
        <w:t>,</w:t>
      </w:r>
      <w:r w:rsidRPr="008A5E1F">
        <w:rPr>
          <w:sz w:val="28"/>
          <w:szCs w:val="28"/>
        </w:rPr>
        <w:t xml:space="preserve"> G.2</w:t>
      </w:r>
      <w:r w:rsidR="000E0CC1">
        <w:rPr>
          <w:sz w:val="28"/>
          <w:szCs w:val="28"/>
        </w:rPr>
        <w:t>, and Appendix A, Section 2</w:t>
      </w:r>
      <w:r w:rsidR="00DF455E" w:rsidRPr="008A5E1F">
        <w:rPr>
          <w:sz w:val="28"/>
          <w:szCs w:val="28"/>
        </w:rPr>
        <w:t>.</w:t>
      </w:r>
    </w:p>
    <w:p w14:paraId="19F571CE" w14:textId="77777777" w:rsidR="00FA02B8" w:rsidRPr="008A5E1F" w:rsidRDefault="00FA02B8" w:rsidP="00AD0BC8">
      <w:pPr>
        <w:spacing w:before="360" w:line="240" w:lineRule="auto"/>
        <w:ind w:left="900"/>
        <w:rPr>
          <w:sz w:val="28"/>
          <w:szCs w:val="28"/>
        </w:rPr>
      </w:pPr>
    </w:p>
    <w:p w14:paraId="163D2EBD" w14:textId="6957F09C" w:rsidR="00FA02B8" w:rsidRPr="008A5E1F" w:rsidRDefault="00FA02B8" w:rsidP="00792B09">
      <w:pPr>
        <w:pStyle w:val="ListParagraph"/>
        <w:numPr>
          <w:ilvl w:val="0"/>
          <w:numId w:val="37"/>
        </w:numPr>
        <w:tabs>
          <w:tab w:val="left" w:pos="990"/>
        </w:tabs>
        <w:spacing w:before="360" w:line="240" w:lineRule="auto"/>
        <w:rPr>
          <w:sz w:val="28"/>
          <w:szCs w:val="28"/>
        </w:rPr>
      </w:pPr>
      <w:bookmarkStart w:id="14" w:name="CollectionofData"/>
      <w:bookmarkStart w:id="15" w:name="ScreeningValues"/>
      <w:bookmarkStart w:id="16" w:name="SignificantFoundationOpenings"/>
      <w:bookmarkEnd w:id="14"/>
      <w:bookmarkEnd w:id="15"/>
      <w:bookmarkEnd w:id="16"/>
      <w:r>
        <w:rPr>
          <w:color w:val="0070C0"/>
          <w:sz w:val="28"/>
          <w:szCs w:val="28"/>
        </w:rPr>
        <w:t xml:space="preserve">There is a site with </w:t>
      </w:r>
      <w:proofErr w:type="gramStart"/>
      <w:r w:rsidR="007D34CA">
        <w:rPr>
          <w:color w:val="0070C0"/>
          <w:sz w:val="28"/>
          <w:szCs w:val="28"/>
        </w:rPr>
        <w:t>future plans</w:t>
      </w:r>
      <w:proofErr w:type="gramEnd"/>
      <w:r w:rsidR="007D34CA">
        <w:rPr>
          <w:color w:val="0070C0"/>
          <w:sz w:val="28"/>
          <w:szCs w:val="28"/>
        </w:rPr>
        <w:t xml:space="preserve"> for a building that must be evaluated for VI.</w:t>
      </w:r>
      <w:r w:rsidR="00A662AE">
        <w:rPr>
          <w:color w:val="0070C0"/>
          <w:sz w:val="28"/>
          <w:szCs w:val="28"/>
        </w:rPr>
        <w:t xml:space="preserve"> </w:t>
      </w:r>
      <w:r w:rsidR="00A75420">
        <w:rPr>
          <w:color w:val="0070C0"/>
          <w:sz w:val="28"/>
          <w:szCs w:val="28"/>
        </w:rPr>
        <w:t xml:space="preserve">It is not possible to collect a </w:t>
      </w:r>
      <w:r w:rsidR="007D34CA">
        <w:rPr>
          <w:color w:val="0070C0"/>
          <w:sz w:val="28"/>
          <w:szCs w:val="28"/>
        </w:rPr>
        <w:t xml:space="preserve">near-source </w:t>
      </w:r>
      <w:r w:rsidR="00A75420">
        <w:rPr>
          <w:color w:val="0070C0"/>
          <w:sz w:val="28"/>
          <w:szCs w:val="28"/>
        </w:rPr>
        <w:t xml:space="preserve">soil gas </w:t>
      </w:r>
      <w:r w:rsidR="007D34CA">
        <w:rPr>
          <w:color w:val="0070C0"/>
          <w:sz w:val="28"/>
          <w:szCs w:val="28"/>
        </w:rPr>
        <w:t>sample.</w:t>
      </w:r>
      <w:r w:rsidR="00A662AE">
        <w:rPr>
          <w:color w:val="0070C0"/>
          <w:sz w:val="28"/>
          <w:szCs w:val="28"/>
        </w:rPr>
        <w:t xml:space="preserve"> </w:t>
      </w:r>
      <w:r w:rsidR="00FC3775">
        <w:rPr>
          <w:color w:val="0070C0"/>
          <w:sz w:val="28"/>
          <w:szCs w:val="28"/>
        </w:rPr>
        <w:t>There are grassy areas and a paved area on the site.</w:t>
      </w:r>
      <w:r w:rsidR="00A662AE">
        <w:rPr>
          <w:color w:val="0070C0"/>
          <w:sz w:val="28"/>
          <w:szCs w:val="28"/>
        </w:rPr>
        <w:t xml:space="preserve"> </w:t>
      </w:r>
      <w:r w:rsidR="007D34CA">
        <w:rPr>
          <w:color w:val="0070C0"/>
          <w:sz w:val="28"/>
          <w:szCs w:val="28"/>
        </w:rPr>
        <w:t xml:space="preserve">Since no buildings </w:t>
      </w:r>
      <w:r w:rsidR="004D7005">
        <w:rPr>
          <w:color w:val="0070C0"/>
          <w:sz w:val="28"/>
          <w:szCs w:val="28"/>
        </w:rPr>
        <w:t xml:space="preserve">are currently </w:t>
      </w:r>
      <w:r w:rsidR="007D34CA">
        <w:rPr>
          <w:color w:val="0070C0"/>
          <w:sz w:val="28"/>
          <w:szCs w:val="28"/>
        </w:rPr>
        <w:t>on the site, are there any conditions under which a sub-slab sample may be considered here?</w:t>
      </w:r>
      <w:r w:rsidR="00A662AE">
        <w:rPr>
          <w:color w:val="0070C0"/>
          <w:sz w:val="28"/>
          <w:szCs w:val="28"/>
        </w:rPr>
        <w:t xml:space="preserve">  </w:t>
      </w:r>
    </w:p>
    <w:p w14:paraId="049148BC" w14:textId="2E3E5042" w:rsidR="00FA02B8" w:rsidRDefault="00FA02B8" w:rsidP="007D34CA">
      <w:pPr>
        <w:spacing w:before="360" w:line="240" w:lineRule="auto"/>
        <w:ind w:left="734" w:hanging="547"/>
        <w:rPr>
          <w:sz w:val="28"/>
          <w:szCs w:val="28"/>
        </w:rPr>
      </w:pPr>
      <w:r w:rsidRPr="008A5E1F">
        <w:rPr>
          <w:sz w:val="28"/>
          <w:szCs w:val="28"/>
        </w:rPr>
        <w:t>Response:</w:t>
      </w:r>
      <w:r w:rsidR="00A662AE">
        <w:rPr>
          <w:sz w:val="28"/>
          <w:szCs w:val="28"/>
        </w:rPr>
        <w:t xml:space="preserve"> </w:t>
      </w:r>
      <w:r>
        <w:rPr>
          <w:sz w:val="28"/>
          <w:szCs w:val="28"/>
        </w:rPr>
        <w:t xml:space="preserve">Sub-slab </w:t>
      </w:r>
      <w:r w:rsidR="00A75420">
        <w:rPr>
          <w:sz w:val="28"/>
          <w:szCs w:val="28"/>
        </w:rPr>
        <w:t>samples must be collected</w:t>
      </w:r>
      <w:r w:rsidR="00FC3775">
        <w:rPr>
          <w:sz w:val="28"/>
          <w:szCs w:val="28"/>
        </w:rPr>
        <w:t xml:space="preserve"> under an intact slab.</w:t>
      </w:r>
      <w:r w:rsidR="00A662AE">
        <w:rPr>
          <w:sz w:val="28"/>
          <w:szCs w:val="28"/>
        </w:rPr>
        <w:t xml:space="preserve"> </w:t>
      </w:r>
      <w:r w:rsidR="00FC3775">
        <w:rPr>
          <w:sz w:val="28"/>
          <w:szCs w:val="28"/>
        </w:rPr>
        <w:t xml:space="preserve">The intact slab is normally a building foundation, but it could also </w:t>
      </w:r>
      <w:r w:rsidR="007D34CA">
        <w:rPr>
          <w:sz w:val="28"/>
          <w:szCs w:val="28"/>
        </w:rPr>
        <w:t xml:space="preserve">be </w:t>
      </w:r>
      <w:r w:rsidR="00A75420">
        <w:rPr>
          <w:sz w:val="28"/>
          <w:szCs w:val="28"/>
        </w:rPr>
        <w:t>an</w:t>
      </w:r>
      <w:r w:rsidR="007D34CA">
        <w:rPr>
          <w:sz w:val="28"/>
          <w:szCs w:val="28"/>
        </w:rPr>
        <w:t xml:space="preserve"> intact paved area large enough to be representative of </w:t>
      </w:r>
      <w:r w:rsidR="00A75420">
        <w:rPr>
          <w:sz w:val="28"/>
          <w:szCs w:val="28"/>
        </w:rPr>
        <w:t xml:space="preserve">a </w:t>
      </w:r>
      <w:r w:rsidR="007D34CA">
        <w:rPr>
          <w:sz w:val="28"/>
          <w:szCs w:val="28"/>
        </w:rPr>
        <w:t xml:space="preserve">future inhabited building </w:t>
      </w:r>
      <w:r w:rsidR="007D34CA">
        <w:rPr>
          <w:sz w:val="28"/>
          <w:szCs w:val="28"/>
        </w:rPr>
        <w:lastRenderedPageBreak/>
        <w:t xml:space="preserve">without </w:t>
      </w:r>
      <w:r w:rsidR="00A75420">
        <w:rPr>
          <w:sz w:val="28"/>
          <w:szCs w:val="28"/>
        </w:rPr>
        <w:t xml:space="preserve">a </w:t>
      </w:r>
      <w:r w:rsidR="007D34CA">
        <w:rPr>
          <w:sz w:val="28"/>
          <w:szCs w:val="28"/>
        </w:rPr>
        <w:t>basement.</w:t>
      </w:r>
      <w:r w:rsidR="00A662AE">
        <w:rPr>
          <w:sz w:val="28"/>
          <w:szCs w:val="28"/>
        </w:rPr>
        <w:t xml:space="preserve"> </w:t>
      </w:r>
      <w:r w:rsidR="00FC3775">
        <w:rPr>
          <w:sz w:val="28"/>
          <w:szCs w:val="28"/>
        </w:rPr>
        <w:t>The paved area should be examined in the same way a building foundation would b</w:t>
      </w:r>
      <w:r w:rsidR="00971AC7">
        <w:rPr>
          <w:sz w:val="28"/>
          <w:szCs w:val="28"/>
        </w:rPr>
        <w:t>e.</w:t>
      </w:r>
      <w:r w:rsidR="00A662AE">
        <w:rPr>
          <w:sz w:val="28"/>
          <w:szCs w:val="28"/>
        </w:rPr>
        <w:t xml:space="preserve"> </w:t>
      </w:r>
      <w:r w:rsidR="00971AC7">
        <w:rPr>
          <w:sz w:val="28"/>
          <w:szCs w:val="28"/>
        </w:rPr>
        <w:t>The presence of large gaps</w:t>
      </w:r>
      <w:r w:rsidR="00FC3775">
        <w:rPr>
          <w:sz w:val="28"/>
          <w:szCs w:val="28"/>
        </w:rPr>
        <w:t xml:space="preserve"> in the pavement</w:t>
      </w:r>
      <w:r w:rsidR="00971AC7">
        <w:rPr>
          <w:sz w:val="28"/>
          <w:szCs w:val="28"/>
        </w:rPr>
        <w:t xml:space="preserve"> or areas of broken pavement</w:t>
      </w:r>
      <w:r w:rsidR="00FC3775">
        <w:rPr>
          <w:sz w:val="28"/>
          <w:szCs w:val="28"/>
        </w:rPr>
        <w:t xml:space="preserve"> would preclude the use of sub-slab screening values</w:t>
      </w:r>
      <w:r w:rsidR="00971AC7">
        <w:rPr>
          <w:sz w:val="28"/>
          <w:szCs w:val="28"/>
        </w:rPr>
        <w:t xml:space="preserve"> due to the potential variability caused by atmospheric affects</w:t>
      </w:r>
      <w:r w:rsidR="00FC3775">
        <w:rPr>
          <w:sz w:val="28"/>
          <w:szCs w:val="28"/>
        </w:rPr>
        <w:t>.</w:t>
      </w:r>
      <w:r w:rsidR="00A662AE">
        <w:rPr>
          <w:sz w:val="28"/>
          <w:szCs w:val="28"/>
        </w:rPr>
        <w:t xml:space="preserve"> </w:t>
      </w:r>
      <w:r w:rsidR="00FC3775">
        <w:rPr>
          <w:sz w:val="28"/>
          <w:szCs w:val="28"/>
        </w:rPr>
        <w:t xml:space="preserve">If the area is grassy, a sub-slab sample is not </w:t>
      </w:r>
      <w:r w:rsidR="006C55A6">
        <w:rPr>
          <w:sz w:val="28"/>
          <w:szCs w:val="28"/>
        </w:rPr>
        <w:t>possible</w:t>
      </w:r>
      <w:r w:rsidR="00FC3775">
        <w:rPr>
          <w:sz w:val="28"/>
          <w:szCs w:val="28"/>
        </w:rPr>
        <w:t>.</w:t>
      </w:r>
      <w:r w:rsidR="00A662AE">
        <w:rPr>
          <w:sz w:val="28"/>
          <w:szCs w:val="28"/>
        </w:rPr>
        <w:t xml:space="preserve"> </w:t>
      </w:r>
    </w:p>
    <w:p w14:paraId="2A0E97C3" w14:textId="33BEAD8A" w:rsidR="00FC3775" w:rsidRPr="008A5E1F" w:rsidRDefault="00FC3775" w:rsidP="00FC3775">
      <w:pPr>
        <w:spacing w:before="360" w:line="240" w:lineRule="auto"/>
        <w:ind w:left="734" w:hanging="14"/>
        <w:rPr>
          <w:sz w:val="28"/>
          <w:szCs w:val="28"/>
        </w:rPr>
      </w:pPr>
      <w:r>
        <w:rPr>
          <w:sz w:val="28"/>
          <w:szCs w:val="28"/>
        </w:rPr>
        <w:t xml:space="preserve">Another solution available in this scenario is to </w:t>
      </w:r>
      <w:r w:rsidR="00971AC7">
        <w:rPr>
          <w:sz w:val="28"/>
          <w:szCs w:val="28"/>
        </w:rPr>
        <w:t xml:space="preserve">use </w:t>
      </w:r>
      <w:r>
        <w:rPr>
          <w:sz w:val="28"/>
          <w:szCs w:val="28"/>
        </w:rPr>
        <w:t>a covenant requiring mitigation</w:t>
      </w:r>
      <w:r w:rsidR="00383398">
        <w:rPr>
          <w:sz w:val="28"/>
          <w:szCs w:val="28"/>
        </w:rPr>
        <w:t xml:space="preserve"> if a post-construction VI investigation indicates a complete pathway.</w:t>
      </w:r>
    </w:p>
    <w:p w14:paraId="309F6833" w14:textId="53917C73" w:rsidR="00EB6F75" w:rsidRPr="00957500" w:rsidRDefault="00FA02B8" w:rsidP="00957500">
      <w:pPr>
        <w:spacing w:before="360" w:line="240" w:lineRule="auto"/>
        <w:ind w:left="900"/>
        <w:rPr>
          <w:sz w:val="28"/>
          <w:szCs w:val="28"/>
        </w:rPr>
      </w:pPr>
      <w:r w:rsidRPr="008A5E1F">
        <w:rPr>
          <w:sz w:val="28"/>
          <w:szCs w:val="28"/>
        </w:rPr>
        <w:t xml:space="preserve">Reference: VI Guidance Section </w:t>
      </w:r>
      <w:r>
        <w:rPr>
          <w:sz w:val="28"/>
          <w:szCs w:val="28"/>
        </w:rPr>
        <w:t>G</w:t>
      </w:r>
      <w:r w:rsidRPr="008A5E1F">
        <w:rPr>
          <w:sz w:val="28"/>
          <w:szCs w:val="28"/>
        </w:rPr>
        <w:t>.</w:t>
      </w:r>
    </w:p>
    <w:p w14:paraId="72920AD3" w14:textId="4FCD7B60" w:rsidR="00522C28" w:rsidRDefault="00957500" w:rsidP="00F30208">
      <w:pPr>
        <w:spacing w:before="360" w:line="240" w:lineRule="auto"/>
        <w:ind w:left="720" w:hanging="1980"/>
        <w:rPr>
          <w:rStyle w:val="Hyperlink"/>
          <w:u w:val="none"/>
        </w:rPr>
      </w:pPr>
      <w:hyperlink w:anchor="_top" w:history="1">
        <w:r w:rsidR="000805A7" w:rsidRPr="008A5E1F">
          <w:rPr>
            <w:rStyle w:val="Hyperlink"/>
          </w:rPr>
          <w:t>Back to Top</w:t>
        </w:r>
        <w:r w:rsidR="00A662AE">
          <w:rPr>
            <w:rStyle w:val="Hyperlink"/>
            <w:u w:val="none"/>
          </w:rPr>
          <w:t xml:space="preserve"> </w:t>
        </w:r>
        <w:r w:rsidR="000805A7" w:rsidRPr="008A5E1F">
          <w:rPr>
            <w:rStyle w:val="Hyperlink"/>
            <w:u w:val="none"/>
          </w:rPr>
          <w:t xml:space="preserve"> </w:t>
        </w:r>
      </w:hyperlink>
    </w:p>
    <w:p w14:paraId="67B62461" w14:textId="77777777" w:rsidR="00AF6E33" w:rsidRDefault="00D543B3" w:rsidP="00522C28">
      <w:pPr>
        <w:pStyle w:val="ListParagraph"/>
        <w:keepNext/>
        <w:numPr>
          <w:ilvl w:val="0"/>
          <w:numId w:val="16"/>
        </w:numPr>
        <w:spacing w:line="240" w:lineRule="auto"/>
        <w:ind w:left="-360"/>
        <w:rPr>
          <w:sz w:val="32"/>
          <w:szCs w:val="32"/>
          <w:u w:val="single"/>
        </w:rPr>
      </w:pPr>
      <w:r w:rsidRPr="008A5E1F">
        <w:rPr>
          <w:sz w:val="32"/>
          <w:szCs w:val="32"/>
        </w:rPr>
        <w:t xml:space="preserve"> </w:t>
      </w:r>
      <w:r w:rsidR="00023193" w:rsidRPr="008A5E1F">
        <w:rPr>
          <w:sz w:val="32"/>
          <w:szCs w:val="32"/>
          <w:u w:val="single"/>
        </w:rPr>
        <w:t>Site-</w:t>
      </w:r>
      <w:r w:rsidR="0097487B" w:rsidRPr="008A5E1F">
        <w:rPr>
          <w:sz w:val="32"/>
          <w:szCs w:val="32"/>
          <w:u w:val="single"/>
        </w:rPr>
        <w:t>Specific Standa</w:t>
      </w:r>
      <w:bookmarkStart w:id="17" w:name="SiteSpecificStandard"/>
      <w:bookmarkEnd w:id="17"/>
      <w:r w:rsidR="0097487B" w:rsidRPr="008A5E1F">
        <w:rPr>
          <w:sz w:val="32"/>
          <w:szCs w:val="32"/>
          <w:u w:val="single"/>
        </w:rPr>
        <w:t>rd</w:t>
      </w:r>
    </w:p>
    <w:p w14:paraId="519E9473" w14:textId="77777777" w:rsidR="00605A50" w:rsidRPr="00605A50" w:rsidRDefault="00605A50" w:rsidP="00605A50">
      <w:pPr>
        <w:pStyle w:val="ListParagraph"/>
        <w:spacing w:before="360" w:line="240" w:lineRule="auto"/>
        <w:ind w:left="-360"/>
        <w:rPr>
          <w:sz w:val="32"/>
          <w:szCs w:val="32"/>
          <w:u w:val="single"/>
        </w:rPr>
      </w:pPr>
    </w:p>
    <w:p w14:paraId="4BB1D93E" w14:textId="6157BF2C" w:rsidR="00FD3CE5" w:rsidRPr="004676D1" w:rsidRDefault="00FD3CE5" w:rsidP="00522C28">
      <w:pPr>
        <w:pStyle w:val="ListParagraph"/>
        <w:numPr>
          <w:ilvl w:val="0"/>
          <w:numId w:val="20"/>
        </w:numPr>
        <w:tabs>
          <w:tab w:val="left" w:pos="1080"/>
        </w:tabs>
        <w:spacing w:before="360" w:line="240" w:lineRule="auto"/>
        <w:rPr>
          <w:sz w:val="28"/>
          <w:szCs w:val="28"/>
        </w:rPr>
      </w:pPr>
      <w:r w:rsidRPr="008A5E1F">
        <w:rPr>
          <w:color w:val="0070C0"/>
          <w:sz w:val="28"/>
          <w:szCs w:val="28"/>
        </w:rPr>
        <w:t xml:space="preserve">Do I use a </w:t>
      </w:r>
      <w:r w:rsidR="003B657E">
        <w:rPr>
          <w:color w:val="0070C0"/>
          <w:sz w:val="28"/>
          <w:szCs w:val="28"/>
        </w:rPr>
        <w:t>one-tenth</w:t>
      </w:r>
      <w:r w:rsidRPr="008A5E1F">
        <w:rPr>
          <w:color w:val="0070C0"/>
          <w:sz w:val="28"/>
          <w:szCs w:val="28"/>
        </w:rPr>
        <w:t xml:space="preserve"> adjustment </w:t>
      </w:r>
      <w:r w:rsidR="003B657E">
        <w:rPr>
          <w:color w:val="0070C0"/>
          <w:sz w:val="28"/>
          <w:szCs w:val="28"/>
        </w:rPr>
        <w:t xml:space="preserve">of screening values </w:t>
      </w:r>
      <w:r w:rsidRPr="008A5E1F">
        <w:rPr>
          <w:color w:val="0070C0"/>
          <w:sz w:val="28"/>
          <w:szCs w:val="28"/>
        </w:rPr>
        <w:t xml:space="preserve">to determine the presence of potential VI Sources for </w:t>
      </w:r>
      <w:r w:rsidR="003B657E">
        <w:rPr>
          <w:color w:val="0070C0"/>
          <w:sz w:val="28"/>
          <w:szCs w:val="28"/>
        </w:rPr>
        <w:t xml:space="preserve">the </w:t>
      </w:r>
      <w:r w:rsidRPr="008A5E1F">
        <w:rPr>
          <w:color w:val="0070C0"/>
          <w:sz w:val="28"/>
          <w:szCs w:val="28"/>
        </w:rPr>
        <w:t>SSS?</w:t>
      </w:r>
    </w:p>
    <w:p w14:paraId="00E7F4B9" w14:textId="77777777" w:rsidR="00FD3CE5" w:rsidRDefault="00FD3CE5" w:rsidP="00522C28">
      <w:pPr>
        <w:spacing w:before="360" w:line="240" w:lineRule="auto"/>
        <w:ind w:left="734" w:hanging="547"/>
        <w:rPr>
          <w:sz w:val="28"/>
          <w:szCs w:val="28"/>
        </w:rPr>
      </w:pPr>
      <w:r>
        <w:rPr>
          <w:sz w:val="28"/>
          <w:szCs w:val="28"/>
        </w:rPr>
        <w:t xml:space="preserve">Response: </w:t>
      </w:r>
      <w:r w:rsidRPr="004676D1">
        <w:rPr>
          <w:sz w:val="28"/>
          <w:szCs w:val="28"/>
        </w:rPr>
        <w:t>No. For the site-specific standard, potential VI sources may be identified by using the Statewide health standard groundwater and soil screening values (Tables 1 and 2). A one-tenth adjustment factor is not required when determining the presence of potential VI sources.</w:t>
      </w:r>
    </w:p>
    <w:p w14:paraId="77665AAC" w14:textId="2349F86D" w:rsidR="00082C6F" w:rsidRDefault="00082C6F" w:rsidP="00522C28">
      <w:pPr>
        <w:pStyle w:val="ListParagraph"/>
        <w:tabs>
          <w:tab w:val="left" w:pos="1080"/>
        </w:tabs>
        <w:spacing w:before="360" w:line="240" w:lineRule="auto"/>
        <w:ind w:left="907"/>
        <w:rPr>
          <w:sz w:val="28"/>
          <w:szCs w:val="28"/>
        </w:rPr>
      </w:pPr>
      <w:r>
        <w:rPr>
          <w:sz w:val="28"/>
          <w:szCs w:val="28"/>
        </w:rPr>
        <w:t>Reference:</w:t>
      </w:r>
      <w:r w:rsidR="00A662AE">
        <w:rPr>
          <w:sz w:val="28"/>
          <w:szCs w:val="28"/>
        </w:rPr>
        <w:t xml:space="preserve"> </w:t>
      </w:r>
      <w:r>
        <w:rPr>
          <w:sz w:val="28"/>
          <w:szCs w:val="28"/>
        </w:rPr>
        <w:t>VI Guidance Section</w:t>
      </w:r>
      <w:r w:rsidR="003B657E">
        <w:rPr>
          <w:sz w:val="28"/>
          <w:szCs w:val="28"/>
        </w:rPr>
        <w:t>s</w:t>
      </w:r>
      <w:r>
        <w:rPr>
          <w:sz w:val="28"/>
          <w:szCs w:val="28"/>
        </w:rPr>
        <w:t xml:space="preserve"> </w:t>
      </w:r>
      <w:r w:rsidR="00105D61">
        <w:rPr>
          <w:sz w:val="28"/>
          <w:szCs w:val="28"/>
        </w:rPr>
        <w:t xml:space="preserve">K.2, </w:t>
      </w:r>
      <w:r>
        <w:rPr>
          <w:sz w:val="28"/>
          <w:szCs w:val="28"/>
        </w:rPr>
        <w:t>K.</w:t>
      </w:r>
      <w:r w:rsidR="003B657E">
        <w:rPr>
          <w:sz w:val="28"/>
          <w:szCs w:val="28"/>
        </w:rPr>
        <w:t>3</w:t>
      </w:r>
      <w:r w:rsidR="00105D61">
        <w:rPr>
          <w:sz w:val="28"/>
          <w:szCs w:val="28"/>
        </w:rPr>
        <w:t>,</w:t>
      </w:r>
      <w:r w:rsidR="003B657E">
        <w:rPr>
          <w:sz w:val="28"/>
          <w:szCs w:val="28"/>
        </w:rPr>
        <w:t xml:space="preserve"> and K.4.</w:t>
      </w:r>
    </w:p>
    <w:p w14:paraId="2BEEF209" w14:textId="77777777" w:rsidR="00FD3CE5" w:rsidRPr="004676D1" w:rsidRDefault="00FD3CE5" w:rsidP="00522C28">
      <w:pPr>
        <w:rPr>
          <w:sz w:val="28"/>
          <w:szCs w:val="28"/>
        </w:rPr>
      </w:pPr>
    </w:p>
    <w:p w14:paraId="08C8110C" w14:textId="1FE0C7C3" w:rsidR="006A26D3" w:rsidRPr="008A5E1F" w:rsidRDefault="00392416" w:rsidP="00792B09">
      <w:pPr>
        <w:pStyle w:val="ListParagraph"/>
        <w:numPr>
          <w:ilvl w:val="0"/>
          <w:numId w:val="20"/>
        </w:numPr>
        <w:tabs>
          <w:tab w:val="left" w:pos="990"/>
        </w:tabs>
        <w:spacing w:before="360" w:line="240" w:lineRule="auto"/>
        <w:rPr>
          <w:sz w:val="28"/>
          <w:szCs w:val="28"/>
        </w:rPr>
      </w:pPr>
      <w:r>
        <w:rPr>
          <w:color w:val="0070C0"/>
          <w:sz w:val="28"/>
          <w:szCs w:val="28"/>
        </w:rPr>
        <w:t xml:space="preserve">I am screening SSS attainment data with one-tenth the SHS soil and groundwater SVs. </w:t>
      </w:r>
      <w:r w:rsidR="005018E1">
        <w:rPr>
          <w:color w:val="0070C0"/>
          <w:sz w:val="28"/>
          <w:szCs w:val="28"/>
        </w:rPr>
        <w:t>A</w:t>
      </w:r>
      <w:r w:rsidR="00F4786D" w:rsidRPr="008A5E1F">
        <w:rPr>
          <w:color w:val="0070C0"/>
          <w:sz w:val="28"/>
          <w:szCs w:val="28"/>
        </w:rPr>
        <w:t xml:space="preserve">re the generic soil-to-groundwater numeric values and used aquifer </w:t>
      </w:r>
      <w:r w:rsidR="0017314D">
        <w:rPr>
          <w:color w:val="0070C0"/>
          <w:sz w:val="28"/>
          <w:szCs w:val="28"/>
        </w:rPr>
        <w:t xml:space="preserve">groundwater </w:t>
      </w:r>
      <w:r w:rsidR="00F4786D" w:rsidRPr="008A5E1F">
        <w:rPr>
          <w:color w:val="0070C0"/>
          <w:sz w:val="28"/>
          <w:szCs w:val="28"/>
        </w:rPr>
        <w:t>MSC</w:t>
      </w:r>
      <w:r w:rsidR="00004BB1">
        <w:rPr>
          <w:color w:val="0070C0"/>
          <w:sz w:val="28"/>
          <w:szCs w:val="28"/>
        </w:rPr>
        <w:t xml:space="preserve">s </w:t>
      </w:r>
      <w:r>
        <w:rPr>
          <w:color w:val="0070C0"/>
          <w:sz w:val="28"/>
          <w:szCs w:val="28"/>
        </w:rPr>
        <w:t xml:space="preserve">also </w:t>
      </w:r>
      <w:r w:rsidR="00004BB1">
        <w:rPr>
          <w:color w:val="0070C0"/>
          <w:sz w:val="28"/>
          <w:szCs w:val="28"/>
        </w:rPr>
        <w:t>lower bounds</w:t>
      </w:r>
      <w:r>
        <w:rPr>
          <w:color w:val="0070C0"/>
          <w:sz w:val="28"/>
          <w:szCs w:val="28"/>
        </w:rPr>
        <w:t xml:space="preserve"> for the SSS</w:t>
      </w:r>
      <w:r w:rsidR="00004BB1">
        <w:rPr>
          <w:color w:val="0070C0"/>
          <w:sz w:val="28"/>
          <w:szCs w:val="28"/>
        </w:rPr>
        <w:t>, or do I</w:t>
      </w:r>
      <w:r w:rsidR="00F4786D" w:rsidRPr="008A5E1F">
        <w:rPr>
          <w:color w:val="0070C0"/>
          <w:sz w:val="28"/>
          <w:szCs w:val="28"/>
        </w:rPr>
        <w:t xml:space="preserve"> apply the one-tenth adjustment</w:t>
      </w:r>
      <w:r w:rsidR="00004BB1">
        <w:rPr>
          <w:color w:val="0070C0"/>
          <w:sz w:val="28"/>
          <w:szCs w:val="28"/>
        </w:rPr>
        <w:t xml:space="preserve"> to these values as well</w:t>
      </w:r>
      <w:r w:rsidR="00F4786D" w:rsidRPr="008A5E1F">
        <w:rPr>
          <w:color w:val="0070C0"/>
          <w:sz w:val="28"/>
          <w:szCs w:val="28"/>
        </w:rPr>
        <w:t>?</w:t>
      </w:r>
      <w:r w:rsidR="00A662AE">
        <w:rPr>
          <w:color w:val="0070C0"/>
          <w:sz w:val="28"/>
          <w:szCs w:val="28"/>
        </w:rPr>
        <w:t xml:space="preserve"> </w:t>
      </w:r>
    </w:p>
    <w:p w14:paraId="7E42C1A9" w14:textId="3DCED294" w:rsidR="006A26D3" w:rsidRPr="008A5E1F" w:rsidRDefault="006A26D3" w:rsidP="006A26D3">
      <w:pPr>
        <w:spacing w:before="360" w:line="240" w:lineRule="auto"/>
        <w:ind w:left="720" w:hanging="540"/>
        <w:rPr>
          <w:sz w:val="28"/>
          <w:szCs w:val="28"/>
        </w:rPr>
      </w:pPr>
      <w:r w:rsidRPr="008A5E1F">
        <w:rPr>
          <w:sz w:val="28"/>
          <w:szCs w:val="28"/>
        </w:rPr>
        <w:t xml:space="preserve">Response: </w:t>
      </w:r>
      <w:r w:rsidR="00105D61">
        <w:rPr>
          <w:sz w:val="28"/>
          <w:szCs w:val="28"/>
        </w:rPr>
        <w:t>When screening soil and groundwater attainment data for the SSS it is necessary to use one-tenth of the SVs, as stated.</w:t>
      </w:r>
      <w:r w:rsidR="00A662AE">
        <w:rPr>
          <w:sz w:val="28"/>
          <w:szCs w:val="28"/>
        </w:rPr>
        <w:t xml:space="preserve"> </w:t>
      </w:r>
      <w:r w:rsidR="00061D11" w:rsidRPr="008A5E1F">
        <w:rPr>
          <w:sz w:val="28"/>
          <w:szCs w:val="28"/>
        </w:rPr>
        <w:t>The</w:t>
      </w:r>
      <w:r w:rsidR="00F4786D" w:rsidRPr="008A5E1F">
        <w:rPr>
          <w:sz w:val="28"/>
          <w:szCs w:val="28"/>
        </w:rPr>
        <w:t xml:space="preserve"> generic soil-to-groundwater numeric</w:t>
      </w:r>
      <w:r w:rsidR="00421717" w:rsidRPr="008A5E1F">
        <w:rPr>
          <w:sz w:val="28"/>
          <w:szCs w:val="28"/>
        </w:rPr>
        <w:t xml:space="preserve"> values and used aquifer </w:t>
      </w:r>
      <w:r w:rsidR="0017314D">
        <w:rPr>
          <w:sz w:val="28"/>
          <w:szCs w:val="28"/>
        </w:rPr>
        <w:t xml:space="preserve">groundwater </w:t>
      </w:r>
      <w:r w:rsidR="00421717" w:rsidRPr="008A5E1F">
        <w:rPr>
          <w:sz w:val="28"/>
          <w:szCs w:val="28"/>
        </w:rPr>
        <w:t>MSCs are</w:t>
      </w:r>
      <w:r w:rsidR="00F4786D" w:rsidRPr="008A5E1F">
        <w:rPr>
          <w:sz w:val="28"/>
          <w:szCs w:val="28"/>
        </w:rPr>
        <w:t xml:space="preserve"> lower limits only for the SHS SVs</w:t>
      </w:r>
      <w:r w:rsidR="005018E1">
        <w:rPr>
          <w:sz w:val="28"/>
          <w:szCs w:val="28"/>
        </w:rPr>
        <w:t>.</w:t>
      </w:r>
      <w:r w:rsidR="00A662AE">
        <w:rPr>
          <w:sz w:val="28"/>
          <w:szCs w:val="28"/>
        </w:rPr>
        <w:t xml:space="preserve"> </w:t>
      </w:r>
      <w:r w:rsidR="005018E1">
        <w:rPr>
          <w:sz w:val="28"/>
          <w:szCs w:val="28"/>
        </w:rPr>
        <w:t xml:space="preserve">Under the SSS, the </w:t>
      </w:r>
      <w:r w:rsidR="00F4786D" w:rsidRPr="008A5E1F">
        <w:rPr>
          <w:sz w:val="28"/>
          <w:szCs w:val="28"/>
        </w:rPr>
        <w:t>one-tenth adjustment</w:t>
      </w:r>
      <w:r w:rsidR="005018E1">
        <w:rPr>
          <w:sz w:val="28"/>
          <w:szCs w:val="28"/>
        </w:rPr>
        <w:t xml:space="preserve"> is made to the generic soil-to-groundwater and used aquifer </w:t>
      </w:r>
      <w:r w:rsidR="0017314D">
        <w:rPr>
          <w:sz w:val="28"/>
          <w:szCs w:val="28"/>
        </w:rPr>
        <w:t xml:space="preserve">groundwater </w:t>
      </w:r>
      <w:r w:rsidR="0017314D">
        <w:rPr>
          <w:sz w:val="28"/>
          <w:szCs w:val="28"/>
        </w:rPr>
        <w:lastRenderedPageBreak/>
        <w:t xml:space="preserve">MSCs </w:t>
      </w:r>
      <w:r w:rsidR="005018E1">
        <w:rPr>
          <w:sz w:val="28"/>
          <w:szCs w:val="28"/>
        </w:rPr>
        <w:t>as well as the screening values in Tables 1 and 2 w</w:t>
      </w:r>
      <w:r w:rsidR="005018E1" w:rsidRPr="008A5E1F">
        <w:rPr>
          <w:sz w:val="28"/>
          <w:szCs w:val="28"/>
        </w:rPr>
        <w:t>hen attainment data is being screened</w:t>
      </w:r>
      <w:r w:rsidR="0017314D">
        <w:rPr>
          <w:sz w:val="28"/>
          <w:szCs w:val="28"/>
        </w:rPr>
        <w:t>.</w:t>
      </w:r>
      <w:r w:rsidR="005018E1" w:rsidRPr="008A5E1F">
        <w:rPr>
          <w:sz w:val="28"/>
          <w:szCs w:val="28"/>
        </w:rPr>
        <w:t xml:space="preserve"> </w:t>
      </w:r>
    </w:p>
    <w:p w14:paraId="620C7B76" w14:textId="52A31009" w:rsidR="006A26D3" w:rsidRPr="008A5E1F" w:rsidRDefault="006A26D3" w:rsidP="00401012">
      <w:pPr>
        <w:spacing w:before="360" w:line="240" w:lineRule="auto"/>
        <w:ind w:left="900"/>
        <w:rPr>
          <w:sz w:val="28"/>
          <w:szCs w:val="28"/>
        </w:rPr>
      </w:pPr>
      <w:r w:rsidRPr="008A5E1F">
        <w:rPr>
          <w:sz w:val="28"/>
          <w:szCs w:val="28"/>
        </w:rPr>
        <w:t>Reference: VI Guidance</w:t>
      </w:r>
      <w:r w:rsidR="007325EB" w:rsidRPr="008A5E1F">
        <w:rPr>
          <w:sz w:val="28"/>
          <w:szCs w:val="28"/>
        </w:rPr>
        <w:t xml:space="preserve"> Section</w:t>
      </w:r>
      <w:r w:rsidR="00105D61">
        <w:rPr>
          <w:sz w:val="28"/>
          <w:szCs w:val="28"/>
        </w:rPr>
        <w:t>s</w:t>
      </w:r>
      <w:r w:rsidR="007325EB" w:rsidRPr="008A5E1F">
        <w:rPr>
          <w:sz w:val="28"/>
          <w:szCs w:val="28"/>
        </w:rPr>
        <w:t xml:space="preserve"> </w:t>
      </w:r>
      <w:r w:rsidR="00FA27C5">
        <w:rPr>
          <w:sz w:val="28"/>
          <w:szCs w:val="28"/>
        </w:rPr>
        <w:t xml:space="preserve">K.2, K.3, and </w:t>
      </w:r>
      <w:r w:rsidR="007325EB" w:rsidRPr="008A5E1F">
        <w:rPr>
          <w:sz w:val="28"/>
          <w:szCs w:val="28"/>
        </w:rPr>
        <w:t>K.4</w:t>
      </w:r>
      <w:r w:rsidR="00DF455E" w:rsidRPr="008A5E1F">
        <w:rPr>
          <w:sz w:val="28"/>
          <w:szCs w:val="28"/>
        </w:rPr>
        <w:t>.</w:t>
      </w:r>
    </w:p>
    <w:p w14:paraId="13E93C81" w14:textId="77777777" w:rsidR="00082C6F" w:rsidRPr="00082C6F" w:rsidRDefault="00082C6F" w:rsidP="00082C6F">
      <w:pPr>
        <w:spacing w:before="360" w:line="240" w:lineRule="auto"/>
        <w:ind w:left="900"/>
        <w:rPr>
          <w:sz w:val="28"/>
          <w:szCs w:val="28"/>
        </w:rPr>
      </w:pPr>
    </w:p>
    <w:p w14:paraId="75C2E425" w14:textId="03C69A46" w:rsidR="00082C6F" w:rsidRPr="00082C6F" w:rsidRDefault="00082C6F" w:rsidP="00082C6F">
      <w:pPr>
        <w:numPr>
          <w:ilvl w:val="0"/>
          <w:numId w:val="20"/>
        </w:numPr>
        <w:tabs>
          <w:tab w:val="left" w:pos="990"/>
        </w:tabs>
        <w:spacing w:before="360" w:line="240" w:lineRule="auto"/>
        <w:contextualSpacing/>
        <w:rPr>
          <w:sz w:val="28"/>
          <w:szCs w:val="28"/>
        </w:rPr>
      </w:pPr>
      <w:r w:rsidRPr="00082C6F">
        <w:rPr>
          <w:color w:val="0070C0"/>
          <w:sz w:val="28"/>
          <w:szCs w:val="28"/>
        </w:rPr>
        <w:t xml:space="preserve">When screening constituents for a SSS vapor intrusion risk assessment, </w:t>
      </w:r>
      <w:r w:rsidR="00522C28">
        <w:rPr>
          <w:color w:val="0070C0"/>
          <w:sz w:val="28"/>
          <w:szCs w:val="28"/>
        </w:rPr>
        <w:t xml:space="preserve">is it necessary </w:t>
      </w:r>
      <w:r w:rsidRPr="00082C6F">
        <w:rPr>
          <w:color w:val="0070C0"/>
          <w:sz w:val="28"/>
          <w:szCs w:val="28"/>
        </w:rPr>
        <w:t>to select a screening val</w:t>
      </w:r>
      <w:r w:rsidR="00522C28">
        <w:rPr>
          <w:color w:val="0070C0"/>
          <w:sz w:val="28"/>
          <w:szCs w:val="28"/>
        </w:rPr>
        <w:t>ue by evaluating both the EPA R</w:t>
      </w:r>
      <w:r w:rsidRPr="00082C6F">
        <w:rPr>
          <w:color w:val="0070C0"/>
          <w:sz w:val="28"/>
          <w:szCs w:val="28"/>
        </w:rPr>
        <w:t>SL</w:t>
      </w:r>
      <w:r w:rsidR="00002AB8">
        <w:rPr>
          <w:color w:val="0070C0"/>
          <w:sz w:val="28"/>
          <w:szCs w:val="28"/>
        </w:rPr>
        <w:t>s</w:t>
      </w:r>
      <w:r w:rsidR="00522C28">
        <w:rPr>
          <w:color w:val="0070C0"/>
          <w:sz w:val="28"/>
          <w:szCs w:val="28"/>
        </w:rPr>
        <w:t xml:space="preserve"> </w:t>
      </w:r>
      <w:r w:rsidRPr="00082C6F">
        <w:rPr>
          <w:color w:val="0070C0"/>
          <w:sz w:val="28"/>
          <w:szCs w:val="28"/>
        </w:rPr>
        <w:t>(10</w:t>
      </w:r>
      <w:r w:rsidR="00002AB8">
        <w:rPr>
          <w:color w:val="0070C0"/>
          <w:sz w:val="28"/>
          <w:szCs w:val="28"/>
          <w:vertAlign w:val="superscript"/>
        </w:rPr>
        <w:t>–</w:t>
      </w:r>
      <w:r w:rsidRPr="00082C6F">
        <w:rPr>
          <w:color w:val="0070C0"/>
          <w:sz w:val="28"/>
          <w:szCs w:val="28"/>
          <w:vertAlign w:val="superscript"/>
        </w:rPr>
        <w:t>5</w:t>
      </w:r>
      <w:r w:rsidRPr="00082C6F">
        <w:rPr>
          <w:color w:val="0070C0"/>
          <w:sz w:val="28"/>
          <w:szCs w:val="28"/>
        </w:rPr>
        <w:t xml:space="preserve"> or 10</w:t>
      </w:r>
      <w:r w:rsidR="00002AB8">
        <w:rPr>
          <w:color w:val="0070C0"/>
          <w:sz w:val="28"/>
          <w:szCs w:val="28"/>
          <w:vertAlign w:val="superscript"/>
        </w:rPr>
        <w:t>–</w:t>
      </w:r>
      <w:r w:rsidRPr="00082C6F">
        <w:rPr>
          <w:color w:val="0070C0"/>
          <w:sz w:val="28"/>
          <w:szCs w:val="28"/>
          <w:vertAlign w:val="superscript"/>
        </w:rPr>
        <w:t>6</w:t>
      </w:r>
      <w:r w:rsidRPr="00082C6F">
        <w:rPr>
          <w:color w:val="0070C0"/>
          <w:sz w:val="28"/>
          <w:szCs w:val="28"/>
        </w:rPr>
        <w:t xml:space="preserve"> </w:t>
      </w:r>
      <w:r w:rsidR="00002AB8">
        <w:rPr>
          <w:color w:val="0070C0"/>
          <w:sz w:val="28"/>
          <w:szCs w:val="28"/>
        </w:rPr>
        <w:t xml:space="preserve">cancer risk, </w:t>
      </w:r>
      <w:r w:rsidRPr="00082C6F">
        <w:rPr>
          <w:color w:val="0070C0"/>
          <w:sz w:val="28"/>
          <w:szCs w:val="28"/>
        </w:rPr>
        <w:t xml:space="preserve">as applicable) and </w:t>
      </w:r>
      <w:r w:rsidR="00002AB8">
        <w:rPr>
          <w:color w:val="0070C0"/>
          <w:sz w:val="28"/>
          <w:szCs w:val="28"/>
        </w:rPr>
        <w:t>the one-tenth</w:t>
      </w:r>
      <w:r w:rsidRPr="00082C6F">
        <w:rPr>
          <w:color w:val="0070C0"/>
          <w:sz w:val="28"/>
          <w:szCs w:val="28"/>
        </w:rPr>
        <w:t xml:space="preserve"> adjusted DEP SV</w:t>
      </w:r>
      <w:r w:rsidR="00002AB8">
        <w:rPr>
          <w:color w:val="0070C0"/>
          <w:sz w:val="28"/>
          <w:szCs w:val="28"/>
        </w:rPr>
        <w:t>s</w:t>
      </w:r>
      <w:r w:rsidRPr="00082C6F">
        <w:rPr>
          <w:color w:val="0070C0"/>
          <w:sz w:val="28"/>
          <w:szCs w:val="28"/>
        </w:rPr>
        <w:t xml:space="preserve">, or can </w:t>
      </w:r>
      <w:r w:rsidR="00522C28">
        <w:rPr>
          <w:color w:val="0070C0"/>
          <w:sz w:val="28"/>
          <w:szCs w:val="28"/>
        </w:rPr>
        <w:t xml:space="preserve">one method be selected </w:t>
      </w:r>
      <w:r w:rsidRPr="00082C6F">
        <w:rPr>
          <w:color w:val="0070C0"/>
          <w:sz w:val="28"/>
          <w:szCs w:val="28"/>
        </w:rPr>
        <w:t>for all constituents being evaluated?</w:t>
      </w:r>
    </w:p>
    <w:p w14:paraId="50B763FD" w14:textId="7AB53FE7" w:rsidR="00082C6F" w:rsidRPr="004676D1" w:rsidRDefault="00082C6F" w:rsidP="00082C6F">
      <w:pPr>
        <w:spacing w:before="360" w:line="240" w:lineRule="auto"/>
        <w:ind w:left="720" w:hanging="540"/>
        <w:rPr>
          <w:sz w:val="28"/>
          <w:szCs w:val="28"/>
        </w:rPr>
      </w:pPr>
      <w:r w:rsidRPr="004676D1">
        <w:rPr>
          <w:sz w:val="28"/>
          <w:szCs w:val="28"/>
        </w:rPr>
        <w:t xml:space="preserve">Response: When screening </w:t>
      </w:r>
      <w:r w:rsidR="00002AB8">
        <w:rPr>
          <w:sz w:val="28"/>
          <w:szCs w:val="28"/>
        </w:rPr>
        <w:t>indoor air, sub-slab, or near-source soil gas data</w:t>
      </w:r>
      <w:r w:rsidRPr="004676D1">
        <w:rPr>
          <w:sz w:val="28"/>
          <w:szCs w:val="28"/>
        </w:rPr>
        <w:t xml:space="preserve"> for a</w:t>
      </w:r>
      <w:r w:rsidR="00665270">
        <w:rPr>
          <w:sz w:val="28"/>
          <w:szCs w:val="28"/>
        </w:rPr>
        <w:t>n</w:t>
      </w:r>
      <w:r w:rsidRPr="004676D1">
        <w:rPr>
          <w:sz w:val="28"/>
          <w:szCs w:val="28"/>
        </w:rPr>
        <w:t xml:space="preserve"> SSS vapor intrusion risk assessment, </w:t>
      </w:r>
      <w:r w:rsidR="00522C28">
        <w:rPr>
          <w:sz w:val="28"/>
          <w:szCs w:val="28"/>
        </w:rPr>
        <w:t xml:space="preserve">a screening value </w:t>
      </w:r>
      <w:r w:rsidRPr="004676D1">
        <w:rPr>
          <w:sz w:val="28"/>
          <w:szCs w:val="28"/>
        </w:rPr>
        <w:t xml:space="preserve">may </w:t>
      </w:r>
      <w:r w:rsidR="00522C28">
        <w:rPr>
          <w:sz w:val="28"/>
          <w:szCs w:val="28"/>
        </w:rPr>
        <w:t xml:space="preserve">be selected from </w:t>
      </w:r>
      <w:r w:rsidRPr="004676D1">
        <w:rPr>
          <w:sz w:val="28"/>
          <w:szCs w:val="28"/>
        </w:rPr>
        <w:t xml:space="preserve">EITHER </w:t>
      </w:r>
      <w:r w:rsidR="00002AB8">
        <w:rPr>
          <w:sz w:val="28"/>
          <w:szCs w:val="28"/>
        </w:rPr>
        <w:t>one-tenth</w:t>
      </w:r>
      <w:r w:rsidRPr="004676D1">
        <w:rPr>
          <w:sz w:val="28"/>
          <w:szCs w:val="28"/>
        </w:rPr>
        <w:t xml:space="preserve"> of</w:t>
      </w:r>
      <w:r w:rsidR="00522C28">
        <w:rPr>
          <w:sz w:val="28"/>
          <w:szCs w:val="28"/>
        </w:rPr>
        <w:t xml:space="preserve"> the SHS screening value OR</w:t>
      </w:r>
      <w:r w:rsidRPr="004676D1">
        <w:rPr>
          <w:sz w:val="28"/>
          <w:szCs w:val="28"/>
        </w:rPr>
        <w:t xml:space="preserve"> the EPA indoor air RSL value divided by the appropriate attenuation factor.</w:t>
      </w:r>
      <w:r w:rsidR="00A662AE">
        <w:rPr>
          <w:sz w:val="28"/>
          <w:szCs w:val="28"/>
        </w:rPr>
        <w:t xml:space="preserve"> </w:t>
      </w:r>
      <w:r w:rsidR="00522C28">
        <w:rPr>
          <w:sz w:val="28"/>
          <w:szCs w:val="28"/>
        </w:rPr>
        <w:t xml:space="preserve">It is entirely up to the remediator which method of calculating screening values is selected; the same method may be selected for all constituents, or </w:t>
      </w:r>
      <w:r w:rsidRPr="004676D1">
        <w:rPr>
          <w:sz w:val="28"/>
          <w:szCs w:val="28"/>
        </w:rPr>
        <w:t xml:space="preserve">a different method </w:t>
      </w:r>
      <w:r w:rsidR="00807424">
        <w:rPr>
          <w:sz w:val="28"/>
          <w:szCs w:val="28"/>
        </w:rPr>
        <w:t xml:space="preserve">can be used </w:t>
      </w:r>
      <w:r w:rsidRPr="004676D1">
        <w:rPr>
          <w:sz w:val="28"/>
          <w:szCs w:val="28"/>
        </w:rPr>
        <w:t>for each constitu</w:t>
      </w:r>
      <w:r w:rsidR="00807424">
        <w:rPr>
          <w:sz w:val="28"/>
          <w:szCs w:val="28"/>
        </w:rPr>
        <w:t>ent</w:t>
      </w:r>
      <w:r w:rsidRPr="004676D1">
        <w:rPr>
          <w:sz w:val="28"/>
          <w:szCs w:val="28"/>
        </w:rPr>
        <w:t>.</w:t>
      </w:r>
      <w:r w:rsidR="00A662AE">
        <w:rPr>
          <w:sz w:val="28"/>
          <w:szCs w:val="28"/>
        </w:rPr>
        <w:t xml:space="preserve"> </w:t>
      </w:r>
    </w:p>
    <w:p w14:paraId="2683C730" w14:textId="7FB27E5C" w:rsidR="00082C6F" w:rsidRPr="003970BC" w:rsidRDefault="00082C6F" w:rsidP="00082C6F">
      <w:pPr>
        <w:spacing w:before="360" w:line="240" w:lineRule="auto"/>
        <w:ind w:left="900"/>
        <w:rPr>
          <w:sz w:val="28"/>
          <w:szCs w:val="28"/>
        </w:rPr>
      </w:pPr>
      <w:r w:rsidRPr="003970BC">
        <w:rPr>
          <w:sz w:val="28"/>
          <w:szCs w:val="28"/>
        </w:rPr>
        <w:t>Ref</w:t>
      </w:r>
      <w:r w:rsidR="003970BC">
        <w:rPr>
          <w:sz w:val="28"/>
          <w:szCs w:val="28"/>
        </w:rPr>
        <w:t xml:space="preserve">erence: Flowchart </w:t>
      </w:r>
      <w:hyperlink w:anchor="SiteSpecificScreeningValues" w:history="1">
        <w:r w:rsidR="003970BC" w:rsidRPr="00284534">
          <w:rPr>
            <w:rStyle w:val="Hyperlink"/>
            <w:sz w:val="28"/>
            <w:szCs w:val="28"/>
          </w:rPr>
          <w:t>Representative Process to Determine Site-Specific Standard RSL-Based Vapor Intrusion Screening Values</w:t>
        </w:r>
      </w:hyperlink>
      <w:r w:rsidR="003970BC">
        <w:rPr>
          <w:sz w:val="28"/>
          <w:szCs w:val="28"/>
        </w:rPr>
        <w:t xml:space="preserve"> at the end of this document and VI Guidance Section K.4.</w:t>
      </w:r>
    </w:p>
    <w:p w14:paraId="287D53F5" w14:textId="77777777" w:rsidR="00082C6F" w:rsidRPr="00082C6F" w:rsidRDefault="00082C6F" w:rsidP="00082C6F">
      <w:pPr>
        <w:spacing w:before="360" w:line="240" w:lineRule="auto"/>
        <w:ind w:left="900"/>
        <w:rPr>
          <w:sz w:val="28"/>
          <w:szCs w:val="28"/>
        </w:rPr>
      </w:pPr>
    </w:p>
    <w:p w14:paraId="27853700" w14:textId="327E7839" w:rsidR="00C8532A" w:rsidRPr="008A5E1F" w:rsidRDefault="00C8532A" w:rsidP="00792B09">
      <w:pPr>
        <w:pStyle w:val="ListParagraph"/>
        <w:numPr>
          <w:ilvl w:val="0"/>
          <w:numId w:val="20"/>
        </w:numPr>
        <w:tabs>
          <w:tab w:val="left" w:pos="990"/>
        </w:tabs>
        <w:spacing w:before="360" w:line="240" w:lineRule="auto"/>
        <w:rPr>
          <w:sz w:val="28"/>
          <w:szCs w:val="28"/>
        </w:rPr>
      </w:pPr>
      <w:r>
        <w:rPr>
          <w:color w:val="0070C0"/>
          <w:sz w:val="28"/>
          <w:szCs w:val="28"/>
        </w:rPr>
        <w:t>If the SSS is being pursued for soil and/or groundwater, is it necessary to evaluate VI under the SSS as well?</w:t>
      </w:r>
      <w:r w:rsidR="00A662AE">
        <w:rPr>
          <w:color w:val="0070C0"/>
          <w:sz w:val="28"/>
          <w:szCs w:val="28"/>
        </w:rPr>
        <w:t xml:space="preserve"> </w:t>
      </w:r>
      <w:r w:rsidRPr="008A5E1F">
        <w:rPr>
          <w:color w:val="0070C0"/>
          <w:sz w:val="28"/>
          <w:szCs w:val="28"/>
        </w:rPr>
        <w:t xml:space="preserve">Why can’t </w:t>
      </w:r>
      <w:r>
        <w:rPr>
          <w:color w:val="0070C0"/>
          <w:sz w:val="28"/>
          <w:szCs w:val="28"/>
        </w:rPr>
        <w:t xml:space="preserve">the </w:t>
      </w:r>
      <w:r w:rsidRPr="008A5E1F">
        <w:rPr>
          <w:color w:val="0070C0"/>
          <w:sz w:val="28"/>
          <w:szCs w:val="28"/>
        </w:rPr>
        <w:t xml:space="preserve">SHS </w:t>
      </w:r>
      <w:r>
        <w:rPr>
          <w:color w:val="0070C0"/>
          <w:sz w:val="28"/>
          <w:szCs w:val="28"/>
        </w:rPr>
        <w:t xml:space="preserve">be pursued </w:t>
      </w:r>
      <w:r w:rsidRPr="008A5E1F">
        <w:rPr>
          <w:color w:val="0070C0"/>
          <w:sz w:val="28"/>
          <w:szCs w:val="28"/>
        </w:rPr>
        <w:t>for vapor even though soil and groundwater are</w:t>
      </w:r>
      <w:r>
        <w:rPr>
          <w:color w:val="0070C0"/>
          <w:sz w:val="28"/>
          <w:szCs w:val="28"/>
        </w:rPr>
        <w:t xml:space="preserve"> </w:t>
      </w:r>
      <w:r w:rsidR="0017314D">
        <w:rPr>
          <w:color w:val="0070C0"/>
          <w:sz w:val="28"/>
          <w:szCs w:val="28"/>
        </w:rPr>
        <w:t xml:space="preserve">attaining </w:t>
      </w:r>
      <w:r>
        <w:rPr>
          <w:color w:val="0070C0"/>
          <w:sz w:val="28"/>
          <w:szCs w:val="28"/>
        </w:rPr>
        <w:t xml:space="preserve">the SSS? </w:t>
      </w:r>
    </w:p>
    <w:p w14:paraId="3C9BC99A" w14:textId="2E3B59B3" w:rsidR="00C8532A" w:rsidRPr="008A5E1F" w:rsidRDefault="00C8532A" w:rsidP="00C8532A">
      <w:pPr>
        <w:spacing w:before="360" w:line="240" w:lineRule="auto"/>
        <w:ind w:left="720" w:hanging="540"/>
        <w:rPr>
          <w:sz w:val="28"/>
          <w:szCs w:val="28"/>
        </w:rPr>
      </w:pPr>
      <w:r w:rsidRPr="008A5E1F">
        <w:rPr>
          <w:sz w:val="28"/>
          <w:szCs w:val="28"/>
        </w:rPr>
        <w:t>Response:</w:t>
      </w:r>
      <w:r w:rsidR="00A662AE">
        <w:rPr>
          <w:sz w:val="28"/>
          <w:szCs w:val="28"/>
        </w:rPr>
        <w:t xml:space="preserve"> </w:t>
      </w:r>
      <w:r w:rsidRPr="008A5E1F">
        <w:rPr>
          <w:sz w:val="28"/>
          <w:szCs w:val="28"/>
        </w:rPr>
        <w:t xml:space="preserve"> The Statewide health standard cannot be pursued for </w:t>
      </w:r>
      <w:r w:rsidR="00712CBB">
        <w:rPr>
          <w:sz w:val="28"/>
          <w:szCs w:val="28"/>
        </w:rPr>
        <w:t>VI</w:t>
      </w:r>
      <w:r w:rsidR="00712CBB" w:rsidRPr="008A5E1F">
        <w:rPr>
          <w:sz w:val="28"/>
          <w:szCs w:val="28"/>
        </w:rPr>
        <w:t xml:space="preserve"> </w:t>
      </w:r>
      <w:r w:rsidRPr="008A5E1F">
        <w:rPr>
          <w:sz w:val="28"/>
          <w:szCs w:val="28"/>
        </w:rPr>
        <w:t xml:space="preserve">if either soil or groundwater are </w:t>
      </w:r>
      <w:r w:rsidR="0017314D">
        <w:rPr>
          <w:sz w:val="28"/>
          <w:szCs w:val="28"/>
        </w:rPr>
        <w:t>attaining</w:t>
      </w:r>
      <w:r w:rsidRPr="008A5E1F">
        <w:rPr>
          <w:sz w:val="28"/>
          <w:szCs w:val="28"/>
        </w:rPr>
        <w:t xml:space="preserve"> the site-specific standard.</w:t>
      </w:r>
      <w:r w:rsidR="00A662AE">
        <w:rPr>
          <w:sz w:val="28"/>
          <w:szCs w:val="28"/>
        </w:rPr>
        <w:t xml:space="preserve"> </w:t>
      </w:r>
      <w:r w:rsidRPr="008A5E1F">
        <w:rPr>
          <w:sz w:val="28"/>
          <w:szCs w:val="28"/>
        </w:rPr>
        <w:t xml:space="preserve">The Statewide health standard does not </w:t>
      </w:r>
      <w:r w:rsidR="00002AB8">
        <w:rPr>
          <w:sz w:val="28"/>
          <w:szCs w:val="28"/>
        </w:rPr>
        <w:t>address</w:t>
      </w:r>
      <w:r w:rsidR="00002AB8" w:rsidRPr="008A5E1F">
        <w:rPr>
          <w:sz w:val="28"/>
          <w:szCs w:val="28"/>
        </w:rPr>
        <w:t xml:space="preserve"> </w:t>
      </w:r>
      <w:r w:rsidRPr="008A5E1F">
        <w:rPr>
          <w:sz w:val="28"/>
          <w:szCs w:val="28"/>
        </w:rPr>
        <w:t>individual exposure pathways separately.</w:t>
      </w:r>
      <w:r w:rsidR="00A662AE">
        <w:rPr>
          <w:sz w:val="28"/>
          <w:szCs w:val="28"/>
        </w:rPr>
        <w:t xml:space="preserve"> </w:t>
      </w:r>
      <w:r w:rsidR="00002AB8">
        <w:rPr>
          <w:sz w:val="28"/>
          <w:szCs w:val="28"/>
        </w:rPr>
        <w:t>Attainment of the</w:t>
      </w:r>
      <w:r w:rsidR="00002AB8" w:rsidRPr="008A5E1F">
        <w:rPr>
          <w:sz w:val="28"/>
          <w:szCs w:val="28"/>
        </w:rPr>
        <w:t xml:space="preserve"> </w:t>
      </w:r>
      <w:r w:rsidRPr="008A5E1F">
        <w:rPr>
          <w:sz w:val="28"/>
          <w:szCs w:val="28"/>
        </w:rPr>
        <w:t xml:space="preserve">site-specific standard </w:t>
      </w:r>
      <w:r w:rsidR="00002AB8">
        <w:rPr>
          <w:sz w:val="28"/>
          <w:szCs w:val="28"/>
        </w:rPr>
        <w:t>requires an evaluation of</w:t>
      </w:r>
      <w:r w:rsidR="00002AB8" w:rsidRPr="008A5E1F">
        <w:rPr>
          <w:sz w:val="28"/>
          <w:szCs w:val="28"/>
        </w:rPr>
        <w:t xml:space="preserve"> </w:t>
      </w:r>
      <w:r w:rsidRPr="008A5E1F">
        <w:rPr>
          <w:sz w:val="28"/>
          <w:szCs w:val="28"/>
        </w:rPr>
        <w:t>individual exposure pathways, and Act 2 considers VI to be an exposure pathway, not an environmental medium.</w:t>
      </w:r>
      <w:r w:rsidR="00A662AE">
        <w:rPr>
          <w:sz w:val="28"/>
          <w:szCs w:val="28"/>
        </w:rPr>
        <w:t xml:space="preserve"> </w:t>
      </w:r>
    </w:p>
    <w:p w14:paraId="6B0A9779" w14:textId="34F92E64" w:rsidR="00082C6F" w:rsidRPr="00082C6F" w:rsidRDefault="00C8532A" w:rsidP="00C8532A">
      <w:pPr>
        <w:spacing w:before="360" w:line="240" w:lineRule="auto"/>
        <w:ind w:left="900"/>
        <w:rPr>
          <w:sz w:val="28"/>
          <w:szCs w:val="28"/>
        </w:rPr>
      </w:pPr>
      <w:r w:rsidRPr="008A5E1F">
        <w:rPr>
          <w:sz w:val="28"/>
          <w:szCs w:val="28"/>
        </w:rPr>
        <w:lastRenderedPageBreak/>
        <w:t>Ref</w:t>
      </w:r>
      <w:r w:rsidR="003970BC">
        <w:rPr>
          <w:sz w:val="28"/>
          <w:szCs w:val="28"/>
        </w:rPr>
        <w:t xml:space="preserve">erence: Flowchart </w:t>
      </w:r>
      <w:hyperlink w:anchor="CombinationofStandards" w:history="1">
        <w:r w:rsidR="003970BC" w:rsidRPr="00740465">
          <w:rPr>
            <w:rStyle w:val="Hyperlink"/>
            <w:sz w:val="28"/>
            <w:szCs w:val="28"/>
          </w:rPr>
          <w:t>Representative Process to Evaluate Vapor Intrusion with a Combination of Standards</w:t>
        </w:r>
      </w:hyperlink>
      <w:r w:rsidR="003970BC">
        <w:rPr>
          <w:sz w:val="28"/>
          <w:szCs w:val="28"/>
        </w:rPr>
        <w:t xml:space="preserve"> at the end of this document</w:t>
      </w:r>
      <w:r w:rsidR="00002AB8">
        <w:rPr>
          <w:sz w:val="28"/>
          <w:szCs w:val="28"/>
        </w:rPr>
        <w:t>;</w:t>
      </w:r>
      <w:r w:rsidR="003970BC">
        <w:rPr>
          <w:sz w:val="28"/>
          <w:szCs w:val="28"/>
        </w:rPr>
        <w:t xml:space="preserve"> VI Guidance Section C.3.</w:t>
      </w:r>
      <w:r w:rsidR="00002AB8">
        <w:rPr>
          <w:sz w:val="28"/>
          <w:szCs w:val="28"/>
        </w:rPr>
        <w:t>; Section 250.404.</w:t>
      </w:r>
    </w:p>
    <w:p w14:paraId="1061E303" w14:textId="77777777" w:rsidR="007325EB" w:rsidRPr="008A5E1F" w:rsidRDefault="007325EB" w:rsidP="00401012">
      <w:pPr>
        <w:spacing w:before="360" w:line="240" w:lineRule="auto"/>
        <w:ind w:left="900"/>
        <w:rPr>
          <w:sz w:val="28"/>
          <w:szCs w:val="28"/>
        </w:rPr>
      </w:pPr>
    </w:p>
    <w:p w14:paraId="164EACDB" w14:textId="5EE684E8" w:rsidR="006A26D3" w:rsidRPr="00605A50" w:rsidRDefault="00F4786D" w:rsidP="00605A50">
      <w:pPr>
        <w:pStyle w:val="ListParagraph"/>
        <w:numPr>
          <w:ilvl w:val="0"/>
          <w:numId w:val="20"/>
        </w:numPr>
        <w:tabs>
          <w:tab w:val="left" w:pos="990"/>
        </w:tabs>
        <w:spacing w:before="360" w:line="240" w:lineRule="auto"/>
        <w:rPr>
          <w:sz w:val="28"/>
          <w:szCs w:val="28"/>
        </w:rPr>
      </w:pPr>
      <w:r w:rsidRPr="008A5E1F">
        <w:rPr>
          <w:color w:val="0070C0"/>
          <w:sz w:val="28"/>
          <w:szCs w:val="28"/>
        </w:rPr>
        <w:t>When assessing risks with the site-specific standard, if inhalation is the only potentially complete exposure pathway but there are multiple potential receptors (e.g., building occupants and utility workers), is the VI screening with RSLs still permitted at a cancer risk of 10</w:t>
      </w:r>
      <w:r w:rsidRPr="008A5E1F">
        <w:rPr>
          <w:color w:val="0070C0"/>
          <w:sz w:val="28"/>
          <w:szCs w:val="28"/>
          <w:vertAlign w:val="superscript"/>
        </w:rPr>
        <w:t>–5</w:t>
      </w:r>
      <w:r w:rsidRPr="008A5E1F">
        <w:rPr>
          <w:color w:val="0070C0"/>
          <w:sz w:val="28"/>
          <w:szCs w:val="28"/>
        </w:rPr>
        <w:t>?</w:t>
      </w:r>
      <w:r w:rsidR="00A662AE">
        <w:rPr>
          <w:color w:val="0070C0"/>
          <w:sz w:val="28"/>
          <w:szCs w:val="28"/>
        </w:rPr>
        <w:t xml:space="preserve"> </w:t>
      </w:r>
      <w:r w:rsidR="00605A50" w:rsidRPr="008A5E1F">
        <w:rPr>
          <w:color w:val="0070C0"/>
          <w:sz w:val="28"/>
          <w:szCs w:val="28"/>
        </w:rPr>
        <w:t>When can 10</w:t>
      </w:r>
      <w:r w:rsidR="00712CBB">
        <w:rPr>
          <w:color w:val="0070C0"/>
          <w:sz w:val="28"/>
          <w:szCs w:val="28"/>
          <w:vertAlign w:val="superscript"/>
        </w:rPr>
        <w:t>–</w:t>
      </w:r>
      <w:r w:rsidR="00605A50" w:rsidRPr="008A5E1F">
        <w:rPr>
          <w:color w:val="0070C0"/>
          <w:sz w:val="28"/>
          <w:szCs w:val="28"/>
          <w:vertAlign w:val="superscript"/>
        </w:rPr>
        <w:t>5</w:t>
      </w:r>
      <w:r w:rsidR="00605A50" w:rsidRPr="008A5E1F">
        <w:rPr>
          <w:color w:val="0070C0"/>
          <w:sz w:val="28"/>
          <w:szCs w:val="28"/>
        </w:rPr>
        <w:t xml:space="preserve"> </w:t>
      </w:r>
      <w:r w:rsidR="00127B07">
        <w:rPr>
          <w:color w:val="0070C0"/>
          <w:sz w:val="28"/>
          <w:szCs w:val="28"/>
        </w:rPr>
        <w:t xml:space="preserve">be used </w:t>
      </w:r>
      <w:r w:rsidR="00605A50" w:rsidRPr="008A5E1F">
        <w:rPr>
          <w:color w:val="0070C0"/>
          <w:sz w:val="28"/>
          <w:szCs w:val="28"/>
        </w:rPr>
        <w:t>as opposed to 10</w:t>
      </w:r>
      <w:r w:rsidR="00712CBB">
        <w:rPr>
          <w:color w:val="0070C0"/>
          <w:sz w:val="28"/>
          <w:szCs w:val="28"/>
          <w:vertAlign w:val="superscript"/>
        </w:rPr>
        <w:t>–</w:t>
      </w:r>
      <w:r w:rsidR="00605A50" w:rsidRPr="008A5E1F">
        <w:rPr>
          <w:color w:val="0070C0"/>
          <w:sz w:val="28"/>
          <w:szCs w:val="28"/>
          <w:vertAlign w:val="superscript"/>
        </w:rPr>
        <w:t>6</w:t>
      </w:r>
      <w:r w:rsidR="00605A50" w:rsidRPr="008A5E1F">
        <w:rPr>
          <w:color w:val="0070C0"/>
          <w:sz w:val="28"/>
          <w:szCs w:val="28"/>
        </w:rPr>
        <w:t>?</w:t>
      </w:r>
    </w:p>
    <w:p w14:paraId="6349FAF7" w14:textId="3EB3195C" w:rsidR="006A26D3" w:rsidRPr="008A5E1F" w:rsidRDefault="006A26D3" w:rsidP="006A26D3">
      <w:pPr>
        <w:spacing w:before="360" w:line="240" w:lineRule="auto"/>
        <w:ind w:left="720" w:hanging="540"/>
        <w:rPr>
          <w:sz w:val="28"/>
          <w:szCs w:val="28"/>
        </w:rPr>
      </w:pPr>
      <w:r w:rsidRPr="008A5E1F">
        <w:rPr>
          <w:sz w:val="28"/>
          <w:szCs w:val="28"/>
        </w:rPr>
        <w:t xml:space="preserve">Response: </w:t>
      </w:r>
      <w:r w:rsidR="00127B07" w:rsidRPr="008A5E1F">
        <w:rPr>
          <w:sz w:val="28"/>
          <w:szCs w:val="28"/>
        </w:rPr>
        <w:t>A</w:t>
      </w:r>
      <w:r w:rsidR="00665270">
        <w:rPr>
          <w:sz w:val="28"/>
          <w:szCs w:val="28"/>
        </w:rPr>
        <w:t>n</w:t>
      </w:r>
      <w:r w:rsidR="00127B07" w:rsidRPr="008A5E1F">
        <w:rPr>
          <w:sz w:val="28"/>
          <w:szCs w:val="28"/>
        </w:rPr>
        <w:t xml:space="preserve"> </w:t>
      </w:r>
      <w:r w:rsidR="00082C6F">
        <w:rPr>
          <w:sz w:val="28"/>
          <w:szCs w:val="28"/>
        </w:rPr>
        <w:t xml:space="preserve">RSL </w:t>
      </w:r>
      <w:r w:rsidR="00127B07" w:rsidRPr="008A5E1F">
        <w:rPr>
          <w:sz w:val="28"/>
          <w:szCs w:val="28"/>
        </w:rPr>
        <w:t>cancer risk of 10</w:t>
      </w:r>
      <w:r w:rsidR="00127B07" w:rsidRPr="008A5E1F">
        <w:rPr>
          <w:sz w:val="28"/>
          <w:szCs w:val="28"/>
          <w:vertAlign w:val="superscript"/>
        </w:rPr>
        <w:t>–5</w:t>
      </w:r>
      <w:r w:rsidR="00127B07" w:rsidRPr="008A5E1F">
        <w:rPr>
          <w:sz w:val="28"/>
          <w:szCs w:val="28"/>
        </w:rPr>
        <w:t xml:space="preserve"> can be used </w:t>
      </w:r>
      <w:r w:rsidR="00082C6F">
        <w:rPr>
          <w:sz w:val="28"/>
          <w:szCs w:val="28"/>
        </w:rPr>
        <w:t xml:space="preserve">for each receptor </w:t>
      </w:r>
      <w:r w:rsidR="00127B07" w:rsidRPr="008A5E1F">
        <w:rPr>
          <w:sz w:val="28"/>
          <w:szCs w:val="28"/>
        </w:rPr>
        <w:t>when VI is the only potentially complete exp</w:t>
      </w:r>
      <w:r w:rsidR="00127B07">
        <w:rPr>
          <w:sz w:val="28"/>
          <w:szCs w:val="28"/>
        </w:rPr>
        <w:t xml:space="preserve">osure pathway for </w:t>
      </w:r>
      <w:r w:rsidR="00082C6F">
        <w:rPr>
          <w:sz w:val="28"/>
          <w:szCs w:val="28"/>
        </w:rPr>
        <w:t xml:space="preserve">that </w:t>
      </w:r>
      <w:r w:rsidR="00127B07">
        <w:rPr>
          <w:sz w:val="28"/>
          <w:szCs w:val="28"/>
        </w:rPr>
        <w:t>receptor, regardless of the number of potential receptors.</w:t>
      </w:r>
      <w:r w:rsidR="00A662AE">
        <w:rPr>
          <w:sz w:val="28"/>
          <w:szCs w:val="28"/>
        </w:rPr>
        <w:t xml:space="preserve"> </w:t>
      </w:r>
      <w:r w:rsidR="00605A50" w:rsidRPr="008A5E1F">
        <w:rPr>
          <w:sz w:val="28"/>
          <w:szCs w:val="28"/>
        </w:rPr>
        <w:t>Reducing the cancer risk from 10</w:t>
      </w:r>
      <w:r w:rsidR="00712CBB" w:rsidRPr="00712CBB">
        <w:rPr>
          <w:sz w:val="28"/>
          <w:szCs w:val="28"/>
          <w:vertAlign w:val="superscript"/>
        </w:rPr>
        <w:t>–6</w:t>
      </w:r>
      <w:r w:rsidR="00605A50" w:rsidRPr="008A5E1F">
        <w:rPr>
          <w:sz w:val="28"/>
          <w:szCs w:val="28"/>
          <w:vertAlign w:val="superscript"/>
        </w:rPr>
        <w:t xml:space="preserve"> </w:t>
      </w:r>
      <w:r w:rsidR="00605A50" w:rsidRPr="008A5E1F">
        <w:rPr>
          <w:sz w:val="28"/>
          <w:szCs w:val="28"/>
        </w:rPr>
        <w:t>to 10</w:t>
      </w:r>
      <w:r w:rsidR="00712CBB">
        <w:rPr>
          <w:sz w:val="28"/>
          <w:szCs w:val="28"/>
          <w:vertAlign w:val="superscript"/>
        </w:rPr>
        <w:t>–5</w:t>
      </w:r>
      <w:r w:rsidR="00605A50" w:rsidRPr="008A5E1F">
        <w:rPr>
          <w:sz w:val="28"/>
          <w:szCs w:val="28"/>
        </w:rPr>
        <w:t xml:space="preserve"> is not appropriate if there is more than one exposure pathway for a given receptor (e.g., ingestion and inhalation).</w:t>
      </w:r>
    </w:p>
    <w:p w14:paraId="282DB26B" w14:textId="77777777" w:rsidR="006A26D3" w:rsidRDefault="006A26D3" w:rsidP="00401012">
      <w:pPr>
        <w:spacing w:before="360" w:line="240" w:lineRule="auto"/>
        <w:ind w:left="900"/>
        <w:rPr>
          <w:sz w:val="28"/>
          <w:szCs w:val="28"/>
        </w:rPr>
      </w:pPr>
      <w:r w:rsidRPr="008A5E1F">
        <w:rPr>
          <w:sz w:val="28"/>
          <w:szCs w:val="28"/>
        </w:rPr>
        <w:t>Reference: VI Guidance</w:t>
      </w:r>
      <w:r w:rsidR="007325EB" w:rsidRPr="008A5E1F">
        <w:rPr>
          <w:sz w:val="28"/>
          <w:szCs w:val="28"/>
        </w:rPr>
        <w:t xml:space="preserve"> Section K.4</w:t>
      </w:r>
      <w:r w:rsidR="00DF455E" w:rsidRPr="008A5E1F">
        <w:rPr>
          <w:sz w:val="28"/>
          <w:szCs w:val="28"/>
        </w:rPr>
        <w:t>.</w:t>
      </w:r>
    </w:p>
    <w:p w14:paraId="7C2280CB" w14:textId="77777777" w:rsidR="00605A50" w:rsidRPr="008A5E1F" w:rsidRDefault="00605A50" w:rsidP="00401012">
      <w:pPr>
        <w:spacing w:before="360" w:line="240" w:lineRule="auto"/>
        <w:ind w:left="900"/>
        <w:rPr>
          <w:sz w:val="28"/>
          <w:szCs w:val="28"/>
        </w:rPr>
      </w:pPr>
    </w:p>
    <w:p w14:paraId="52B3E85A" w14:textId="77777777" w:rsidR="006A26D3" w:rsidRPr="008A5E1F" w:rsidRDefault="00F4786D" w:rsidP="00792B09">
      <w:pPr>
        <w:pStyle w:val="ListParagraph"/>
        <w:numPr>
          <w:ilvl w:val="0"/>
          <w:numId w:val="20"/>
        </w:numPr>
        <w:tabs>
          <w:tab w:val="left" w:pos="990"/>
        </w:tabs>
        <w:spacing w:before="360" w:line="240" w:lineRule="auto"/>
        <w:rPr>
          <w:sz w:val="28"/>
          <w:szCs w:val="28"/>
        </w:rPr>
      </w:pPr>
      <w:r w:rsidRPr="008A5E1F">
        <w:rPr>
          <w:color w:val="0070C0"/>
          <w:sz w:val="28"/>
          <w:szCs w:val="28"/>
        </w:rPr>
        <w:t>Why aren’t SHS screening values available for SSS screening? If DEP will accept screening at a cancer risk of 10</w:t>
      </w:r>
      <w:r w:rsidRPr="008A5E1F">
        <w:rPr>
          <w:color w:val="0070C0"/>
          <w:sz w:val="28"/>
          <w:szCs w:val="28"/>
          <w:vertAlign w:val="superscript"/>
        </w:rPr>
        <w:t>–5</w:t>
      </w:r>
      <w:r w:rsidRPr="008A5E1F">
        <w:rPr>
          <w:color w:val="0070C0"/>
          <w:sz w:val="28"/>
          <w:szCs w:val="28"/>
        </w:rPr>
        <w:t xml:space="preserve"> for the SSS when VI is the only potentially complete exposure pathway, then the SHS screening values determined at this risk level should be applicable.</w:t>
      </w:r>
    </w:p>
    <w:p w14:paraId="5AE5A13B" w14:textId="03B62C42" w:rsidR="006A26D3" w:rsidRPr="008A5E1F" w:rsidRDefault="006A26D3" w:rsidP="006A26D3">
      <w:pPr>
        <w:spacing w:before="360" w:line="240" w:lineRule="auto"/>
        <w:ind w:left="720" w:hanging="540"/>
        <w:rPr>
          <w:sz w:val="28"/>
          <w:szCs w:val="28"/>
        </w:rPr>
      </w:pPr>
      <w:r w:rsidRPr="008A5E1F">
        <w:rPr>
          <w:sz w:val="28"/>
          <w:szCs w:val="28"/>
        </w:rPr>
        <w:t xml:space="preserve">Response: </w:t>
      </w:r>
      <w:proofErr w:type="gramStart"/>
      <w:r w:rsidR="00DB7136">
        <w:rPr>
          <w:sz w:val="28"/>
          <w:szCs w:val="28"/>
        </w:rPr>
        <w:t>According to</w:t>
      </w:r>
      <w:proofErr w:type="gramEnd"/>
      <w:r w:rsidR="00DB7136">
        <w:rPr>
          <w:sz w:val="28"/>
          <w:szCs w:val="28"/>
        </w:rPr>
        <w:t xml:space="preserve"> Act 2,</w:t>
      </w:r>
      <w:r w:rsidR="00FC6089" w:rsidRPr="008A5E1F">
        <w:rPr>
          <w:sz w:val="28"/>
          <w:szCs w:val="28"/>
        </w:rPr>
        <w:t xml:space="preserve"> the cumulative excess cancer risk shall not be greater than 1 in 10,000 (10</w:t>
      </w:r>
      <w:r w:rsidR="00FC6089" w:rsidRPr="008A5E1F">
        <w:rPr>
          <w:sz w:val="28"/>
          <w:szCs w:val="28"/>
          <w:vertAlign w:val="superscript"/>
        </w:rPr>
        <w:t>–4</w:t>
      </w:r>
      <w:r w:rsidR="00FC6089" w:rsidRPr="008A5E1F">
        <w:rPr>
          <w:sz w:val="28"/>
          <w:szCs w:val="28"/>
        </w:rPr>
        <w:t>) and, where several system</w:t>
      </w:r>
      <w:r w:rsidR="00712CBB">
        <w:rPr>
          <w:sz w:val="28"/>
          <w:szCs w:val="28"/>
        </w:rPr>
        <w:t>ic</w:t>
      </w:r>
      <w:r w:rsidR="00FC6089" w:rsidRPr="008A5E1F">
        <w:rPr>
          <w:sz w:val="28"/>
          <w:szCs w:val="28"/>
        </w:rPr>
        <w:t xml:space="preserve"> toxicants affect the same target organ or act by the same method of toxicity, the haza</w:t>
      </w:r>
      <w:r w:rsidR="00DB7136">
        <w:rPr>
          <w:sz w:val="28"/>
          <w:szCs w:val="28"/>
        </w:rPr>
        <w:t xml:space="preserve">rd index shall not exceed one. </w:t>
      </w:r>
      <w:r w:rsidR="00FC6089" w:rsidRPr="008A5E1F">
        <w:rPr>
          <w:sz w:val="28"/>
          <w:szCs w:val="28"/>
        </w:rPr>
        <w:t>The hazard index is the sum of the hazard quotients for multiple systemic toxicants acting through single- or mu</w:t>
      </w:r>
      <w:r w:rsidR="00DB7136">
        <w:rPr>
          <w:sz w:val="28"/>
          <w:szCs w:val="28"/>
        </w:rPr>
        <w:t>ltiple-media exposure pathways.</w:t>
      </w:r>
      <w:r w:rsidR="00FC6089" w:rsidRPr="008A5E1F">
        <w:rPr>
          <w:sz w:val="28"/>
          <w:szCs w:val="28"/>
        </w:rPr>
        <w:t xml:space="preserve"> Calculated SHS screening values, generic soil-to-groundwater numeric values, and groundwater MSCs are </w:t>
      </w:r>
      <w:r w:rsidR="00082C6F">
        <w:rPr>
          <w:sz w:val="28"/>
          <w:szCs w:val="28"/>
        </w:rPr>
        <w:t>based on a</w:t>
      </w:r>
      <w:r w:rsidR="00061D11" w:rsidRPr="008A5E1F">
        <w:rPr>
          <w:sz w:val="28"/>
          <w:szCs w:val="28"/>
        </w:rPr>
        <w:t xml:space="preserve"> </w:t>
      </w:r>
      <w:r w:rsidR="00FC6089" w:rsidRPr="008A5E1F">
        <w:rPr>
          <w:sz w:val="28"/>
          <w:szCs w:val="28"/>
        </w:rPr>
        <w:t>cancer risk of 10</w:t>
      </w:r>
      <w:r w:rsidR="00FC6089" w:rsidRPr="008A5E1F">
        <w:rPr>
          <w:sz w:val="28"/>
          <w:szCs w:val="28"/>
          <w:vertAlign w:val="superscript"/>
        </w:rPr>
        <w:t>–5</w:t>
      </w:r>
      <w:r w:rsidR="00FC6089" w:rsidRPr="008A5E1F">
        <w:rPr>
          <w:sz w:val="28"/>
          <w:szCs w:val="28"/>
        </w:rPr>
        <w:t xml:space="preserve"> and a hazard quotient of 1.0. Therefore, for substances that are systemic toxicants, the SHS screening values do not generally satisfy the SSS statutory requirement of a maximum hazard index of one. When there is </w:t>
      </w:r>
      <w:r w:rsidR="00FC6089" w:rsidRPr="008A5E1F">
        <w:rPr>
          <w:sz w:val="28"/>
          <w:szCs w:val="28"/>
        </w:rPr>
        <w:lastRenderedPageBreak/>
        <w:t>more than one substance of VI concern under the SSS, the cumulative non</w:t>
      </w:r>
      <w:r w:rsidR="00DA0B6B" w:rsidRPr="008A5E1F">
        <w:rPr>
          <w:sz w:val="28"/>
          <w:szCs w:val="28"/>
        </w:rPr>
        <w:t>-</w:t>
      </w:r>
      <w:r w:rsidR="00FC6089" w:rsidRPr="008A5E1F">
        <w:rPr>
          <w:sz w:val="28"/>
          <w:szCs w:val="28"/>
        </w:rPr>
        <w:t>cancer risk could exceed a hazard index of one even though individual concentrations are less than SHS screening values.</w:t>
      </w:r>
      <w:r w:rsidR="00A662AE">
        <w:rPr>
          <w:sz w:val="28"/>
          <w:szCs w:val="28"/>
        </w:rPr>
        <w:t xml:space="preserve"> </w:t>
      </w:r>
    </w:p>
    <w:p w14:paraId="36673AC9" w14:textId="44D98AFB" w:rsidR="007F541B" w:rsidRPr="008A5E1F" w:rsidRDefault="007F541B" w:rsidP="007F541B">
      <w:pPr>
        <w:spacing w:before="360" w:line="240" w:lineRule="auto"/>
        <w:ind w:left="900"/>
        <w:rPr>
          <w:sz w:val="28"/>
          <w:szCs w:val="28"/>
        </w:rPr>
      </w:pPr>
      <w:r w:rsidRPr="008A5E1F">
        <w:rPr>
          <w:sz w:val="28"/>
          <w:szCs w:val="28"/>
        </w:rPr>
        <w:t>Reference: VI Guidance Section K.</w:t>
      </w:r>
      <w:r w:rsidR="00712CBB">
        <w:rPr>
          <w:sz w:val="28"/>
          <w:szCs w:val="28"/>
        </w:rPr>
        <w:t>4</w:t>
      </w:r>
      <w:r w:rsidR="00DF455E" w:rsidRPr="008A5E1F">
        <w:rPr>
          <w:sz w:val="28"/>
          <w:szCs w:val="28"/>
        </w:rPr>
        <w:t>.</w:t>
      </w:r>
      <w:r w:rsidR="00DB7136">
        <w:rPr>
          <w:sz w:val="28"/>
          <w:szCs w:val="28"/>
        </w:rPr>
        <w:t xml:space="preserve">, </w:t>
      </w:r>
      <w:r w:rsidR="00712CBB">
        <w:rPr>
          <w:sz w:val="28"/>
          <w:szCs w:val="28"/>
        </w:rPr>
        <w:t xml:space="preserve">Section </w:t>
      </w:r>
      <w:r w:rsidR="00DB7136">
        <w:rPr>
          <w:sz w:val="28"/>
          <w:szCs w:val="28"/>
        </w:rPr>
        <w:t>250.402.</w:t>
      </w:r>
    </w:p>
    <w:p w14:paraId="5EB06B17" w14:textId="06A6B8D2" w:rsidR="006B0793" w:rsidRPr="0032722B" w:rsidRDefault="00957500" w:rsidP="00B52A60">
      <w:pPr>
        <w:spacing w:before="360" w:line="240" w:lineRule="auto"/>
        <w:ind w:left="-1260"/>
      </w:pPr>
      <w:hyperlink w:anchor="_top" w:history="1">
        <w:r w:rsidR="00C02C9F" w:rsidRPr="005859B0">
          <w:rPr>
            <w:rStyle w:val="Hyperlink"/>
          </w:rPr>
          <w:t>Back to Top</w:t>
        </w:r>
      </w:hyperlink>
      <w:r w:rsidR="00A662AE">
        <w:t xml:space="preserve"> </w:t>
      </w:r>
    </w:p>
    <w:p w14:paraId="47E1EDCD" w14:textId="77777777" w:rsidR="006B0793" w:rsidRPr="0032722B" w:rsidRDefault="006B0793" w:rsidP="00F30208">
      <w:r w:rsidRPr="0032722B">
        <w:br w:type="page"/>
      </w:r>
    </w:p>
    <w:p w14:paraId="3E5CA423" w14:textId="352DBF54" w:rsidR="002E30F7" w:rsidRPr="00296E27" w:rsidRDefault="002E30F7" w:rsidP="00296E27">
      <w:pPr>
        <w:rPr>
          <w:i/>
          <w:iCs/>
          <w:color w:val="1F497D"/>
          <w:sz w:val="24"/>
          <w:szCs w:val="24"/>
        </w:rPr>
        <w:sectPr w:rsidR="002E30F7" w:rsidRPr="00296E27">
          <w:footerReference w:type="default" r:id="rId8"/>
          <w:pgSz w:w="12240" w:h="15840"/>
          <w:pgMar w:top="1440" w:right="1440" w:bottom="1440" w:left="1440" w:header="720" w:footer="720" w:gutter="0"/>
          <w:cols w:space="720"/>
          <w:docGrid w:linePitch="360"/>
        </w:sectPr>
      </w:pPr>
    </w:p>
    <w:p w14:paraId="354BECC3" w14:textId="1ECEDE99" w:rsidR="00661D4D" w:rsidRDefault="00740465" w:rsidP="004438A1">
      <w:pPr>
        <w:spacing w:before="360" w:line="240" w:lineRule="auto"/>
        <w:ind w:left="900"/>
        <w:rPr>
          <w:sz w:val="36"/>
          <w:szCs w:val="36"/>
        </w:rPr>
      </w:pPr>
      <w:bookmarkStart w:id="18" w:name="CombinationofStandards"/>
      <w:r w:rsidRPr="0023303E">
        <w:rPr>
          <w:rStyle w:val="Hyperlink"/>
          <w:sz w:val="28"/>
          <w:u w:val="none"/>
        </w:rPr>
        <w:lastRenderedPageBreak/>
        <w:t>Combination of Standards</w:t>
      </w:r>
      <w:r w:rsidR="00A662AE">
        <w:rPr>
          <w:rStyle w:val="Hyperlink"/>
          <w:sz w:val="28"/>
          <w:u w:val="none"/>
        </w:rPr>
        <w:t xml:space="preserve">                                                                     </w:t>
      </w:r>
      <w:r w:rsidR="0023303E">
        <w:rPr>
          <w:rStyle w:val="Hyperlink"/>
          <w:sz w:val="28"/>
          <w:u w:val="none"/>
        </w:rPr>
        <w:t xml:space="preserve"> </w:t>
      </w:r>
      <w:bookmarkEnd w:id="18"/>
      <w:r w:rsidR="00A75C19">
        <w:fldChar w:fldCharType="begin"/>
      </w:r>
      <w:r w:rsidR="00A75C19">
        <w:instrText xml:space="preserve"> HYPERLINK \l "_top" </w:instrText>
      </w:r>
      <w:r w:rsidR="00A75C19">
        <w:fldChar w:fldCharType="separate"/>
      </w:r>
      <w:r w:rsidR="0023303E" w:rsidRPr="00A56D6D">
        <w:rPr>
          <w:rStyle w:val="Hyperlink"/>
        </w:rPr>
        <w:t>Back to Top</w:t>
      </w:r>
      <w:r w:rsidR="0023303E" w:rsidRPr="00A56D6D">
        <w:rPr>
          <w:rStyle w:val="Hyperlink"/>
          <w:sz w:val="28"/>
        </w:rPr>
        <w:t xml:space="preserve"> </w:t>
      </w:r>
      <w:r w:rsidR="00A75C19">
        <w:rPr>
          <w:rStyle w:val="Hyperlink"/>
          <w:sz w:val="28"/>
        </w:rPr>
        <w:fldChar w:fldCharType="end"/>
      </w:r>
      <w:r w:rsidR="0023303E" w:rsidRPr="0023303E">
        <w:rPr>
          <w:rStyle w:val="Hyperlink"/>
          <w:sz w:val="28"/>
          <w:u w:val="none"/>
        </w:rPr>
        <w:t xml:space="preserve"> </w:t>
      </w:r>
      <w:r w:rsidR="00BD674A" w:rsidRPr="00BD674A">
        <w:rPr>
          <w:noProof/>
        </w:rPr>
        <w:drawing>
          <wp:inline distT="0" distB="0" distL="0" distR="0" wp14:anchorId="6942E618" wp14:editId="2A07EC52">
            <wp:extent cx="7964424" cy="59893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64424" cy="5989320"/>
                    </a:xfrm>
                    <a:prstGeom prst="rect">
                      <a:avLst/>
                    </a:prstGeom>
                    <a:noFill/>
                    <a:ln>
                      <a:noFill/>
                    </a:ln>
                  </pic:spPr>
                </pic:pic>
              </a:graphicData>
            </a:graphic>
          </wp:inline>
        </w:drawing>
      </w:r>
    </w:p>
    <w:p w14:paraId="406DDAC9" w14:textId="30A5F59E" w:rsidR="004438A1" w:rsidRDefault="00661D4D" w:rsidP="004438A1">
      <w:pPr>
        <w:spacing w:before="360" w:line="240" w:lineRule="auto"/>
        <w:ind w:left="900"/>
        <w:rPr>
          <w:rStyle w:val="Hyperlink"/>
          <w:sz w:val="28"/>
          <w:u w:val="none"/>
        </w:rPr>
      </w:pPr>
      <w:r>
        <w:rPr>
          <w:sz w:val="36"/>
          <w:szCs w:val="36"/>
        </w:rPr>
        <w:br w:type="page"/>
      </w:r>
      <w:r>
        <w:rPr>
          <w:rStyle w:val="Hyperlink"/>
          <w:sz w:val="28"/>
          <w:u w:val="none"/>
        </w:rPr>
        <w:lastRenderedPageBreak/>
        <w:t>Site-Specific Standard Screening Values</w:t>
      </w:r>
      <w:r w:rsidR="00A662AE">
        <w:rPr>
          <w:rStyle w:val="Hyperlink"/>
          <w:sz w:val="28"/>
          <w:u w:val="none"/>
        </w:rPr>
        <w:t xml:space="preserve">                                                             </w:t>
      </w:r>
      <w:r>
        <w:rPr>
          <w:rStyle w:val="Hyperlink"/>
          <w:sz w:val="28"/>
          <w:u w:val="none"/>
        </w:rPr>
        <w:t xml:space="preserve"> </w:t>
      </w:r>
      <w:hyperlink w:anchor="_top" w:history="1">
        <w:r w:rsidRPr="00A56D6D">
          <w:rPr>
            <w:rStyle w:val="Hyperlink"/>
          </w:rPr>
          <w:t>Back to Top</w:t>
        </w:r>
      </w:hyperlink>
      <w:r w:rsidR="00A662AE">
        <w:rPr>
          <w:rStyle w:val="Hyperlink"/>
          <w:sz w:val="28"/>
          <w:u w:val="none"/>
        </w:rPr>
        <w:t xml:space="preserve"> </w:t>
      </w:r>
      <w:bookmarkStart w:id="19" w:name="SiteSpecificScreeningValues"/>
    </w:p>
    <w:p w14:paraId="78BFD066" w14:textId="7C897581" w:rsidR="00661D4D" w:rsidRDefault="00687A13" w:rsidP="004438A1">
      <w:pPr>
        <w:spacing w:before="360" w:line="240" w:lineRule="auto"/>
        <w:ind w:left="900"/>
        <w:rPr>
          <w:sz w:val="36"/>
          <w:szCs w:val="36"/>
        </w:rPr>
      </w:pPr>
      <w:r w:rsidRPr="00687A13">
        <w:rPr>
          <w:noProof/>
        </w:rPr>
        <w:drawing>
          <wp:inline distT="0" distB="0" distL="0" distR="0" wp14:anchorId="0D65AB99" wp14:editId="509432D0">
            <wp:extent cx="7964424" cy="59832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64424" cy="5983290"/>
                    </a:xfrm>
                    <a:prstGeom prst="rect">
                      <a:avLst/>
                    </a:prstGeom>
                    <a:noFill/>
                    <a:ln>
                      <a:noFill/>
                    </a:ln>
                  </pic:spPr>
                </pic:pic>
              </a:graphicData>
            </a:graphic>
          </wp:inline>
        </w:drawing>
      </w:r>
      <w:bookmarkEnd w:id="19"/>
    </w:p>
    <w:sectPr w:rsidR="00661D4D" w:rsidSect="006B0793">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D9632E" w14:textId="77777777" w:rsidR="004D5A50" w:rsidRDefault="004D5A50" w:rsidP="004D5A50">
      <w:pPr>
        <w:spacing w:after="0" w:line="240" w:lineRule="auto"/>
      </w:pPr>
      <w:r>
        <w:separator/>
      </w:r>
    </w:p>
  </w:endnote>
  <w:endnote w:type="continuationSeparator" w:id="0">
    <w:p w14:paraId="470491F5" w14:textId="77777777" w:rsidR="004D5A50" w:rsidRDefault="004D5A50" w:rsidP="004D5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7086541"/>
      <w:docPartObj>
        <w:docPartGallery w:val="Page Numbers (Bottom of Page)"/>
        <w:docPartUnique/>
      </w:docPartObj>
    </w:sdtPr>
    <w:sdtEndPr>
      <w:rPr>
        <w:noProof/>
      </w:rPr>
    </w:sdtEndPr>
    <w:sdtContent>
      <w:p w14:paraId="2AD4DAC0" w14:textId="4AD2D867" w:rsidR="00B02CD9" w:rsidRDefault="00B02CD9">
        <w:pPr>
          <w:pStyle w:val="Footer"/>
          <w:jc w:val="right"/>
        </w:pPr>
        <w:r>
          <w:fldChar w:fldCharType="begin"/>
        </w:r>
        <w:r>
          <w:instrText xml:space="preserve"> PAGE   \* MERGEFORMAT </w:instrText>
        </w:r>
        <w:r>
          <w:fldChar w:fldCharType="separate"/>
        </w:r>
        <w:r w:rsidR="00957500">
          <w:rPr>
            <w:noProof/>
          </w:rPr>
          <w:t>14</w:t>
        </w:r>
        <w:r>
          <w:rPr>
            <w:noProof/>
          </w:rPr>
          <w:fldChar w:fldCharType="end"/>
        </w:r>
      </w:p>
    </w:sdtContent>
  </w:sdt>
  <w:p w14:paraId="42D8C7C6" w14:textId="77777777" w:rsidR="007910BC" w:rsidRDefault="007910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C558EA" w14:textId="77777777" w:rsidR="004D5A50" w:rsidRDefault="004D5A50" w:rsidP="004D5A50">
      <w:pPr>
        <w:spacing w:after="0" w:line="240" w:lineRule="auto"/>
      </w:pPr>
      <w:r>
        <w:separator/>
      </w:r>
    </w:p>
  </w:footnote>
  <w:footnote w:type="continuationSeparator" w:id="0">
    <w:p w14:paraId="3FC33877" w14:textId="77777777" w:rsidR="004D5A50" w:rsidRDefault="004D5A50" w:rsidP="004D5A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CF5"/>
    <w:multiLevelType w:val="hybridMultilevel"/>
    <w:tmpl w:val="6DE4427E"/>
    <w:lvl w:ilvl="0" w:tplc="321A62AC">
      <w:start w:val="9"/>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35B06"/>
    <w:multiLevelType w:val="hybridMultilevel"/>
    <w:tmpl w:val="9D4E5C0A"/>
    <w:lvl w:ilvl="0" w:tplc="83E8F65E">
      <w:start w:val="12"/>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CB15AB"/>
    <w:multiLevelType w:val="hybridMultilevel"/>
    <w:tmpl w:val="7144BA88"/>
    <w:lvl w:ilvl="0" w:tplc="5F1C410C">
      <w:start w:val="1"/>
      <w:numFmt w:val="decimal"/>
      <w:lvlText w:val="F.%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684A09"/>
    <w:multiLevelType w:val="hybridMultilevel"/>
    <w:tmpl w:val="1870FE9C"/>
    <w:lvl w:ilvl="0" w:tplc="09BA9386">
      <w:start w:val="1"/>
      <w:numFmt w:val="decimal"/>
      <w:lvlText w:val="C.%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182B1B"/>
    <w:multiLevelType w:val="hybridMultilevel"/>
    <w:tmpl w:val="1EDA1BC6"/>
    <w:lvl w:ilvl="0" w:tplc="6A98D28C">
      <w:start w:val="1"/>
      <w:numFmt w:val="decimal"/>
      <w:lvlText w:val="K.%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F63D6"/>
    <w:multiLevelType w:val="hybridMultilevel"/>
    <w:tmpl w:val="342A87D4"/>
    <w:lvl w:ilvl="0" w:tplc="6A98D28C">
      <w:start w:val="1"/>
      <w:numFmt w:val="decimal"/>
      <w:lvlText w:val="K.%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542EE0"/>
    <w:multiLevelType w:val="hybridMultilevel"/>
    <w:tmpl w:val="1256BE3E"/>
    <w:lvl w:ilvl="0" w:tplc="9FD8BCD8">
      <w:start w:val="1"/>
      <w:numFmt w:val="decimal"/>
      <w:lvlText w:val="H.%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AE2D88"/>
    <w:multiLevelType w:val="hybridMultilevel"/>
    <w:tmpl w:val="A4B0A3BA"/>
    <w:lvl w:ilvl="0" w:tplc="9A40F514">
      <w:start w:val="1"/>
      <w:numFmt w:val="decimal"/>
      <w:lvlText w:val="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274EAE"/>
    <w:multiLevelType w:val="hybridMultilevel"/>
    <w:tmpl w:val="AF26B9C2"/>
    <w:lvl w:ilvl="0" w:tplc="C9766B88">
      <w:start w:val="1"/>
      <w:numFmt w:val="decimal"/>
      <w:lvlText w:val="N.%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4517E7"/>
    <w:multiLevelType w:val="hybridMultilevel"/>
    <w:tmpl w:val="27CE8400"/>
    <w:lvl w:ilvl="0" w:tplc="E0245826">
      <w:start w:val="1"/>
      <w:numFmt w:val="decimal"/>
      <w:lvlText w:val="E.%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493E99"/>
    <w:multiLevelType w:val="hybridMultilevel"/>
    <w:tmpl w:val="BA90AF26"/>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BE6602"/>
    <w:multiLevelType w:val="hybridMultilevel"/>
    <w:tmpl w:val="7D0E0DC0"/>
    <w:lvl w:ilvl="0" w:tplc="44C8412C">
      <w:start w:val="1"/>
      <w:numFmt w:val="decimal"/>
      <w:lvlText w:val="M.%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BE3118"/>
    <w:multiLevelType w:val="hybridMultilevel"/>
    <w:tmpl w:val="78C8172E"/>
    <w:lvl w:ilvl="0" w:tplc="BFD60EB6">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4B709D"/>
    <w:multiLevelType w:val="hybridMultilevel"/>
    <w:tmpl w:val="6E30C048"/>
    <w:lvl w:ilvl="0" w:tplc="11764446">
      <w:start w:val="1"/>
      <w:numFmt w:val="decimal"/>
      <w:lvlText w:val="A.%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B83A14"/>
    <w:multiLevelType w:val="hybridMultilevel"/>
    <w:tmpl w:val="9AB0F65A"/>
    <w:lvl w:ilvl="0" w:tplc="B2588D84">
      <w:start w:val="1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69013E"/>
    <w:multiLevelType w:val="hybridMultilevel"/>
    <w:tmpl w:val="C3D2CD88"/>
    <w:lvl w:ilvl="0" w:tplc="C3449040">
      <w:start w:val="10"/>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D355FC"/>
    <w:multiLevelType w:val="hybridMultilevel"/>
    <w:tmpl w:val="C48EEC9E"/>
    <w:lvl w:ilvl="0" w:tplc="09BA9386">
      <w:start w:val="1"/>
      <w:numFmt w:val="decimal"/>
      <w:lvlText w:val="C.%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F019A5"/>
    <w:multiLevelType w:val="hybridMultilevel"/>
    <w:tmpl w:val="599A00CA"/>
    <w:lvl w:ilvl="0" w:tplc="E7623996">
      <w:start w:val="1"/>
      <w:numFmt w:val="decimal"/>
      <w:lvlText w:val="G.%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2452D1"/>
    <w:multiLevelType w:val="hybridMultilevel"/>
    <w:tmpl w:val="F12A5BE4"/>
    <w:lvl w:ilvl="0" w:tplc="65FAAC30">
      <w:start w:val="1"/>
      <w:numFmt w:val="decimal"/>
      <w:lvlText w:val="B.%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410575"/>
    <w:multiLevelType w:val="hybridMultilevel"/>
    <w:tmpl w:val="158E4E52"/>
    <w:lvl w:ilvl="0" w:tplc="7456613A">
      <w:start w:val="10"/>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7C49A1"/>
    <w:multiLevelType w:val="hybridMultilevel"/>
    <w:tmpl w:val="1B980DF8"/>
    <w:lvl w:ilvl="0" w:tplc="5992B6F6">
      <w:start w:val="1"/>
      <w:numFmt w:val="decimal"/>
      <w:lvlText w:val="I.%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3349EE"/>
    <w:multiLevelType w:val="hybridMultilevel"/>
    <w:tmpl w:val="E546718A"/>
    <w:lvl w:ilvl="0" w:tplc="22520B5A">
      <w:start w:val="16"/>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B836A6"/>
    <w:multiLevelType w:val="hybridMultilevel"/>
    <w:tmpl w:val="B4EEABFA"/>
    <w:lvl w:ilvl="0" w:tplc="DAFED618">
      <w:start w:val="1"/>
      <w:numFmt w:val="decimal"/>
      <w:lvlText w:val="J.%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7F154F"/>
    <w:multiLevelType w:val="hybridMultilevel"/>
    <w:tmpl w:val="DDAEF3E4"/>
    <w:lvl w:ilvl="0" w:tplc="11764446">
      <w:start w:val="1"/>
      <w:numFmt w:val="decimal"/>
      <w:lvlText w:val="A.%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A1700D"/>
    <w:multiLevelType w:val="hybridMultilevel"/>
    <w:tmpl w:val="8C5C2674"/>
    <w:lvl w:ilvl="0" w:tplc="B0B22620">
      <w:start w:val="1"/>
      <w:numFmt w:val="decimal"/>
      <w:lvlText w:val="%1."/>
      <w:lvlJc w:val="left"/>
      <w:pPr>
        <w:ind w:left="720" w:hanging="360"/>
      </w:pPr>
      <w:rPr>
        <w:rFonts w:hint="default"/>
        <w:color w:val="auto"/>
        <w:sz w:val="28"/>
        <w:szCs w:val="2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FB7239"/>
    <w:multiLevelType w:val="hybridMultilevel"/>
    <w:tmpl w:val="C164AFA0"/>
    <w:lvl w:ilvl="0" w:tplc="9A40F514">
      <w:start w:val="1"/>
      <w:numFmt w:val="decimal"/>
      <w:lvlText w:val="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492C48"/>
    <w:multiLevelType w:val="hybridMultilevel"/>
    <w:tmpl w:val="184C89BE"/>
    <w:lvl w:ilvl="0" w:tplc="E822EFD2">
      <w:start w:val="1"/>
      <w:numFmt w:val="decimal"/>
      <w:lvlText w:val="D.%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6A21BE"/>
    <w:multiLevelType w:val="hybridMultilevel"/>
    <w:tmpl w:val="1F6CB758"/>
    <w:lvl w:ilvl="0" w:tplc="E822EFD2">
      <w:start w:val="1"/>
      <w:numFmt w:val="decimal"/>
      <w:lvlText w:val="D.%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841FDF"/>
    <w:multiLevelType w:val="hybridMultilevel"/>
    <w:tmpl w:val="90E05366"/>
    <w:lvl w:ilvl="0" w:tplc="5992B6F6">
      <w:start w:val="1"/>
      <w:numFmt w:val="decimal"/>
      <w:lvlText w:val="I.%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297661"/>
    <w:multiLevelType w:val="hybridMultilevel"/>
    <w:tmpl w:val="62CCA268"/>
    <w:lvl w:ilvl="0" w:tplc="E7623996">
      <w:start w:val="1"/>
      <w:numFmt w:val="decimal"/>
      <w:lvlText w:val="G.%1."/>
      <w:lvlJc w:val="left"/>
      <w:pPr>
        <w:ind w:left="864" w:hanging="504"/>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157CDB"/>
    <w:multiLevelType w:val="hybridMultilevel"/>
    <w:tmpl w:val="85C69456"/>
    <w:lvl w:ilvl="0" w:tplc="DAFED618">
      <w:start w:val="1"/>
      <w:numFmt w:val="decimal"/>
      <w:lvlText w:val="J.%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201395"/>
    <w:multiLevelType w:val="hybridMultilevel"/>
    <w:tmpl w:val="1F6CB758"/>
    <w:lvl w:ilvl="0" w:tplc="E822EFD2">
      <w:start w:val="1"/>
      <w:numFmt w:val="decimal"/>
      <w:lvlText w:val="D.%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84097A"/>
    <w:multiLevelType w:val="hybridMultilevel"/>
    <w:tmpl w:val="4D60CBFC"/>
    <w:lvl w:ilvl="0" w:tplc="9A40F514">
      <w:start w:val="1"/>
      <w:numFmt w:val="decimal"/>
      <w:lvlText w:val="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F652B8"/>
    <w:multiLevelType w:val="hybridMultilevel"/>
    <w:tmpl w:val="8E4EE688"/>
    <w:lvl w:ilvl="0" w:tplc="E0245826">
      <w:start w:val="1"/>
      <w:numFmt w:val="decimal"/>
      <w:lvlText w:val="E.%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6C6CC3"/>
    <w:multiLevelType w:val="hybridMultilevel"/>
    <w:tmpl w:val="F7CE4D0A"/>
    <w:lvl w:ilvl="0" w:tplc="65FAAC30">
      <w:start w:val="1"/>
      <w:numFmt w:val="decimal"/>
      <w:lvlText w:val="B.%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6E4B13"/>
    <w:multiLevelType w:val="hybridMultilevel"/>
    <w:tmpl w:val="F1A8524E"/>
    <w:lvl w:ilvl="0" w:tplc="E7623996">
      <w:start w:val="1"/>
      <w:numFmt w:val="decimal"/>
      <w:lvlText w:val="G.%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6" w15:restartNumberingAfterBreak="0">
    <w:nsid w:val="7D1E3099"/>
    <w:multiLevelType w:val="hybridMultilevel"/>
    <w:tmpl w:val="3C4471AA"/>
    <w:lvl w:ilvl="0" w:tplc="A24A992E">
      <w:start w:val="13"/>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7720D8"/>
    <w:multiLevelType w:val="hybridMultilevel"/>
    <w:tmpl w:val="58E017A4"/>
    <w:lvl w:ilvl="0" w:tplc="E7623996">
      <w:start w:val="1"/>
      <w:numFmt w:val="decimal"/>
      <w:lvlText w:val="G.%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7E694C"/>
    <w:multiLevelType w:val="hybridMultilevel"/>
    <w:tmpl w:val="D2AC8B7E"/>
    <w:lvl w:ilvl="0" w:tplc="11764446">
      <w:start w:val="1"/>
      <w:numFmt w:val="decimal"/>
      <w:lvlText w:val="A.%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3"/>
  </w:num>
  <w:num w:numId="3">
    <w:abstractNumId w:val="16"/>
  </w:num>
  <w:num w:numId="4">
    <w:abstractNumId w:val="34"/>
  </w:num>
  <w:num w:numId="5">
    <w:abstractNumId w:val="26"/>
  </w:num>
  <w:num w:numId="6">
    <w:abstractNumId w:val="33"/>
  </w:num>
  <w:num w:numId="7">
    <w:abstractNumId w:val="2"/>
  </w:num>
  <w:num w:numId="8">
    <w:abstractNumId w:val="29"/>
  </w:num>
  <w:num w:numId="9">
    <w:abstractNumId w:val="20"/>
  </w:num>
  <w:num w:numId="10">
    <w:abstractNumId w:val="30"/>
  </w:num>
  <w:num w:numId="11">
    <w:abstractNumId w:val="7"/>
  </w:num>
  <w:num w:numId="12">
    <w:abstractNumId w:val="32"/>
  </w:num>
  <w:num w:numId="13">
    <w:abstractNumId w:val="11"/>
  </w:num>
  <w:num w:numId="14">
    <w:abstractNumId w:val="8"/>
  </w:num>
  <w:num w:numId="15">
    <w:abstractNumId w:val="4"/>
  </w:num>
  <w:num w:numId="16">
    <w:abstractNumId w:val="12"/>
  </w:num>
  <w:num w:numId="17">
    <w:abstractNumId w:val="15"/>
  </w:num>
  <w:num w:numId="18">
    <w:abstractNumId w:val="21"/>
  </w:num>
  <w:num w:numId="19">
    <w:abstractNumId w:val="10"/>
  </w:num>
  <w:num w:numId="20">
    <w:abstractNumId w:val="22"/>
  </w:num>
  <w:num w:numId="21">
    <w:abstractNumId w:val="25"/>
  </w:num>
  <w:num w:numId="22">
    <w:abstractNumId w:val="5"/>
  </w:num>
  <w:num w:numId="23">
    <w:abstractNumId w:val="38"/>
  </w:num>
  <w:num w:numId="24">
    <w:abstractNumId w:val="35"/>
  </w:num>
  <w:num w:numId="25">
    <w:abstractNumId w:val="17"/>
  </w:num>
  <w:num w:numId="26">
    <w:abstractNumId w:val="0"/>
  </w:num>
  <w:num w:numId="27">
    <w:abstractNumId w:val="19"/>
  </w:num>
  <w:num w:numId="28">
    <w:abstractNumId w:val="14"/>
  </w:num>
  <w:num w:numId="29">
    <w:abstractNumId w:val="37"/>
  </w:num>
  <w:num w:numId="30">
    <w:abstractNumId w:val="3"/>
  </w:num>
  <w:num w:numId="31">
    <w:abstractNumId w:val="31"/>
  </w:num>
  <w:num w:numId="32">
    <w:abstractNumId w:val="9"/>
  </w:num>
  <w:num w:numId="33">
    <w:abstractNumId w:val="1"/>
  </w:num>
  <w:num w:numId="34">
    <w:abstractNumId w:val="36"/>
  </w:num>
  <w:num w:numId="35">
    <w:abstractNumId w:val="18"/>
  </w:num>
  <w:num w:numId="36">
    <w:abstractNumId w:val="6"/>
  </w:num>
  <w:num w:numId="37">
    <w:abstractNumId w:val="28"/>
  </w:num>
  <w:num w:numId="38">
    <w:abstractNumId w:val="27"/>
  </w:num>
  <w:num w:numId="39">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708"/>
    <w:rsid w:val="000003D1"/>
    <w:rsid w:val="00002AB8"/>
    <w:rsid w:val="00004BB1"/>
    <w:rsid w:val="00020CD9"/>
    <w:rsid w:val="00023193"/>
    <w:rsid w:val="00051AF7"/>
    <w:rsid w:val="00061D11"/>
    <w:rsid w:val="00067238"/>
    <w:rsid w:val="00067BA1"/>
    <w:rsid w:val="000805A7"/>
    <w:rsid w:val="00082C6F"/>
    <w:rsid w:val="0009227E"/>
    <w:rsid w:val="000974BF"/>
    <w:rsid w:val="000A6B3D"/>
    <w:rsid w:val="000C1ED5"/>
    <w:rsid w:val="000C6D16"/>
    <w:rsid w:val="000D3E7A"/>
    <w:rsid w:val="000E0B5F"/>
    <w:rsid w:val="000E0CC1"/>
    <w:rsid w:val="000E0D45"/>
    <w:rsid w:val="000E2ABF"/>
    <w:rsid w:val="000E390D"/>
    <w:rsid w:val="000E5E9F"/>
    <w:rsid w:val="00105D61"/>
    <w:rsid w:val="0011054D"/>
    <w:rsid w:val="00117FAA"/>
    <w:rsid w:val="0012164A"/>
    <w:rsid w:val="00127B07"/>
    <w:rsid w:val="00130065"/>
    <w:rsid w:val="00136650"/>
    <w:rsid w:val="001419C8"/>
    <w:rsid w:val="0014284D"/>
    <w:rsid w:val="00143CEC"/>
    <w:rsid w:val="0015092F"/>
    <w:rsid w:val="00154529"/>
    <w:rsid w:val="0017314D"/>
    <w:rsid w:val="00177732"/>
    <w:rsid w:val="001848CB"/>
    <w:rsid w:val="001A1313"/>
    <w:rsid w:val="001A315D"/>
    <w:rsid w:val="001A78F6"/>
    <w:rsid w:val="001C1148"/>
    <w:rsid w:val="001C3472"/>
    <w:rsid w:val="001E236E"/>
    <w:rsid w:val="002046A6"/>
    <w:rsid w:val="002049A2"/>
    <w:rsid w:val="0021206C"/>
    <w:rsid w:val="00216BF7"/>
    <w:rsid w:val="0023303E"/>
    <w:rsid w:val="00240CA1"/>
    <w:rsid w:val="00252FE2"/>
    <w:rsid w:val="00254B1D"/>
    <w:rsid w:val="002568DB"/>
    <w:rsid w:val="00257CB4"/>
    <w:rsid w:val="00274263"/>
    <w:rsid w:val="0027426C"/>
    <w:rsid w:val="00284129"/>
    <w:rsid w:val="00284534"/>
    <w:rsid w:val="002864A9"/>
    <w:rsid w:val="00291796"/>
    <w:rsid w:val="00293700"/>
    <w:rsid w:val="0029535F"/>
    <w:rsid w:val="00295492"/>
    <w:rsid w:val="00296E27"/>
    <w:rsid w:val="002A0429"/>
    <w:rsid w:val="002A083D"/>
    <w:rsid w:val="002A752C"/>
    <w:rsid w:val="002D525A"/>
    <w:rsid w:val="002D5C2A"/>
    <w:rsid w:val="002E0DA4"/>
    <w:rsid w:val="002E30F7"/>
    <w:rsid w:val="002E78C2"/>
    <w:rsid w:val="00313127"/>
    <w:rsid w:val="00320BF6"/>
    <w:rsid w:val="0032584E"/>
    <w:rsid w:val="0032722B"/>
    <w:rsid w:val="00334CB2"/>
    <w:rsid w:val="00341FCD"/>
    <w:rsid w:val="0034733E"/>
    <w:rsid w:val="00354F67"/>
    <w:rsid w:val="003572D6"/>
    <w:rsid w:val="003601C5"/>
    <w:rsid w:val="00370B0A"/>
    <w:rsid w:val="00383398"/>
    <w:rsid w:val="00392416"/>
    <w:rsid w:val="003970BC"/>
    <w:rsid w:val="00397BE0"/>
    <w:rsid w:val="003A11E6"/>
    <w:rsid w:val="003A7F7C"/>
    <w:rsid w:val="003B0184"/>
    <w:rsid w:val="003B657E"/>
    <w:rsid w:val="003C3620"/>
    <w:rsid w:val="003C4FC8"/>
    <w:rsid w:val="003C696E"/>
    <w:rsid w:val="003C7347"/>
    <w:rsid w:val="003D230E"/>
    <w:rsid w:val="003D61DF"/>
    <w:rsid w:val="003D7F7F"/>
    <w:rsid w:val="003E51DE"/>
    <w:rsid w:val="003F1708"/>
    <w:rsid w:val="003F5D4C"/>
    <w:rsid w:val="00400457"/>
    <w:rsid w:val="0040073C"/>
    <w:rsid w:val="00401012"/>
    <w:rsid w:val="0042170F"/>
    <w:rsid w:val="00421717"/>
    <w:rsid w:val="00437D0E"/>
    <w:rsid w:val="00441161"/>
    <w:rsid w:val="004438A1"/>
    <w:rsid w:val="0045254A"/>
    <w:rsid w:val="0046305C"/>
    <w:rsid w:val="004676D1"/>
    <w:rsid w:val="004A3B2D"/>
    <w:rsid w:val="004B3997"/>
    <w:rsid w:val="004C2751"/>
    <w:rsid w:val="004C542E"/>
    <w:rsid w:val="004C711C"/>
    <w:rsid w:val="004C72EE"/>
    <w:rsid w:val="004D2190"/>
    <w:rsid w:val="004D280F"/>
    <w:rsid w:val="004D5A50"/>
    <w:rsid w:val="004D7005"/>
    <w:rsid w:val="004D7693"/>
    <w:rsid w:val="004D7BB1"/>
    <w:rsid w:val="004E114F"/>
    <w:rsid w:val="004E1EA4"/>
    <w:rsid w:val="004E4AB3"/>
    <w:rsid w:val="005018E1"/>
    <w:rsid w:val="00511CA8"/>
    <w:rsid w:val="0052273C"/>
    <w:rsid w:val="00522C28"/>
    <w:rsid w:val="00524B59"/>
    <w:rsid w:val="00534DE1"/>
    <w:rsid w:val="005508BD"/>
    <w:rsid w:val="0056784B"/>
    <w:rsid w:val="00567ACA"/>
    <w:rsid w:val="00570DC3"/>
    <w:rsid w:val="00576453"/>
    <w:rsid w:val="005859B0"/>
    <w:rsid w:val="005B05EE"/>
    <w:rsid w:val="005B1CAF"/>
    <w:rsid w:val="005B6A82"/>
    <w:rsid w:val="005C63AE"/>
    <w:rsid w:val="005D67E3"/>
    <w:rsid w:val="00602E67"/>
    <w:rsid w:val="00605A50"/>
    <w:rsid w:val="00614028"/>
    <w:rsid w:val="006202CE"/>
    <w:rsid w:val="00623EE5"/>
    <w:rsid w:val="006447DA"/>
    <w:rsid w:val="00651284"/>
    <w:rsid w:val="00661D4D"/>
    <w:rsid w:val="00665270"/>
    <w:rsid w:val="00665717"/>
    <w:rsid w:val="00665718"/>
    <w:rsid w:val="00684AA6"/>
    <w:rsid w:val="00687A13"/>
    <w:rsid w:val="006A07EC"/>
    <w:rsid w:val="006A26D3"/>
    <w:rsid w:val="006A4D58"/>
    <w:rsid w:val="006A7960"/>
    <w:rsid w:val="006B0793"/>
    <w:rsid w:val="006B7329"/>
    <w:rsid w:val="006C0A33"/>
    <w:rsid w:val="006C1517"/>
    <w:rsid w:val="006C2E9D"/>
    <w:rsid w:val="006C55A6"/>
    <w:rsid w:val="006E105A"/>
    <w:rsid w:val="006E1937"/>
    <w:rsid w:val="006E6365"/>
    <w:rsid w:val="006E6D0C"/>
    <w:rsid w:val="006F62FA"/>
    <w:rsid w:val="00712B7A"/>
    <w:rsid w:val="00712CBB"/>
    <w:rsid w:val="00713777"/>
    <w:rsid w:val="00721DDB"/>
    <w:rsid w:val="007226C7"/>
    <w:rsid w:val="007252C4"/>
    <w:rsid w:val="00725E29"/>
    <w:rsid w:val="007325EB"/>
    <w:rsid w:val="00740465"/>
    <w:rsid w:val="00746D3F"/>
    <w:rsid w:val="00750A12"/>
    <w:rsid w:val="007531C5"/>
    <w:rsid w:val="007563E3"/>
    <w:rsid w:val="00775F5B"/>
    <w:rsid w:val="007906EE"/>
    <w:rsid w:val="007910BC"/>
    <w:rsid w:val="007921CA"/>
    <w:rsid w:val="00792B09"/>
    <w:rsid w:val="00793618"/>
    <w:rsid w:val="007A3AED"/>
    <w:rsid w:val="007C5DD9"/>
    <w:rsid w:val="007D1D99"/>
    <w:rsid w:val="007D34CA"/>
    <w:rsid w:val="007E06F1"/>
    <w:rsid w:val="007E3055"/>
    <w:rsid w:val="007E4AB4"/>
    <w:rsid w:val="007F2B8C"/>
    <w:rsid w:val="007F3E5A"/>
    <w:rsid w:val="007F541B"/>
    <w:rsid w:val="008005EB"/>
    <w:rsid w:val="0080283D"/>
    <w:rsid w:val="00807424"/>
    <w:rsid w:val="00810D70"/>
    <w:rsid w:val="008143E1"/>
    <w:rsid w:val="00823F28"/>
    <w:rsid w:val="0083113A"/>
    <w:rsid w:val="00831952"/>
    <w:rsid w:val="00837B37"/>
    <w:rsid w:val="00843F36"/>
    <w:rsid w:val="008605BF"/>
    <w:rsid w:val="00861904"/>
    <w:rsid w:val="008805B8"/>
    <w:rsid w:val="00892205"/>
    <w:rsid w:val="008A47B2"/>
    <w:rsid w:val="008A5E1F"/>
    <w:rsid w:val="008B6E89"/>
    <w:rsid w:val="008B71A0"/>
    <w:rsid w:val="008C59E8"/>
    <w:rsid w:val="008D70BC"/>
    <w:rsid w:val="008D7E09"/>
    <w:rsid w:val="008E0EBF"/>
    <w:rsid w:val="008E5E2B"/>
    <w:rsid w:val="008E5FAA"/>
    <w:rsid w:val="009161E4"/>
    <w:rsid w:val="00916CBB"/>
    <w:rsid w:val="00926838"/>
    <w:rsid w:val="009430EA"/>
    <w:rsid w:val="00957500"/>
    <w:rsid w:val="00967B5F"/>
    <w:rsid w:val="00971AC7"/>
    <w:rsid w:val="009742BD"/>
    <w:rsid w:val="0097487B"/>
    <w:rsid w:val="00974A1E"/>
    <w:rsid w:val="0097643F"/>
    <w:rsid w:val="009970A4"/>
    <w:rsid w:val="009B54B4"/>
    <w:rsid w:val="009C193E"/>
    <w:rsid w:val="009C4383"/>
    <w:rsid w:val="009C5A72"/>
    <w:rsid w:val="009C6440"/>
    <w:rsid w:val="009F3C18"/>
    <w:rsid w:val="009F416F"/>
    <w:rsid w:val="00A05160"/>
    <w:rsid w:val="00A14061"/>
    <w:rsid w:val="00A163C3"/>
    <w:rsid w:val="00A362F9"/>
    <w:rsid w:val="00A4495C"/>
    <w:rsid w:val="00A52486"/>
    <w:rsid w:val="00A56D6D"/>
    <w:rsid w:val="00A662AE"/>
    <w:rsid w:val="00A6743D"/>
    <w:rsid w:val="00A7126A"/>
    <w:rsid w:val="00A73119"/>
    <w:rsid w:val="00A75420"/>
    <w:rsid w:val="00A75C19"/>
    <w:rsid w:val="00A92923"/>
    <w:rsid w:val="00AB6D85"/>
    <w:rsid w:val="00AC1339"/>
    <w:rsid w:val="00AC413E"/>
    <w:rsid w:val="00AC6AF5"/>
    <w:rsid w:val="00AD0BC8"/>
    <w:rsid w:val="00AD6681"/>
    <w:rsid w:val="00AD7EC9"/>
    <w:rsid w:val="00AE4938"/>
    <w:rsid w:val="00AF6E33"/>
    <w:rsid w:val="00B02CD9"/>
    <w:rsid w:val="00B03A5A"/>
    <w:rsid w:val="00B103C5"/>
    <w:rsid w:val="00B13278"/>
    <w:rsid w:val="00B13DB9"/>
    <w:rsid w:val="00B203F0"/>
    <w:rsid w:val="00B21EC8"/>
    <w:rsid w:val="00B52A60"/>
    <w:rsid w:val="00B54A2D"/>
    <w:rsid w:val="00B55E2F"/>
    <w:rsid w:val="00B653AD"/>
    <w:rsid w:val="00B6580D"/>
    <w:rsid w:val="00B861A8"/>
    <w:rsid w:val="00B92D37"/>
    <w:rsid w:val="00B9553C"/>
    <w:rsid w:val="00BA356B"/>
    <w:rsid w:val="00BB79AD"/>
    <w:rsid w:val="00BC2A54"/>
    <w:rsid w:val="00BC2F16"/>
    <w:rsid w:val="00BC5752"/>
    <w:rsid w:val="00BC58AE"/>
    <w:rsid w:val="00BD2AE1"/>
    <w:rsid w:val="00BD674A"/>
    <w:rsid w:val="00BE1C69"/>
    <w:rsid w:val="00BE7601"/>
    <w:rsid w:val="00BE77D0"/>
    <w:rsid w:val="00C00616"/>
    <w:rsid w:val="00C02A1A"/>
    <w:rsid w:val="00C02C9F"/>
    <w:rsid w:val="00C05B46"/>
    <w:rsid w:val="00C0763C"/>
    <w:rsid w:val="00C246A1"/>
    <w:rsid w:val="00C30940"/>
    <w:rsid w:val="00C43F04"/>
    <w:rsid w:val="00C44241"/>
    <w:rsid w:val="00C531E1"/>
    <w:rsid w:val="00C55D43"/>
    <w:rsid w:val="00C60F5B"/>
    <w:rsid w:val="00C80C5D"/>
    <w:rsid w:val="00C8532A"/>
    <w:rsid w:val="00C862B2"/>
    <w:rsid w:val="00CB21E3"/>
    <w:rsid w:val="00CB55ED"/>
    <w:rsid w:val="00CC25BE"/>
    <w:rsid w:val="00CC624E"/>
    <w:rsid w:val="00CD1D56"/>
    <w:rsid w:val="00CD362C"/>
    <w:rsid w:val="00CE6F00"/>
    <w:rsid w:val="00CF4EE9"/>
    <w:rsid w:val="00CF535B"/>
    <w:rsid w:val="00D0452C"/>
    <w:rsid w:val="00D061FB"/>
    <w:rsid w:val="00D20430"/>
    <w:rsid w:val="00D3692A"/>
    <w:rsid w:val="00D50E63"/>
    <w:rsid w:val="00D51695"/>
    <w:rsid w:val="00D517CC"/>
    <w:rsid w:val="00D5390E"/>
    <w:rsid w:val="00D543B3"/>
    <w:rsid w:val="00D71C29"/>
    <w:rsid w:val="00D9039B"/>
    <w:rsid w:val="00D91900"/>
    <w:rsid w:val="00DA0B6B"/>
    <w:rsid w:val="00DB49C7"/>
    <w:rsid w:val="00DB5363"/>
    <w:rsid w:val="00DB7136"/>
    <w:rsid w:val="00DB7F0D"/>
    <w:rsid w:val="00DD406A"/>
    <w:rsid w:val="00DD762C"/>
    <w:rsid w:val="00DE2B81"/>
    <w:rsid w:val="00DF231E"/>
    <w:rsid w:val="00DF455E"/>
    <w:rsid w:val="00DF6360"/>
    <w:rsid w:val="00E10AF4"/>
    <w:rsid w:val="00E15DCE"/>
    <w:rsid w:val="00E24679"/>
    <w:rsid w:val="00E32F32"/>
    <w:rsid w:val="00E412E2"/>
    <w:rsid w:val="00E43274"/>
    <w:rsid w:val="00E44C4F"/>
    <w:rsid w:val="00E46DE8"/>
    <w:rsid w:val="00E56684"/>
    <w:rsid w:val="00E64655"/>
    <w:rsid w:val="00E764AE"/>
    <w:rsid w:val="00E86590"/>
    <w:rsid w:val="00E93641"/>
    <w:rsid w:val="00EA5E71"/>
    <w:rsid w:val="00EA6BEC"/>
    <w:rsid w:val="00EB6F75"/>
    <w:rsid w:val="00EC3218"/>
    <w:rsid w:val="00ED4566"/>
    <w:rsid w:val="00EE03C4"/>
    <w:rsid w:val="00F05762"/>
    <w:rsid w:val="00F15558"/>
    <w:rsid w:val="00F16500"/>
    <w:rsid w:val="00F204F3"/>
    <w:rsid w:val="00F27161"/>
    <w:rsid w:val="00F30208"/>
    <w:rsid w:val="00F31554"/>
    <w:rsid w:val="00F32F2A"/>
    <w:rsid w:val="00F44F0E"/>
    <w:rsid w:val="00F4786D"/>
    <w:rsid w:val="00F52EBF"/>
    <w:rsid w:val="00F54364"/>
    <w:rsid w:val="00F753A6"/>
    <w:rsid w:val="00F81565"/>
    <w:rsid w:val="00F85D68"/>
    <w:rsid w:val="00F90B41"/>
    <w:rsid w:val="00F934CD"/>
    <w:rsid w:val="00FA02B8"/>
    <w:rsid w:val="00FA27C5"/>
    <w:rsid w:val="00FA7629"/>
    <w:rsid w:val="00FB0E95"/>
    <w:rsid w:val="00FB30DC"/>
    <w:rsid w:val="00FC3775"/>
    <w:rsid w:val="00FC488A"/>
    <w:rsid w:val="00FC6089"/>
    <w:rsid w:val="00FD3CE5"/>
    <w:rsid w:val="00FF0B74"/>
    <w:rsid w:val="00FF5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17ADE"/>
  <w15:chartTrackingRefBased/>
  <w15:docId w15:val="{3148D9A4-A0FF-42FE-B4C7-81B3BC8CC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2D37"/>
    <w:pPr>
      <w:ind w:left="720"/>
      <w:contextualSpacing/>
    </w:pPr>
  </w:style>
  <w:style w:type="character" w:styleId="Hyperlink">
    <w:name w:val="Hyperlink"/>
    <w:basedOn w:val="DefaultParagraphFont"/>
    <w:uiPriority w:val="99"/>
    <w:unhideWhenUsed/>
    <w:rsid w:val="00EA5E71"/>
    <w:rPr>
      <w:color w:val="0000FF" w:themeColor="hyperlink"/>
      <w:u w:val="single"/>
    </w:rPr>
  </w:style>
  <w:style w:type="character" w:styleId="FollowedHyperlink">
    <w:name w:val="FollowedHyperlink"/>
    <w:basedOn w:val="DefaultParagraphFont"/>
    <w:uiPriority w:val="99"/>
    <w:semiHidden/>
    <w:unhideWhenUsed/>
    <w:rsid w:val="00EA5E71"/>
    <w:rPr>
      <w:color w:val="800080" w:themeColor="followedHyperlink"/>
      <w:u w:val="single"/>
    </w:rPr>
  </w:style>
  <w:style w:type="paragraph" w:styleId="Header">
    <w:name w:val="header"/>
    <w:basedOn w:val="Normal"/>
    <w:link w:val="HeaderChar"/>
    <w:uiPriority w:val="99"/>
    <w:unhideWhenUsed/>
    <w:rsid w:val="004D5A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5A50"/>
  </w:style>
  <w:style w:type="paragraph" w:styleId="Footer">
    <w:name w:val="footer"/>
    <w:basedOn w:val="Normal"/>
    <w:link w:val="FooterChar"/>
    <w:uiPriority w:val="99"/>
    <w:unhideWhenUsed/>
    <w:rsid w:val="004D5A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A50"/>
  </w:style>
  <w:style w:type="paragraph" w:styleId="BalloonText">
    <w:name w:val="Balloon Text"/>
    <w:basedOn w:val="Normal"/>
    <w:link w:val="BalloonTextChar"/>
    <w:uiPriority w:val="99"/>
    <w:semiHidden/>
    <w:unhideWhenUsed/>
    <w:rsid w:val="000E0D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0D45"/>
    <w:rPr>
      <w:rFonts w:ascii="Segoe UI" w:hAnsi="Segoe UI" w:cs="Segoe UI"/>
      <w:sz w:val="18"/>
      <w:szCs w:val="18"/>
    </w:rPr>
  </w:style>
  <w:style w:type="character" w:styleId="CommentReference">
    <w:name w:val="annotation reference"/>
    <w:basedOn w:val="DefaultParagraphFont"/>
    <w:uiPriority w:val="99"/>
    <w:semiHidden/>
    <w:unhideWhenUsed/>
    <w:rsid w:val="00082C6F"/>
    <w:rPr>
      <w:sz w:val="16"/>
      <w:szCs w:val="16"/>
    </w:rPr>
  </w:style>
  <w:style w:type="paragraph" w:styleId="CommentText">
    <w:name w:val="annotation text"/>
    <w:basedOn w:val="Normal"/>
    <w:link w:val="CommentTextChar"/>
    <w:uiPriority w:val="99"/>
    <w:semiHidden/>
    <w:unhideWhenUsed/>
    <w:rsid w:val="00082C6F"/>
    <w:pPr>
      <w:spacing w:line="240" w:lineRule="auto"/>
    </w:pPr>
    <w:rPr>
      <w:sz w:val="20"/>
      <w:szCs w:val="20"/>
    </w:rPr>
  </w:style>
  <w:style w:type="character" w:customStyle="1" w:styleId="CommentTextChar">
    <w:name w:val="Comment Text Char"/>
    <w:basedOn w:val="DefaultParagraphFont"/>
    <w:link w:val="CommentText"/>
    <w:uiPriority w:val="99"/>
    <w:semiHidden/>
    <w:rsid w:val="00082C6F"/>
    <w:rPr>
      <w:sz w:val="20"/>
      <w:szCs w:val="20"/>
    </w:rPr>
  </w:style>
  <w:style w:type="paragraph" w:styleId="CommentSubject">
    <w:name w:val="annotation subject"/>
    <w:basedOn w:val="CommentText"/>
    <w:next w:val="CommentText"/>
    <w:link w:val="CommentSubjectChar"/>
    <w:uiPriority w:val="99"/>
    <w:semiHidden/>
    <w:unhideWhenUsed/>
    <w:rsid w:val="00082C6F"/>
    <w:rPr>
      <w:b/>
      <w:bCs/>
    </w:rPr>
  </w:style>
  <w:style w:type="character" w:customStyle="1" w:styleId="CommentSubjectChar">
    <w:name w:val="Comment Subject Char"/>
    <w:basedOn w:val="CommentTextChar"/>
    <w:link w:val="CommentSubject"/>
    <w:uiPriority w:val="99"/>
    <w:semiHidden/>
    <w:rsid w:val="00082C6F"/>
    <w:rPr>
      <w:b/>
      <w:bCs/>
      <w:sz w:val="20"/>
      <w:szCs w:val="20"/>
    </w:rPr>
  </w:style>
  <w:style w:type="character" w:styleId="Mention">
    <w:name w:val="Mention"/>
    <w:basedOn w:val="DefaultParagraphFont"/>
    <w:uiPriority w:val="99"/>
    <w:semiHidden/>
    <w:unhideWhenUsed/>
    <w:rsid w:val="005859B0"/>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801243">
      <w:bodyDiv w:val="1"/>
      <w:marLeft w:val="0"/>
      <w:marRight w:val="0"/>
      <w:marTop w:val="0"/>
      <w:marBottom w:val="0"/>
      <w:divBdr>
        <w:top w:val="none" w:sz="0" w:space="0" w:color="auto"/>
        <w:left w:val="none" w:sz="0" w:space="0" w:color="auto"/>
        <w:bottom w:val="none" w:sz="0" w:space="0" w:color="auto"/>
        <w:right w:val="none" w:sz="0" w:space="0" w:color="auto"/>
      </w:divBdr>
    </w:div>
    <w:div w:id="434831738">
      <w:bodyDiv w:val="1"/>
      <w:marLeft w:val="0"/>
      <w:marRight w:val="0"/>
      <w:marTop w:val="0"/>
      <w:marBottom w:val="0"/>
      <w:divBdr>
        <w:top w:val="none" w:sz="0" w:space="0" w:color="auto"/>
        <w:left w:val="none" w:sz="0" w:space="0" w:color="auto"/>
        <w:bottom w:val="none" w:sz="0" w:space="0" w:color="auto"/>
        <w:right w:val="none" w:sz="0" w:space="0" w:color="auto"/>
      </w:divBdr>
    </w:div>
    <w:div w:id="436411171">
      <w:bodyDiv w:val="1"/>
      <w:marLeft w:val="0"/>
      <w:marRight w:val="0"/>
      <w:marTop w:val="0"/>
      <w:marBottom w:val="0"/>
      <w:divBdr>
        <w:top w:val="none" w:sz="0" w:space="0" w:color="auto"/>
        <w:left w:val="none" w:sz="0" w:space="0" w:color="auto"/>
        <w:bottom w:val="none" w:sz="0" w:space="0" w:color="auto"/>
        <w:right w:val="none" w:sz="0" w:space="0" w:color="auto"/>
      </w:divBdr>
    </w:div>
    <w:div w:id="510878492">
      <w:bodyDiv w:val="1"/>
      <w:marLeft w:val="0"/>
      <w:marRight w:val="0"/>
      <w:marTop w:val="0"/>
      <w:marBottom w:val="0"/>
      <w:divBdr>
        <w:top w:val="none" w:sz="0" w:space="0" w:color="auto"/>
        <w:left w:val="none" w:sz="0" w:space="0" w:color="auto"/>
        <w:bottom w:val="none" w:sz="0" w:space="0" w:color="auto"/>
        <w:right w:val="none" w:sz="0" w:space="0" w:color="auto"/>
      </w:divBdr>
    </w:div>
    <w:div w:id="611982926">
      <w:bodyDiv w:val="1"/>
      <w:marLeft w:val="0"/>
      <w:marRight w:val="0"/>
      <w:marTop w:val="0"/>
      <w:marBottom w:val="0"/>
      <w:divBdr>
        <w:top w:val="none" w:sz="0" w:space="0" w:color="auto"/>
        <w:left w:val="none" w:sz="0" w:space="0" w:color="auto"/>
        <w:bottom w:val="none" w:sz="0" w:space="0" w:color="auto"/>
        <w:right w:val="none" w:sz="0" w:space="0" w:color="auto"/>
      </w:divBdr>
    </w:div>
    <w:div w:id="1085416946">
      <w:bodyDiv w:val="1"/>
      <w:marLeft w:val="0"/>
      <w:marRight w:val="0"/>
      <w:marTop w:val="0"/>
      <w:marBottom w:val="0"/>
      <w:divBdr>
        <w:top w:val="none" w:sz="0" w:space="0" w:color="auto"/>
        <w:left w:val="none" w:sz="0" w:space="0" w:color="auto"/>
        <w:bottom w:val="none" w:sz="0" w:space="0" w:color="auto"/>
        <w:right w:val="none" w:sz="0" w:space="0" w:color="auto"/>
      </w:divBdr>
    </w:div>
    <w:div w:id="1519805681">
      <w:bodyDiv w:val="1"/>
      <w:marLeft w:val="0"/>
      <w:marRight w:val="0"/>
      <w:marTop w:val="0"/>
      <w:marBottom w:val="0"/>
      <w:divBdr>
        <w:top w:val="none" w:sz="0" w:space="0" w:color="auto"/>
        <w:left w:val="none" w:sz="0" w:space="0" w:color="auto"/>
        <w:bottom w:val="none" w:sz="0" w:space="0" w:color="auto"/>
        <w:right w:val="none" w:sz="0" w:space="0" w:color="auto"/>
      </w:divBdr>
    </w:div>
    <w:div w:id="1668829513">
      <w:bodyDiv w:val="1"/>
      <w:marLeft w:val="0"/>
      <w:marRight w:val="0"/>
      <w:marTop w:val="0"/>
      <w:marBottom w:val="0"/>
      <w:divBdr>
        <w:top w:val="none" w:sz="0" w:space="0" w:color="auto"/>
        <w:left w:val="none" w:sz="0" w:space="0" w:color="auto"/>
        <w:bottom w:val="none" w:sz="0" w:space="0" w:color="auto"/>
        <w:right w:val="none" w:sz="0" w:space="0" w:color="auto"/>
      </w:divBdr>
    </w:div>
    <w:div w:id="1947613165">
      <w:bodyDiv w:val="1"/>
      <w:marLeft w:val="0"/>
      <w:marRight w:val="0"/>
      <w:marTop w:val="0"/>
      <w:marBottom w:val="0"/>
      <w:divBdr>
        <w:top w:val="none" w:sz="0" w:space="0" w:color="auto"/>
        <w:left w:val="none" w:sz="0" w:space="0" w:color="auto"/>
        <w:bottom w:val="none" w:sz="0" w:space="0" w:color="auto"/>
        <w:right w:val="none" w:sz="0" w:space="0" w:color="auto"/>
      </w:divBdr>
    </w:div>
    <w:div w:id="1996489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B424F-D654-4E59-BC19-1C598FC18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835</TotalTime>
  <Pages>17</Pages>
  <Words>3424</Words>
  <Characters>19521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Fair, Carolyn</dc:creator>
  <cp:keywords/>
  <dc:description/>
  <cp:lastModifiedBy>Fair, Carolyn</cp:lastModifiedBy>
  <cp:revision>12</cp:revision>
  <cp:lastPrinted>2017-03-13T14:56:00Z</cp:lastPrinted>
  <dcterms:created xsi:type="dcterms:W3CDTF">2017-05-12T14:04:00Z</dcterms:created>
  <dcterms:modified xsi:type="dcterms:W3CDTF">2017-07-11T13:34:00Z</dcterms:modified>
</cp:coreProperties>
</file>