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45C" w:rsidRPr="0059552F" w:rsidRDefault="00CC445C" w:rsidP="00CC445C">
      <w:pPr>
        <w:contextualSpacing/>
        <w:jc w:val="left"/>
        <w:rPr>
          <w:rFonts w:cstheme="minorHAnsi"/>
          <w:b/>
          <w:sz w:val="24"/>
          <w:szCs w:val="24"/>
        </w:rPr>
      </w:pPr>
      <w:bookmarkStart w:id="0" w:name="_GoBack"/>
      <w:bookmarkEnd w:id="0"/>
      <w:r w:rsidRPr="0059552F">
        <w:rPr>
          <w:rFonts w:cstheme="minorHAnsi"/>
          <w:b/>
          <w:noProof/>
          <w:sz w:val="24"/>
          <w:szCs w:val="24"/>
        </w:rPr>
        <w:drawing>
          <wp:inline distT="0" distB="0" distL="0" distR="0" wp14:anchorId="643D8382" wp14:editId="26EAFF79">
            <wp:extent cx="3105934" cy="658190"/>
            <wp:effectExtent l="0" t="0" r="0" b="8890"/>
            <wp:docPr id="5" name="Picture 5" descr="C:\Users\jesshirley\AppData\Local\Microsoft\Windows\Temporary Internet Files\Content.Outlook\JFRZPV73\DEP left-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esshirley\AppData\Local\Microsoft\Windows\Temporary Internet Files\Content.Outlook\JFRZPV73\DEP left-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934" cy="658190"/>
                    </a:xfrm>
                    <a:prstGeom prst="rect">
                      <a:avLst/>
                    </a:prstGeom>
                    <a:noFill/>
                    <a:ln>
                      <a:noFill/>
                    </a:ln>
                  </pic:spPr>
                </pic:pic>
              </a:graphicData>
            </a:graphic>
          </wp:inline>
        </w:drawing>
      </w:r>
    </w:p>
    <w:p w:rsidR="00FD14AC" w:rsidRPr="0059552F" w:rsidRDefault="00FD14AC" w:rsidP="00E83EE7">
      <w:pPr>
        <w:contextualSpacing/>
        <w:rPr>
          <w:rFonts w:cstheme="minorHAnsi"/>
          <w:b/>
          <w:sz w:val="28"/>
          <w:szCs w:val="28"/>
        </w:rPr>
      </w:pPr>
    </w:p>
    <w:p w:rsidR="006B1D25" w:rsidRPr="0059552F" w:rsidRDefault="0062779E" w:rsidP="00E83EE7">
      <w:pPr>
        <w:contextualSpacing/>
        <w:rPr>
          <w:rFonts w:cstheme="minorHAnsi"/>
          <w:b/>
          <w:sz w:val="28"/>
          <w:szCs w:val="28"/>
        </w:rPr>
      </w:pPr>
      <w:r w:rsidRPr="0059552F">
        <w:rPr>
          <w:rFonts w:cstheme="minorHAnsi"/>
          <w:b/>
          <w:sz w:val="28"/>
          <w:szCs w:val="28"/>
        </w:rPr>
        <w:t xml:space="preserve">Proposed </w:t>
      </w:r>
      <w:r w:rsidR="00530DF3" w:rsidRPr="0059552F">
        <w:rPr>
          <w:rFonts w:cstheme="minorHAnsi"/>
          <w:b/>
          <w:sz w:val="28"/>
          <w:szCs w:val="28"/>
        </w:rPr>
        <w:t>Re</w:t>
      </w:r>
      <w:r w:rsidR="00E82DB6" w:rsidRPr="0059552F">
        <w:rPr>
          <w:rFonts w:cstheme="minorHAnsi"/>
          <w:b/>
          <w:sz w:val="28"/>
          <w:szCs w:val="28"/>
        </w:rPr>
        <w:t>gulation</w:t>
      </w:r>
      <w:r w:rsidR="00530DF3" w:rsidRPr="0059552F">
        <w:rPr>
          <w:rFonts w:cstheme="minorHAnsi"/>
          <w:b/>
          <w:sz w:val="28"/>
          <w:szCs w:val="28"/>
        </w:rPr>
        <w:t xml:space="preserve">s </w:t>
      </w:r>
      <w:r w:rsidR="00B634DA" w:rsidRPr="0059552F">
        <w:rPr>
          <w:rFonts w:cstheme="minorHAnsi"/>
          <w:b/>
          <w:sz w:val="28"/>
          <w:szCs w:val="28"/>
        </w:rPr>
        <w:t>for</w:t>
      </w:r>
      <w:r w:rsidR="008A73D5" w:rsidRPr="0059552F">
        <w:rPr>
          <w:rFonts w:cstheme="minorHAnsi"/>
          <w:b/>
          <w:sz w:val="28"/>
          <w:szCs w:val="28"/>
        </w:rPr>
        <w:t xml:space="preserve"> </w:t>
      </w:r>
      <w:r w:rsidR="006B1D25" w:rsidRPr="0059552F">
        <w:rPr>
          <w:rFonts w:cstheme="minorHAnsi"/>
          <w:b/>
          <w:sz w:val="28"/>
          <w:szCs w:val="28"/>
        </w:rPr>
        <w:t xml:space="preserve">Oil and Gas Surface </w:t>
      </w:r>
      <w:r w:rsidR="00530DF3" w:rsidRPr="0059552F">
        <w:rPr>
          <w:rFonts w:cstheme="minorHAnsi"/>
          <w:b/>
          <w:sz w:val="28"/>
          <w:szCs w:val="28"/>
        </w:rPr>
        <w:t>Activities</w:t>
      </w:r>
    </w:p>
    <w:p w:rsidR="006B1D25" w:rsidRPr="0059552F" w:rsidRDefault="00B634DA" w:rsidP="006B1D25">
      <w:pPr>
        <w:contextualSpacing/>
        <w:rPr>
          <w:rFonts w:cstheme="minorHAnsi"/>
          <w:b/>
          <w:sz w:val="24"/>
          <w:szCs w:val="24"/>
        </w:rPr>
      </w:pPr>
      <w:r w:rsidRPr="0059552F">
        <w:rPr>
          <w:rFonts w:cstheme="minorHAnsi"/>
          <w:b/>
          <w:sz w:val="24"/>
          <w:szCs w:val="24"/>
        </w:rPr>
        <w:t xml:space="preserve">(Amendments to </w:t>
      </w:r>
      <w:r w:rsidR="006B1D25" w:rsidRPr="0059552F">
        <w:rPr>
          <w:rFonts w:cstheme="minorHAnsi"/>
          <w:b/>
          <w:sz w:val="24"/>
          <w:szCs w:val="24"/>
        </w:rPr>
        <w:t>25 Pa</w:t>
      </w:r>
      <w:r w:rsidR="00530DF3" w:rsidRPr="0059552F">
        <w:rPr>
          <w:rFonts w:cstheme="minorHAnsi"/>
          <w:b/>
          <w:sz w:val="24"/>
          <w:szCs w:val="24"/>
        </w:rPr>
        <w:t>.</w:t>
      </w:r>
      <w:r w:rsidR="006B1D25" w:rsidRPr="0059552F">
        <w:rPr>
          <w:rFonts w:cstheme="minorHAnsi"/>
          <w:b/>
          <w:sz w:val="24"/>
          <w:szCs w:val="24"/>
        </w:rPr>
        <w:t xml:space="preserve"> Code </w:t>
      </w:r>
      <w:proofErr w:type="gramStart"/>
      <w:r w:rsidR="006B1D25" w:rsidRPr="0059552F">
        <w:rPr>
          <w:rFonts w:cstheme="minorHAnsi"/>
          <w:b/>
          <w:sz w:val="24"/>
          <w:szCs w:val="24"/>
        </w:rPr>
        <w:t>Chapter</w:t>
      </w:r>
      <w:proofErr w:type="gramEnd"/>
      <w:r w:rsidR="006B1D25" w:rsidRPr="0059552F">
        <w:rPr>
          <w:rFonts w:cstheme="minorHAnsi"/>
          <w:b/>
          <w:sz w:val="24"/>
          <w:szCs w:val="24"/>
        </w:rPr>
        <w:t xml:space="preserve"> 78</w:t>
      </w:r>
      <w:r w:rsidR="00530DF3" w:rsidRPr="0059552F">
        <w:rPr>
          <w:rFonts w:cstheme="minorHAnsi"/>
          <w:b/>
          <w:sz w:val="24"/>
          <w:szCs w:val="24"/>
        </w:rPr>
        <w:t>,</w:t>
      </w:r>
      <w:r w:rsidR="006B1D25" w:rsidRPr="0059552F">
        <w:rPr>
          <w:rFonts w:cstheme="minorHAnsi"/>
          <w:b/>
          <w:sz w:val="24"/>
          <w:szCs w:val="24"/>
        </w:rPr>
        <w:t xml:space="preserve"> Subchapter C</w:t>
      </w:r>
      <w:r w:rsidRPr="0059552F">
        <w:rPr>
          <w:rFonts w:cstheme="minorHAnsi"/>
          <w:b/>
          <w:sz w:val="24"/>
          <w:szCs w:val="24"/>
        </w:rPr>
        <w:t>)</w:t>
      </w:r>
    </w:p>
    <w:p w:rsidR="00E4081B" w:rsidRPr="00E11120" w:rsidRDefault="00E4081B" w:rsidP="00E4081B">
      <w:pPr>
        <w:spacing w:line="240" w:lineRule="auto"/>
        <w:contextualSpacing/>
        <w:jc w:val="left"/>
        <w:rPr>
          <w:rFonts w:cstheme="minorHAnsi"/>
          <w:sz w:val="16"/>
          <w:szCs w:val="16"/>
        </w:rPr>
      </w:pPr>
    </w:p>
    <w:p w:rsidR="00D12FA8" w:rsidRPr="0059552F" w:rsidRDefault="00D12FA8" w:rsidP="00B40A41">
      <w:pPr>
        <w:spacing w:line="240" w:lineRule="auto"/>
        <w:contextualSpacing/>
        <w:jc w:val="both"/>
        <w:rPr>
          <w:rFonts w:cstheme="minorHAnsi"/>
          <w:sz w:val="24"/>
          <w:szCs w:val="24"/>
        </w:rPr>
      </w:pPr>
      <w:r w:rsidRPr="0059552F">
        <w:rPr>
          <w:rFonts w:cstheme="minorHAnsi"/>
          <w:sz w:val="24"/>
          <w:szCs w:val="24"/>
        </w:rPr>
        <w:t>In 2012, Governor Corbett signed the 2012 Oil and Gas A</w:t>
      </w:r>
      <w:r w:rsidR="00E82DB6" w:rsidRPr="0059552F">
        <w:rPr>
          <w:rFonts w:cstheme="minorHAnsi"/>
          <w:sz w:val="24"/>
          <w:szCs w:val="24"/>
        </w:rPr>
        <w:t xml:space="preserve">ct (Chapter 32, Act 13 of 2012), which </w:t>
      </w:r>
      <w:r w:rsidRPr="0059552F">
        <w:rPr>
          <w:rFonts w:cstheme="minorHAnsi"/>
          <w:sz w:val="24"/>
          <w:szCs w:val="24"/>
        </w:rPr>
        <w:t>significantly revised Pennsylvania’s oil and gas laws to address unconven</w:t>
      </w:r>
      <w:r w:rsidR="00E11120">
        <w:rPr>
          <w:rFonts w:cstheme="minorHAnsi"/>
          <w:sz w:val="24"/>
          <w:szCs w:val="24"/>
        </w:rPr>
        <w:t>tional well development in the c</w:t>
      </w:r>
      <w:r w:rsidRPr="0059552F">
        <w:rPr>
          <w:rFonts w:cstheme="minorHAnsi"/>
          <w:sz w:val="24"/>
          <w:szCs w:val="24"/>
        </w:rPr>
        <w:t>ommonwealth.</w:t>
      </w:r>
      <w:r w:rsidR="00E82DB6" w:rsidRPr="0059552F">
        <w:rPr>
          <w:rFonts w:cstheme="minorHAnsi"/>
          <w:sz w:val="24"/>
          <w:szCs w:val="24"/>
        </w:rPr>
        <w:t xml:space="preserve"> Unconventional well development includes gas extracted from the Marcellus and Utica Shale formations.</w:t>
      </w:r>
      <w:r w:rsidRPr="0059552F">
        <w:rPr>
          <w:rFonts w:cstheme="minorHAnsi"/>
          <w:sz w:val="24"/>
          <w:szCs w:val="24"/>
        </w:rPr>
        <w:t xml:space="preserve"> The purpose of the law </w:t>
      </w:r>
      <w:r w:rsidR="00181234" w:rsidRPr="0059552F">
        <w:rPr>
          <w:rFonts w:cstheme="minorHAnsi"/>
          <w:sz w:val="24"/>
          <w:szCs w:val="24"/>
        </w:rPr>
        <w:t>wa</w:t>
      </w:r>
      <w:r w:rsidRPr="0059552F">
        <w:rPr>
          <w:rFonts w:cstheme="minorHAnsi"/>
          <w:sz w:val="24"/>
          <w:szCs w:val="24"/>
        </w:rPr>
        <w:t>s to ensure the safe and responsible devel</w:t>
      </w:r>
      <w:r w:rsidR="00181234" w:rsidRPr="0059552F">
        <w:rPr>
          <w:rFonts w:cstheme="minorHAnsi"/>
          <w:sz w:val="24"/>
          <w:szCs w:val="24"/>
        </w:rPr>
        <w:t>opment of oil and gas resources, and it</w:t>
      </w:r>
      <w:r w:rsidRPr="0059552F">
        <w:rPr>
          <w:rFonts w:cstheme="minorHAnsi"/>
          <w:sz w:val="24"/>
          <w:szCs w:val="24"/>
        </w:rPr>
        <w:t xml:space="preserve"> included many new environmental safeguards</w:t>
      </w:r>
      <w:r w:rsidR="00181234" w:rsidRPr="0059552F">
        <w:rPr>
          <w:rFonts w:cstheme="minorHAnsi"/>
          <w:sz w:val="24"/>
          <w:szCs w:val="24"/>
        </w:rPr>
        <w:t>. It also</w:t>
      </w:r>
      <w:r w:rsidRPr="0059552F">
        <w:rPr>
          <w:rFonts w:cstheme="minorHAnsi"/>
          <w:sz w:val="24"/>
          <w:szCs w:val="24"/>
        </w:rPr>
        <w:t xml:space="preserve"> directed </w:t>
      </w:r>
      <w:r w:rsidR="00C54F80" w:rsidRPr="0059552F">
        <w:rPr>
          <w:rFonts w:cstheme="minorHAnsi"/>
          <w:sz w:val="24"/>
          <w:szCs w:val="24"/>
        </w:rPr>
        <w:t>the Environmental Quality Board (EQB)</w:t>
      </w:r>
      <w:r w:rsidRPr="0059552F">
        <w:rPr>
          <w:rFonts w:cstheme="minorHAnsi"/>
          <w:sz w:val="24"/>
          <w:szCs w:val="24"/>
        </w:rPr>
        <w:t xml:space="preserve"> to </w:t>
      </w:r>
      <w:r w:rsidR="00705AF7" w:rsidRPr="0059552F">
        <w:rPr>
          <w:rFonts w:cstheme="minorHAnsi"/>
          <w:sz w:val="24"/>
          <w:szCs w:val="24"/>
        </w:rPr>
        <w:t>adopt</w:t>
      </w:r>
      <w:r w:rsidRPr="0059552F">
        <w:rPr>
          <w:rFonts w:cstheme="minorHAnsi"/>
          <w:sz w:val="24"/>
          <w:szCs w:val="24"/>
        </w:rPr>
        <w:t xml:space="preserve"> new rules for certain activities at well sites.</w:t>
      </w:r>
      <w:r w:rsidR="00E11120">
        <w:rPr>
          <w:rFonts w:cstheme="minorHAnsi"/>
          <w:sz w:val="24"/>
          <w:szCs w:val="24"/>
        </w:rPr>
        <w:t xml:space="preserve"> </w:t>
      </w:r>
      <w:r w:rsidRPr="0059552F">
        <w:rPr>
          <w:rFonts w:cstheme="minorHAnsi"/>
          <w:sz w:val="24"/>
          <w:szCs w:val="24"/>
        </w:rPr>
        <w:t xml:space="preserve"> </w:t>
      </w:r>
    </w:p>
    <w:p w:rsidR="00D12FA8" w:rsidRPr="002E4F5B" w:rsidRDefault="00D12FA8" w:rsidP="00B40A41">
      <w:pPr>
        <w:spacing w:line="240" w:lineRule="auto"/>
        <w:contextualSpacing/>
        <w:jc w:val="both"/>
        <w:rPr>
          <w:rFonts w:cstheme="minorHAnsi"/>
          <w:sz w:val="16"/>
          <w:szCs w:val="16"/>
        </w:rPr>
      </w:pPr>
    </w:p>
    <w:p w:rsidR="006D4DF3" w:rsidRPr="0059552F" w:rsidRDefault="00D12FA8" w:rsidP="00B40A41">
      <w:pPr>
        <w:spacing w:line="240" w:lineRule="auto"/>
        <w:contextualSpacing/>
        <w:jc w:val="both"/>
        <w:rPr>
          <w:rFonts w:cstheme="minorHAnsi"/>
          <w:sz w:val="24"/>
          <w:szCs w:val="24"/>
        </w:rPr>
      </w:pPr>
      <w:r w:rsidRPr="0059552F">
        <w:rPr>
          <w:rFonts w:cstheme="minorHAnsi"/>
          <w:sz w:val="24"/>
          <w:szCs w:val="24"/>
        </w:rPr>
        <w:t>Additionally, since 2008, the oil and gas industry has developed new practices to extract nat</w:t>
      </w:r>
      <w:r w:rsidR="00E11120">
        <w:rPr>
          <w:rFonts w:cstheme="minorHAnsi"/>
          <w:sz w:val="24"/>
          <w:szCs w:val="24"/>
        </w:rPr>
        <w:t>ural gas from shale formations.</w:t>
      </w:r>
      <w:r w:rsidRPr="0059552F">
        <w:rPr>
          <w:rFonts w:cstheme="minorHAnsi"/>
          <w:sz w:val="24"/>
          <w:szCs w:val="24"/>
        </w:rPr>
        <w:t xml:space="preserve"> These new practices require </w:t>
      </w:r>
      <w:r w:rsidR="00E82DB6" w:rsidRPr="0059552F">
        <w:rPr>
          <w:rFonts w:cstheme="minorHAnsi"/>
          <w:sz w:val="24"/>
          <w:szCs w:val="24"/>
        </w:rPr>
        <w:t>additional</w:t>
      </w:r>
      <w:r w:rsidRPr="0059552F">
        <w:rPr>
          <w:rFonts w:cstheme="minorHAnsi"/>
          <w:sz w:val="24"/>
          <w:szCs w:val="24"/>
        </w:rPr>
        <w:t xml:space="preserve"> oversight </w:t>
      </w:r>
      <w:r w:rsidR="00E82DB6" w:rsidRPr="0059552F">
        <w:rPr>
          <w:rFonts w:cstheme="minorHAnsi"/>
          <w:sz w:val="24"/>
          <w:szCs w:val="24"/>
        </w:rPr>
        <w:t>of</w:t>
      </w:r>
      <w:r w:rsidRPr="0059552F">
        <w:rPr>
          <w:rFonts w:cstheme="minorHAnsi"/>
          <w:sz w:val="24"/>
          <w:szCs w:val="24"/>
        </w:rPr>
        <w:t xml:space="preserve"> app</w:t>
      </w:r>
      <w:r w:rsidR="00E11120">
        <w:rPr>
          <w:rFonts w:cstheme="minorHAnsi"/>
          <w:sz w:val="24"/>
          <w:szCs w:val="24"/>
        </w:rPr>
        <w:t>licable standards and controls.</w:t>
      </w:r>
      <w:r w:rsidRPr="0059552F">
        <w:rPr>
          <w:rFonts w:cstheme="minorHAnsi"/>
          <w:sz w:val="24"/>
          <w:szCs w:val="24"/>
        </w:rPr>
        <w:t xml:space="preserve"> For these reasons, new </w:t>
      </w:r>
      <w:r w:rsidR="00705AF7" w:rsidRPr="0059552F">
        <w:rPr>
          <w:rFonts w:cstheme="minorHAnsi"/>
          <w:sz w:val="24"/>
          <w:szCs w:val="24"/>
        </w:rPr>
        <w:t>regulations</w:t>
      </w:r>
      <w:r w:rsidR="00E11120">
        <w:rPr>
          <w:rFonts w:cstheme="minorHAnsi"/>
          <w:sz w:val="24"/>
          <w:szCs w:val="24"/>
        </w:rPr>
        <w:t xml:space="preserve"> are needed to ensure that the c</w:t>
      </w:r>
      <w:r w:rsidRPr="0059552F">
        <w:rPr>
          <w:rFonts w:cstheme="minorHAnsi"/>
          <w:sz w:val="24"/>
          <w:szCs w:val="24"/>
        </w:rPr>
        <w:t>ommonwealth</w:t>
      </w:r>
      <w:r w:rsidR="00C54F80" w:rsidRPr="0059552F">
        <w:rPr>
          <w:rFonts w:cstheme="minorHAnsi"/>
          <w:sz w:val="24"/>
          <w:szCs w:val="24"/>
        </w:rPr>
        <w:t>’s</w:t>
      </w:r>
      <w:r w:rsidRPr="0059552F">
        <w:rPr>
          <w:rFonts w:cstheme="minorHAnsi"/>
          <w:sz w:val="24"/>
          <w:szCs w:val="24"/>
        </w:rPr>
        <w:t xml:space="preserve"> oil and gas resources are developed safely, responsibly and in an environmental</w:t>
      </w:r>
      <w:r w:rsidR="00E82DB6" w:rsidRPr="0059552F">
        <w:rPr>
          <w:rFonts w:cstheme="minorHAnsi"/>
          <w:sz w:val="24"/>
          <w:szCs w:val="24"/>
        </w:rPr>
        <w:t>ly</w:t>
      </w:r>
      <w:r w:rsidRPr="0059552F">
        <w:rPr>
          <w:rFonts w:cstheme="minorHAnsi"/>
          <w:sz w:val="24"/>
          <w:szCs w:val="24"/>
        </w:rPr>
        <w:t xml:space="preserve"> protective manner.</w:t>
      </w:r>
      <w:r w:rsidR="00E11120">
        <w:rPr>
          <w:rFonts w:cstheme="minorHAnsi"/>
          <w:sz w:val="24"/>
          <w:szCs w:val="24"/>
        </w:rPr>
        <w:t xml:space="preserve"> </w:t>
      </w:r>
      <w:r w:rsidR="00181234" w:rsidRPr="0059552F">
        <w:rPr>
          <w:rFonts w:cstheme="minorHAnsi"/>
          <w:sz w:val="24"/>
          <w:szCs w:val="24"/>
        </w:rPr>
        <w:t>As a result, this proposed r</w:t>
      </w:r>
      <w:r w:rsidR="00CA129D" w:rsidRPr="0059552F">
        <w:rPr>
          <w:rFonts w:cstheme="minorHAnsi"/>
          <w:sz w:val="24"/>
          <w:szCs w:val="24"/>
        </w:rPr>
        <w:t>ulemaking</w:t>
      </w:r>
      <w:r w:rsidR="007C28FB" w:rsidRPr="0059552F">
        <w:rPr>
          <w:rFonts w:cstheme="minorHAnsi"/>
          <w:sz w:val="24"/>
          <w:szCs w:val="24"/>
        </w:rPr>
        <w:t xml:space="preserve"> related to oil and gas surface activities has been developed </w:t>
      </w:r>
      <w:r w:rsidR="00E82DB6" w:rsidRPr="0059552F">
        <w:rPr>
          <w:rFonts w:cstheme="minorHAnsi"/>
          <w:sz w:val="24"/>
          <w:szCs w:val="24"/>
        </w:rPr>
        <w:t xml:space="preserve">by DEP </w:t>
      </w:r>
      <w:r w:rsidR="007C28FB" w:rsidRPr="0059552F">
        <w:rPr>
          <w:rFonts w:cstheme="minorHAnsi"/>
          <w:sz w:val="24"/>
          <w:szCs w:val="24"/>
        </w:rPr>
        <w:t xml:space="preserve">and </w:t>
      </w:r>
      <w:r w:rsidR="00E82DB6" w:rsidRPr="0059552F">
        <w:rPr>
          <w:rFonts w:cstheme="minorHAnsi"/>
          <w:sz w:val="24"/>
          <w:szCs w:val="24"/>
        </w:rPr>
        <w:t>adopt</w:t>
      </w:r>
      <w:r w:rsidR="007C28FB" w:rsidRPr="0059552F">
        <w:rPr>
          <w:rFonts w:cstheme="minorHAnsi"/>
          <w:sz w:val="24"/>
          <w:szCs w:val="24"/>
        </w:rPr>
        <w:t>ed by the EQB</w:t>
      </w:r>
      <w:r w:rsidR="00E11120">
        <w:rPr>
          <w:rFonts w:cstheme="minorHAnsi"/>
          <w:sz w:val="24"/>
          <w:szCs w:val="24"/>
        </w:rPr>
        <w:t xml:space="preserve"> on Aug.</w:t>
      </w:r>
      <w:r w:rsidR="00F353E7" w:rsidRPr="0059552F">
        <w:rPr>
          <w:rFonts w:cstheme="minorHAnsi"/>
          <w:sz w:val="24"/>
          <w:szCs w:val="24"/>
        </w:rPr>
        <w:t xml:space="preserve"> 27, 2013</w:t>
      </w:r>
      <w:r w:rsidR="007C28FB" w:rsidRPr="0059552F">
        <w:rPr>
          <w:rFonts w:cstheme="minorHAnsi"/>
          <w:sz w:val="24"/>
          <w:szCs w:val="24"/>
        </w:rPr>
        <w:t>.</w:t>
      </w:r>
      <w:r w:rsidR="00181234" w:rsidRPr="0059552F">
        <w:rPr>
          <w:rFonts w:cstheme="minorHAnsi"/>
          <w:sz w:val="24"/>
          <w:szCs w:val="24"/>
        </w:rPr>
        <w:t xml:space="preserve"> </w:t>
      </w:r>
    </w:p>
    <w:p w:rsidR="006D4DF3" w:rsidRPr="002E4F5B" w:rsidRDefault="006D4DF3" w:rsidP="00B40A41">
      <w:pPr>
        <w:spacing w:line="240" w:lineRule="auto"/>
        <w:contextualSpacing/>
        <w:jc w:val="both"/>
        <w:rPr>
          <w:rFonts w:cstheme="minorHAnsi"/>
          <w:sz w:val="16"/>
          <w:szCs w:val="16"/>
        </w:rPr>
      </w:pPr>
    </w:p>
    <w:p w:rsidR="006D4DF3" w:rsidRPr="0059552F" w:rsidRDefault="006D4DF3" w:rsidP="00B40A41">
      <w:pPr>
        <w:spacing w:after="0" w:line="240" w:lineRule="auto"/>
        <w:contextualSpacing/>
        <w:jc w:val="both"/>
        <w:rPr>
          <w:rFonts w:cstheme="minorHAnsi"/>
          <w:sz w:val="24"/>
          <w:szCs w:val="24"/>
        </w:rPr>
      </w:pPr>
      <w:r w:rsidRPr="0059552F">
        <w:rPr>
          <w:rFonts w:cstheme="minorHAnsi"/>
          <w:sz w:val="24"/>
          <w:szCs w:val="24"/>
        </w:rPr>
        <w:t>The purpose of these proposed regulations is to:</w:t>
      </w:r>
    </w:p>
    <w:p w:rsidR="006D4DF3" w:rsidRPr="0059552F" w:rsidRDefault="00E82DB6" w:rsidP="00B40A41">
      <w:pPr>
        <w:pStyle w:val="ListParagraph"/>
        <w:numPr>
          <w:ilvl w:val="0"/>
          <w:numId w:val="10"/>
        </w:numPr>
        <w:spacing w:after="0" w:line="240" w:lineRule="auto"/>
        <w:jc w:val="both"/>
        <w:rPr>
          <w:rFonts w:cstheme="minorHAnsi"/>
          <w:sz w:val="24"/>
          <w:szCs w:val="24"/>
        </w:rPr>
      </w:pPr>
      <w:r w:rsidRPr="0059552F">
        <w:rPr>
          <w:rFonts w:cstheme="minorHAnsi"/>
          <w:sz w:val="24"/>
          <w:szCs w:val="24"/>
        </w:rPr>
        <w:t>En</w:t>
      </w:r>
      <w:r w:rsidR="006D4DF3" w:rsidRPr="0059552F">
        <w:rPr>
          <w:rFonts w:cstheme="minorHAnsi"/>
          <w:sz w:val="24"/>
          <w:szCs w:val="24"/>
        </w:rPr>
        <w:t>sure the protection of public health, safety, and the environment</w:t>
      </w:r>
    </w:p>
    <w:p w:rsidR="006D4DF3" w:rsidRPr="0059552F" w:rsidRDefault="006D4DF3" w:rsidP="00B40A41">
      <w:pPr>
        <w:pStyle w:val="ListParagraph"/>
        <w:numPr>
          <w:ilvl w:val="0"/>
          <w:numId w:val="10"/>
        </w:numPr>
        <w:spacing w:after="0" w:line="240" w:lineRule="auto"/>
        <w:jc w:val="both"/>
        <w:rPr>
          <w:rFonts w:cstheme="minorHAnsi"/>
          <w:sz w:val="24"/>
          <w:szCs w:val="24"/>
        </w:rPr>
      </w:pPr>
      <w:r w:rsidRPr="0059552F">
        <w:rPr>
          <w:rFonts w:cstheme="minorHAnsi"/>
          <w:sz w:val="24"/>
          <w:szCs w:val="24"/>
        </w:rPr>
        <w:t>Protect public resources to minimize impacts from oil and gas drilling.</w:t>
      </w:r>
    </w:p>
    <w:p w:rsidR="006D4DF3" w:rsidRPr="0059552F" w:rsidRDefault="006D4DF3" w:rsidP="00B40A41">
      <w:pPr>
        <w:pStyle w:val="ListParagraph"/>
        <w:numPr>
          <w:ilvl w:val="0"/>
          <w:numId w:val="10"/>
        </w:numPr>
        <w:spacing w:after="0" w:line="240" w:lineRule="auto"/>
        <w:jc w:val="both"/>
        <w:rPr>
          <w:rFonts w:cstheme="minorHAnsi"/>
          <w:sz w:val="24"/>
          <w:szCs w:val="24"/>
        </w:rPr>
      </w:pPr>
      <w:r w:rsidRPr="0059552F">
        <w:rPr>
          <w:rFonts w:cstheme="minorHAnsi"/>
          <w:sz w:val="24"/>
          <w:szCs w:val="24"/>
        </w:rPr>
        <w:t>Modernize the regulatory program to recognize advances in extraction technology.</w:t>
      </w:r>
    </w:p>
    <w:p w:rsidR="00625957" w:rsidRDefault="006D4DF3" w:rsidP="00B40A41">
      <w:pPr>
        <w:pStyle w:val="ListParagraph"/>
        <w:numPr>
          <w:ilvl w:val="0"/>
          <w:numId w:val="10"/>
        </w:numPr>
        <w:spacing w:after="0" w:line="240" w:lineRule="auto"/>
        <w:jc w:val="both"/>
        <w:rPr>
          <w:rFonts w:cstheme="minorHAnsi"/>
          <w:sz w:val="24"/>
          <w:szCs w:val="24"/>
        </w:rPr>
      </w:pPr>
      <w:r w:rsidRPr="0059552F">
        <w:rPr>
          <w:rFonts w:cstheme="minorHAnsi"/>
          <w:sz w:val="24"/>
          <w:szCs w:val="24"/>
        </w:rPr>
        <w:t>Specify the acceptable containment practices to prevent spills and releases.</w:t>
      </w:r>
    </w:p>
    <w:p w:rsidR="00A16208" w:rsidRDefault="00A16208" w:rsidP="00A16208">
      <w:pPr>
        <w:spacing w:after="0" w:line="240" w:lineRule="auto"/>
        <w:jc w:val="both"/>
        <w:rPr>
          <w:rFonts w:cstheme="minorHAnsi"/>
          <w:sz w:val="24"/>
          <w:szCs w:val="24"/>
        </w:rPr>
      </w:pPr>
    </w:p>
    <w:p w:rsidR="00A16208" w:rsidRPr="00A16208" w:rsidRDefault="00A16208" w:rsidP="00A16208">
      <w:pPr>
        <w:spacing w:after="0" w:line="240" w:lineRule="auto"/>
        <w:jc w:val="both"/>
        <w:rPr>
          <w:rFonts w:cstheme="minorHAnsi"/>
          <w:sz w:val="24"/>
          <w:szCs w:val="24"/>
        </w:rPr>
      </w:pPr>
      <w:r w:rsidRPr="009B48F1">
        <w:rPr>
          <w:rFonts w:cstheme="minorHAnsi"/>
          <w:b/>
          <w:sz w:val="24"/>
          <w:szCs w:val="24"/>
        </w:rPr>
        <w:t>Please Note:</w:t>
      </w:r>
      <w:r w:rsidRPr="009B48F1">
        <w:rPr>
          <w:rFonts w:cstheme="minorHAnsi"/>
          <w:sz w:val="24"/>
          <w:szCs w:val="24"/>
        </w:rPr>
        <w:t xml:space="preserve"> DEP is studying the decision from the Act 13 ruling by th</w:t>
      </w:r>
      <w:r w:rsidR="00A96A3A">
        <w:rPr>
          <w:rFonts w:cstheme="minorHAnsi"/>
          <w:sz w:val="24"/>
          <w:szCs w:val="24"/>
        </w:rPr>
        <w:t>e Pennsylvania Supreme Court and</w:t>
      </w:r>
      <w:r w:rsidRPr="009B48F1">
        <w:rPr>
          <w:rFonts w:cstheme="minorHAnsi"/>
          <w:sz w:val="24"/>
          <w:szCs w:val="24"/>
        </w:rPr>
        <w:t xml:space="preserve"> will continue to hold the public hearings and gather public input on the proposed regulation for oil and gas surface activities. </w:t>
      </w:r>
      <w:r w:rsidR="00A96A3A">
        <w:rPr>
          <w:rFonts w:cstheme="minorHAnsi"/>
          <w:sz w:val="24"/>
          <w:szCs w:val="24"/>
        </w:rPr>
        <w:t xml:space="preserve">Although most of the proposed regulation is unaffected by the ruling, </w:t>
      </w:r>
      <w:r w:rsidR="009B48F1" w:rsidRPr="009B48F1">
        <w:rPr>
          <w:rFonts w:cstheme="minorHAnsi"/>
          <w:sz w:val="24"/>
          <w:szCs w:val="24"/>
        </w:rPr>
        <w:t>DEP</w:t>
      </w:r>
      <w:r w:rsidR="004F5681" w:rsidRPr="009B48F1">
        <w:rPr>
          <w:rFonts w:cstheme="minorHAnsi"/>
          <w:sz w:val="24"/>
          <w:szCs w:val="24"/>
        </w:rPr>
        <w:t xml:space="preserve"> anticipate</w:t>
      </w:r>
      <w:r w:rsidR="009B48F1" w:rsidRPr="009B48F1">
        <w:rPr>
          <w:rFonts w:cstheme="minorHAnsi"/>
          <w:sz w:val="24"/>
          <w:szCs w:val="24"/>
        </w:rPr>
        <w:t>s</w:t>
      </w:r>
      <w:r w:rsidR="004F5681" w:rsidRPr="009B48F1">
        <w:rPr>
          <w:rFonts w:cstheme="minorHAnsi"/>
          <w:sz w:val="24"/>
          <w:szCs w:val="24"/>
        </w:rPr>
        <w:t xml:space="preserve"> having more clarity from the court before </w:t>
      </w:r>
      <w:r w:rsidR="00A96A3A">
        <w:rPr>
          <w:rFonts w:cstheme="minorHAnsi"/>
          <w:sz w:val="24"/>
          <w:szCs w:val="24"/>
        </w:rPr>
        <w:t>it</w:t>
      </w:r>
      <w:r w:rsidR="004F5681" w:rsidRPr="009B48F1">
        <w:rPr>
          <w:rFonts w:cstheme="minorHAnsi"/>
          <w:sz w:val="24"/>
          <w:szCs w:val="24"/>
        </w:rPr>
        <w:t xml:space="preserve"> is presented as a final r</w:t>
      </w:r>
      <w:r w:rsidR="006024B8">
        <w:rPr>
          <w:rFonts w:cstheme="minorHAnsi"/>
          <w:sz w:val="24"/>
          <w:szCs w:val="24"/>
        </w:rPr>
        <w:t>egulation</w:t>
      </w:r>
      <w:r w:rsidR="004F5681" w:rsidRPr="009B48F1">
        <w:rPr>
          <w:rFonts w:cstheme="minorHAnsi"/>
          <w:sz w:val="24"/>
          <w:szCs w:val="24"/>
        </w:rPr>
        <w:t>, and in consultation with our attorneys, will make any nec</w:t>
      </w:r>
      <w:r w:rsidR="006024B8">
        <w:rPr>
          <w:rFonts w:cstheme="minorHAnsi"/>
          <w:sz w:val="24"/>
          <w:szCs w:val="24"/>
        </w:rPr>
        <w:t>essary changes to the final regulation</w:t>
      </w:r>
      <w:r w:rsidR="004F5681" w:rsidRPr="009B48F1">
        <w:rPr>
          <w:rFonts w:cstheme="minorHAnsi"/>
          <w:sz w:val="24"/>
          <w:szCs w:val="24"/>
        </w:rPr>
        <w:t xml:space="preserve"> to ensure that it conforms with the court’s decision.</w:t>
      </w:r>
      <w:r w:rsidR="00E11120">
        <w:rPr>
          <w:rFonts w:cstheme="minorHAnsi"/>
          <w:sz w:val="24"/>
          <w:szCs w:val="24"/>
        </w:rPr>
        <w:t xml:space="preserve"> </w:t>
      </w:r>
    </w:p>
    <w:p w:rsidR="00DC3730" w:rsidRPr="002E4F5B" w:rsidRDefault="00DC3730" w:rsidP="00E83EE7">
      <w:pPr>
        <w:contextualSpacing/>
        <w:rPr>
          <w:rFonts w:cstheme="minorHAnsi"/>
          <w:b/>
          <w:sz w:val="16"/>
          <w:szCs w:val="16"/>
          <w:u w:val="single"/>
        </w:rPr>
      </w:pPr>
    </w:p>
    <w:p w:rsidR="00021205" w:rsidRPr="0059552F" w:rsidRDefault="00E94B0D" w:rsidP="0059552F">
      <w:pPr>
        <w:contextualSpacing/>
        <w:rPr>
          <w:rFonts w:cstheme="minorHAnsi"/>
          <w:b/>
          <w:sz w:val="24"/>
          <w:szCs w:val="24"/>
          <w:u w:val="single"/>
        </w:rPr>
      </w:pPr>
      <w:r w:rsidRPr="0059552F">
        <w:rPr>
          <w:rFonts w:cstheme="minorHAnsi"/>
          <w:b/>
          <w:sz w:val="24"/>
          <w:szCs w:val="24"/>
          <w:u w:val="single"/>
        </w:rPr>
        <w:t>How to Get Involved</w:t>
      </w:r>
    </w:p>
    <w:p w:rsidR="00B2028E" w:rsidRPr="002E4F5B" w:rsidRDefault="00B2028E" w:rsidP="00B40A41">
      <w:pPr>
        <w:spacing w:line="240" w:lineRule="auto"/>
        <w:contextualSpacing/>
        <w:jc w:val="both"/>
        <w:rPr>
          <w:rFonts w:cstheme="minorHAnsi"/>
          <w:sz w:val="16"/>
          <w:szCs w:val="16"/>
        </w:rPr>
      </w:pPr>
    </w:p>
    <w:p w:rsidR="00B2028E" w:rsidRPr="0059552F" w:rsidRDefault="00B2028E" w:rsidP="00433C22">
      <w:pPr>
        <w:spacing w:line="240" w:lineRule="auto"/>
        <w:contextualSpacing/>
        <w:jc w:val="both"/>
        <w:rPr>
          <w:rFonts w:cstheme="minorHAnsi"/>
          <w:sz w:val="24"/>
          <w:szCs w:val="24"/>
        </w:rPr>
      </w:pPr>
      <w:r w:rsidRPr="0059552F">
        <w:rPr>
          <w:rFonts w:cstheme="minorHAnsi"/>
          <w:sz w:val="24"/>
          <w:szCs w:val="24"/>
        </w:rPr>
        <w:t>The proposed regulation and supporting documents are available for viewing by clicking the “</w:t>
      </w:r>
      <w:r w:rsidR="00833597" w:rsidRPr="0059552F">
        <w:rPr>
          <w:rFonts w:cstheme="minorHAnsi"/>
          <w:sz w:val="24"/>
          <w:szCs w:val="24"/>
        </w:rPr>
        <w:t>Proposed</w:t>
      </w:r>
      <w:r w:rsidRPr="0059552F">
        <w:rPr>
          <w:rFonts w:cstheme="minorHAnsi"/>
          <w:sz w:val="24"/>
          <w:szCs w:val="24"/>
        </w:rPr>
        <w:t xml:space="preserve"> Oil and Gas Regulations” button on the main page of the DEP website (</w:t>
      </w:r>
      <w:hyperlink r:id="rId10" w:history="1">
        <w:r w:rsidRPr="0059552F">
          <w:rPr>
            <w:rStyle w:val="Hyperlink"/>
            <w:rFonts w:cstheme="minorHAnsi"/>
            <w:sz w:val="24"/>
            <w:szCs w:val="24"/>
          </w:rPr>
          <w:t>www.dep.state.pa.us</w:t>
        </w:r>
      </w:hyperlink>
      <w:r w:rsidRPr="0059552F">
        <w:rPr>
          <w:rFonts w:cstheme="minorHAnsi"/>
          <w:sz w:val="24"/>
          <w:szCs w:val="24"/>
        </w:rPr>
        <w:t xml:space="preserve">). </w:t>
      </w:r>
      <w:r w:rsidR="009D6DD6" w:rsidRPr="0059552F">
        <w:rPr>
          <w:rFonts w:cstheme="minorHAnsi"/>
          <w:sz w:val="24"/>
          <w:szCs w:val="24"/>
        </w:rPr>
        <w:t xml:space="preserve">In addition to the documents related to the regulation, two webinars describing the proposed rules are available for viewing. </w:t>
      </w:r>
    </w:p>
    <w:p w:rsidR="003310CD" w:rsidRPr="002E4F5B" w:rsidRDefault="003310CD" w:rsidP="00433C22">
      <w:pPr>
        <w:spacing w:line="240" w:lineRule="auto"/>
        <w:contextualSpacing/>
        <w:jc w:val="both"/>
        <w:rPr>
          <w:rFonts w:cstheme="minorHAnsi"/>
          <w:sz w:val="16"/>
          <w:szCs w:val="16"/>
        </w:rPr>
      </w:pPr>
    </w:p>
    <w:p w:rsidR="00C004E0" w:rsidRPr="0059552F" w:rsidRDefault="00E11120" w:rsidP="00433C22">
      <w:pPr>
        <w:spacing w:line="240" w:lineRule="auto"/>
        <w:contextualSpacing/>
        <w:jc w:val="both"/>
        <w:rPr>
          <w:rFonts w:cstheme="minorHAnsi"/>
          <w:sz w:val="24"/>
          <w:szCs w:val="24"/>
        </w:rPr>
      </w:pPr>
      <w:r>
        <w:rPr>
          <w:rFonts w:cstheme="minorHAnsi"/>
          <w:sz w:val="24"/>
          <w:szCs w:val="24"/>
        </w:rPr>
        <w:t>The d</w:t>
      </w:r>
      <w:r w:rsidR="00433C22">
        <w:rPr>
          <w:rFonts w:cstheme="minorHAnsi"/>
          <w:sz w:val="24"/>
          <w:szCs w:val="24"/>
        </w:rPr>
        <w:t>epartment opened a 60-day p</w:t>
      </w:r>
      <w:r>
        <w:rPr>
          <w:rFonts w:cstheme="minorHAnsi"/>
          <w:sz w:val="24"/>
          <w:szCs w:val="24"/>
        </w:rPr>
        <w:t>ublic comment period on Dec.</w:t>
      </w:r>
      <w:r w:rsidR="00433C22">
        <w:rPr>
          <w:rFonts w:cstheme="minorHAnsi"/>
          <w:sz w:val="24"/>
          <w:szCs w:val="24"/>
        </w:rPr>
        <w:t xml:space="preserve"> 14, 2013. All public comment must be received by Feb</w:t>
      </w:r>
      <w:r>
        <w:rPr>
          <w:rFonts w:cstheme="minorHAnsi"/>
          <w:sz w:val="24"/>
          <w:szCs w:val="24"/>
        </w:rPr>
        <w:t>.</w:t>
      </w:r>
      <w:r w:rsidR="00433C22">
        <w:rPr>
          <w:rFonts w:cstheme="minorHAnsi"/>
          <w:sz w:val="24"/>
          <w:szCs w:val="24"/>
        </w:rPr>
        <w:t xml:space="preserve"> 12, 2014. </w:t>
      </w:r>
      <w:r w:rsidR="00705AF7" w:rsidRPr="0059552F">
        <w:rPr>
          <w:rFonts w:cstheme="minorHAnsi"/>
          <w:sz w:val="24"/>
          <w:szCs w:val="24"/>
        </w:rPr>
        <w:t>During the public comment period, a</w:t>
      </w:r>
      <w:r w:rsidR="00E94B0D" w:rsidRPr="0059552F">
        <w:rPr>
          <w:rFonts w:cstheme="minorHAnsi"/>
          <w:sz w:val="24"/>
          <w:szCs w:val="24"/>
        </w:rPr>
        <w:t xml:space="preserve">nyone may submit comments about this proposed regulation for potential consideration in the development of the final rules. </w:t>
      </w:r>
      <w:r w:rsidR="00C004E0" w:rsidRPr="0059552F">
        <w:rPr>
          <w:rFonts w:cstheme="minorHAnsi"/>
          <w:sz w:val="24"/>
          <w:szCs w:val="24"/>
        </w:rPr>
        <w:t>All comments are considered in the finalization of the regulation</w:t>
      </w:r>
      <w:r w:rsidR="00433C22">
        <w:rPr>
          <w:rFonts w:cstheme="minorHAnsi"/>
          <w:sz w:val="24"/>
          <w:szCs w:val="24"/>
        </w:rPr>
        <w:t xml:space="preserve"> and w</w:t>
      </w:r>
      <w:r w:rsidR="006D026E" w:rsidRPr="0059552F">
        <w:rPr>
          <w:rFonts w:cstheme="minorHAnsi"/>
          <w:sz w:val="24"/>
          <w:szCs w:val="24"/>
        </w:rPr>
        <w:t xml:space="preserve">ritten comments hold the same weight as verbal comments. </w:t>
      </w:r>
    </w:p>
    <w:p w:rsidR="00C004E0" w:rsidRPr="002E4F5B" w:rsidRDefault="00C004E0" w:rsidP="00433C22">
      <w:pPr>
        <w:spacing w:line="240" w:lineRule="auto"/>
        <w:contextualSpacing/>
        <w:jc w:val="both"/>
        <w:rPr>
          <w:rFonts w:cstheme="minorHAnsi"/>
          <w:sz w:val="16"/>
          <w:szCs w:val="16"/>
        </w:rPr>
      </w:pPr>
    </w:p>
    <w:p w:rsidR="00E11120" w:rsidRDefault="00E11120" w:rsidP="00433C22">
      <w:pPr>
        <w:spacing w:line="240" w:lineRule="auto"/>
        <w:contextualSpacing/>
        <w:jc w:val="both"/>
        <w:rPr>
          <w:rFonts w:cstheme="minorHAnsi"/>
          <w:i/>
          <w:sz w:val="24"/>
          <w:szCs w:val="24"/>
        </w:rPr>
      </w:pPr>
    </w:p>
    <w:p w:rsidR="00C004E0" w:rsidRPr="0059552F" w:rsidRDefault="00C004E0" w:rsidP="00433C22">
      <w:pPr>
        <w:spacing w:line="240" w:lineRule="auto"/>
        <w:contextualSpacing/>
        <w:jc w:val="both"/>
        <w:rPr>
          <w:rFonts w:cstheme="minorHAnsi"/>
          <w:i/>
          <w:sz w:val="24"/>
          <w:szCs w:val="24"/>
        </w:rPr>
      </w:pPr>
      <w:r w:rsidRPr="0059552F">
        <w:rPr>
          <w:rFonts w:cstheme="minorHAnsi"/>
          <w:i/>
          <w:sz w:val="24"/>
          <w:szCs w:val="24"/>
        </w:rPr>
        <w:lastRenderedPageBreak/>
        <w:t>EQB’s Online Public Comment System</w:t>
      </w:r>
    </w:p>
    <w:p w:rsidR="00C004E0" w:rsidRPr="0059552F" w:rsidRDefault="00C004E0" w:rsidP="00433C22">
      <w:pPr>
        <w:spacing w:line="240" w:lineRule="auto"/>
        <w:contextualSpacing/>
        <w:jc w:val="both"/>
        <w:rPr>
          <w:rFonts w:cstheme="minorHAnsi"/>
          <w:color w:val="000000"/>
          <w:sz w:val="24"/>
          <w:szCs w:val="24"/>
        </w:rPr>
      </w:pPr>
      <w:r w:rsidRPr="0059552F">
        <w:rPr>
          <w:rFonts w:cstheme="minorHAnsi"/>
          <w:color w:val="000000"/>
          <w:sz w:val="24"/>
          <w:szCs w:val="24"/>
        </w:rPr>
        <w:t xml:space="preserve">The public is may submit comments to the EQB regarding the proposed through the EQB’s Online Public Comment System at </w:t>
      </w:r>
      <w:hyperlink r:id="rId11" w:history="1">
        <w:r w:rsidR="0059552F" w:rsidRPr="0059552F">
          <w:rPr>
            <w:rStyle w:val="Hyperlink"/>
            <w:rFonts w:cstheme="minorHAnsi"/>
            <w:sz w:val="24"/>
            <w:szCs w:val="24"/>
          </w:rPr>
          <w:t>www.ahs.dep.pa.gov/RegComments</w:t>
        </w:r>
      </w:hyperlink>
      <w:r w:rsidRPr="0059552F">
        <w:rPr>
          <w:rFonts w:cstheme="minorHAnsi"/>
          <w:color w:val="000000"/>
          <w:sz w:val="24"/>
          <w:szCs w:val="24"/>
        </w:rPr>
        <w:t xml:space="preserve">. </w:t>
      </w:r>
    </w:p>
    <w:p w:rsidR="00433C22" w:rsidRPr="002E4F5B" w:rsidRDefault="00433C22" w:rsidP="00433C22">
      <w:pPr>
        <w:spacing w:line="240" w:lineRule="auto"/>
        <w:contextualSpacing/>
        <w:jc w:val="both"/>
        <w:rPr>
          <w:rFonts w:cstheme="minorHAnsi"/>
          <w:i/>
          <w:color w:val="000000"/>
          <w:sz w:val="16"/>
          <w:szCs w:val="16"/>
        </w:rPr>
      </w:pPr>
    </w:p>
    <w:p w:rsidR="00C004E0" w:rsidRPr="0059552F" w:rsidRDefault="00C004E0" w:rsidP="00433C22">
      <w:pPr>
        <w:spacing w:line="240" w:lineRule="auto"/>
        <w:contextualSpacing/>
        <w:jc w:val="both"/>
        <w:rPr>
          <w:rFonts w:cstheme="minorHAnsi"/>
          <w:i/>
          <w:color w:val="000000"/>
          <w:sz w:val="24"/>
          <w:szCs w:val="24"/>
        </w:rPr>
      </w:pPr>
      <w:r w:rsidRPr="0059552F">
        <w:rPr>
          <w:rFonts w:cstheme="minorHAnsi"/>
          <w:i/>
          <w:color w:val="000000"/>
          <w:sz w:val="24"/>
          <w:szCs w:val="24"/>
        </w:rPr>
        <w:t>Written Comments</w:t>
      </w:r>
    </w:p>
    <w:p w:rsidR="00C004E0" w:rsidRPr="0059552F" w:rsidRDefault="00C004E0" w:rsidP="00433C22">
      <w:pPr>
        <w:spacing w:line="240" w:lineRule="auto"/>
        <w:contextualSpacing/>
        <w:jc w:val="both"/>
        <w:rPr>
          <w:rFonts w:cstheme="minorHAnsi"/>
          <w:color w:val="000000"/>
          <w:sz w:val="24"/>
          <w:szCs w:val="24"/>
        </w:rPr>
      </w:pPr>
      <w:r w:rsidRPr="0059552F">
        <w:rPr>
          <w:rFonts w:cstheme="minorHAnsi"/>
          <w:color w:val="000000"/>
          <w:sz w:val="24"/>
          <w:szCs w:val="24"/>
        </w:rPr>
        <w:t xml:space="preserve">Written comments and summaries </w:t>
      </w:r>
      <w:r w:rsidR="0059552F">
        <w:rPr>
          <w:rFonts w:cstheme="minorHAnsi"/>
          <w:color w:val="000000"/>
          <w:sz w:val="24"/>
          <w:szCs w:val="24"/>
        </w:rPr>
        <w:t>may</w:t>
      </w:r>
      <w:r w:rsidRPr="0059552F">
        <w:rPr>
          <w:rFonts w:cstheme="minorHAnsi"/>
          <w:color w:val="000000"/>
          <w:sz w:val="24"/>
          <w:szCs w:val="24"/>
        </w:rPr>
        <w:t xml:space="preserve"> be mailed to Environmental Quality Board, P.O. Box 8477, Harrisburg, PA 17105-8477. </w:t>
      </w:r>
    </w:p>
    <w:p w:rsidR="002E4F5B" w:rsidRPr="00AB2F1E" w:rsidRDefault="002E4F5B" w:rsidP="00433C22">
      <w:pPr>
        <w:spacing w:line="240" w:lineRule="auto"/>
        <w:contextualSpacing/>
        <w:jc w:val="both"/>
        <w:rPr>
          <w:rFonts w:cstheme="minorHAnsi"/>
          <w:i/>
          <w:color w:val="000000"/>
          <w:sz w:val="16"/>
          <w:szCs w:val="16"/>
        </w:rPr>
      </w:pPr>
    </w:p>
    <w:p w:rsidR="00C004E0" w:rsidRPr="0059552F" w:rsidRDefault="00C004E0" w:rsidP="00433C22">
      <w:pPr>
        <w:spacing w:line="240" w:lineRule="auto"/>
        <w:contextualSpacing/>
        <w:jc w:val="both"/>
        <w:rPr>
          <w:rFonts w:cstheme="minorHAnsi"/>
          <w:i/>
          <w:color w:val="000000"/>
          <w:sz w:val="24"/>
          <w:szCs w:val="24"/>
        </w:rPr>
      </w:pPr>
      <w:r w:rsidRPr="0059552F">
        <w:rPr>
          <w:rFonts w:cstheme="minorHAnsi"/>
          <w:i/>
          <w:color w:val="000000"/>
          <w:sz w:val="24"/>
          <w:szCs w:val="24"/>
        </w:rPr>
        <w:t>Email Comments</w:t>
      </w:r>
    </w:p>
    <w:p w:rsidR="00C004E0" w:rsidRDefault="00C004E0" w:rsidP="00433C22">
      <w:pPr>
        <w:spacing w:line="240" w:lineRule="auto"/>
        <w:contextualSpacing/>
        <w:jc w:val="both"/>
        <w:rPr>
          <w:rFonts w:cstheme="minorHAnsi"/>
          <w:color w:val="000000"/>
          <w:sz w:val="24"/>
          <w:szCs w:val="24"/>
        </w:rPr>
      </w:pPr>
      <w:r w:rsidRPr="0059552F">
        <w:rPr>
          <w:rFonts w:cstheme="minorHAnsi"/>
          <w:color w:val="000000"/>
          <w:sz w:val="24"/>
          <w:szCs w:val="24"/>
        </w:rPr>
        <w:t xml:space="preserve">Another option for submitting comments is by email to </w:t>
      </w:r>
      <w:hyperlink r:id="rId12" w:history="1">
        <w:r w:rsidRPr="0059552F">
          <w:rPr>
            <w:rFonts w:cstheme="minorHAnsi"/>
            <w:color w:val="033668"/>
            <w:sz w:val="24"/>
            <w:szCs w:val="24"/>
            <w:u w:val="single"/>
          </w:rPr>
          <w:t>RegComments@pa.gov</w:t>
        </w:r>
      </w:hyperlink>
      <w:r w:rsidRPr="0059552F">
        <w:rPr>
          <w:rFonts w:cstheme="minorHAnsi"/>
          <w:color w:val="000000"/>
          <w:sz w:val="24"/>
          <w:szCs w:val="24"/>
        </w:rPr>
        <w:t xml:space="preserve">. </w:t>
      </w:r>
    </w:p>
    <w:p w:rsidR="0059552F" w:rsidRPr="002E4F5B" w:rsidRDefault="0059552F" w:rsidP="00433C22">
      <w:pPr>
        <w:spacing w:line="240" w:lineRule="auto"/>
        <w:contextualSpacing/>
        <w:jc w:val="both"/>
        <w:rPr>
          <w:rFonts w:cstheme="minorHAnsi"/>
          <w:color w:val="000000"/>
          <w:sz w:val="16"/>
          <w:szCs w:val="16"/>
        </w:rPr>
      </w:pPr>
    </w:p>
    <w:p w:rsidR="0059552F" w:rsidRDefault="0059552F" w:rsidP="00433C22">
      <w:pPr>
        <w:spacing w:line="240" w:lineRule="auto"/>
        <w:contextualSpacing/>
        <w:jc w:val="both"/>
        <w:rPr>
          <w:rFonts w:cstheme="minorHAnsi"/>
          <w:i/>
          <w:color w:val="000000"/>
          <w:sz w:val="24"/>
          <w:szCs w:val="24"/>
        </w:rPr>
      </w:pPr>
      <w:r w:rsidRPr="0059552F">
        <w:rPr>
          <w:rFonts w:cstheme="minorHAnsi"/>
          <w:i/>
          <w:color w:val="000000"/>
          <w:sz w:val="24"/>
          <w:szCs w:val="24"/>
        </w:rPr>
        <w:t>Public Hearings</w:t>
      </w:r>
    </w:p>
    <w:p w:rsidR="00433C22" w:rsidRDefault="00433C22" w:rsidP="00433C22">
      <w:pPr>
        <w:spacing w:line="240" w:lineRule="auto"/>
        <w:contextualSpacing/>
        <w:jc w:val="both"/>
        <w:rPr>
          <w:rFonts w:cstheme="minorHAnsi"/>
          <w:color w:val="000000"/>
          <w:sz w:val="24"/>
          <w:szCs w:val="24"/>
        </w:rPr>
      </w:pPr>
      <w:r>
        <w:rPr>
          <w:rFonts w:cstheme="minorHAnsi"/>
          <w:color w:val="000000"/>
          <w:sz w:val="24"/>
          <w:szCs w:val="24"/>
        </w:rPr>
        <w:t>During the public comment period</w:t>
      </w:r>
      <w:r w:rsidR="00E11120">
        <w:rPr>
          <w:rFonts w:cstheme="minorHAnsi"/>
          <w:color w:val="000000"/>
          <w:sz w:val="24"/>
          <w:szCs w:val="24"/>
        </w:rPr>
        <w:t>, EQB will be holding at least seven</w:t>
      </w:r>
      <w:r>
        <w:rPr>
          <w:rFonts w:cstheme="minorHAnsi"/>
          <w:color w:val="000000"/>
          <w:sz w:val="24"/>
          <w:szCs w:val="24"/>
        </w:rPr>
        <w:t xml:space="preserve"> public hearings across Pennsylvania to gather verbal comments from citizens about the proposed regulations. Each commentator is given 5 minutes to present verbal </w:t>
      </w:r>
      <w:r w:rsidR="00E11120">
        <w:rPr>
          <w:rFonts w:cstheme="minorHAnsi"/>
          <w:color w:val="000000"/>
          <w:sz w:val="24"/>
          <w:szCs w:val="24"/>
        </w:rPr>
        <w:t xml:space="preserve">comments and is asked to bring three </w:t>
      </w:r>
      <w:r>
        <w:rPr>
          <w:rFonts w:cstheme="minorHAnsi"/>
          <w:color w:val="000000"/>
          <w:sz w:val="24"/>
          <w:szCs w:val="24"/>
        </w:rPr>
        <w:t>written copies of their testimony. The following hearings are currently scheduled:</w:t>
      </w:r>
    </w:p>
    <w:p w:rsidR="00433C22" w:rsidRPr="00433C22" w:rsidRDefault="00433C22" w:rsidP="00433C22">
      <w:pPr>
        <w:pStyle w:val="ListParagraph"/>
        <w:numPr>
          <w:ilvl w:val="0"/>
          <w:numId w:val="18"/>
        </w:numPr>
        <w:spacing w:before="100" w:beforeAutospacing="1" w:after="100" w:afterAutospacing="1" w:line="240" w:lineRule="auto"/>
        <w:jc w:val="left"/>
        <w:rPr>
          <w:rFonts w:eastAsia="Times New Roman" w:cs="Arial"/>
          <w:color w:val="000000"/>
          <w:sz w:val="24"/>
          <w:szCs w:val="24"/>
        </w:rPr>
      </w:pPr>
      <w:r w:rsidRPr="00433C22">
        <w:rPr>
          <w:rFonts w:eastAsia="Times New Roman" w:cs="Arial"/>
          <w:color w:val="000000"/>
          <w:sz w:val="24"/>
          <w:szCs w:val="24"/>
        </w:rPr>
        <w:t xml:space="preserve">Chester County </w:t>
      </w:r>
      <w:r w:rsidRPr="00433C22">
        <w:rPr>
          <w:rFonts w:eastAsia="Times New Roman" w:cs="Arial"/>
          <w:color w:val="000000"/>
          <w:sz w:val="24"/>
          <w:szCs w:val="24"/>
        </w:rPr>
        <w:br/>
        <w:t xml:space="preserve">Jan. 9, 2014, West Chester University of Pennsylvania’s Sykes Student Union Theater, 110 West Rosedale Avenue, West Chester, PA 19383 </w:t>
      </w:r>
    </w:p>
    <w:p w:rsidR="00433C22" w:rsidRPr="00433C22" w:rsidRDefault="00433C22" w:rsidP="00433C22">
      <w:pPr>
        <w:pStyle w:val="ListParagraph"/>
        <w:numPr>
          <w:ilvl w:val="0"/>
          <w:numId w:val="18"/>
        </w:numPr>
        <w:spacing w:before="100" w:beforeAutospacing="1" w:after="100" w:afterAutospacing="1" w:line="240" w:lineRule="auto"/>
        <w:jc w:val="left"/>
        <w:rPr>
          <w:rFonts w:eastAsia="Times New Roman" w:cs="Arial"/>
          <w:color w:val="000000"/>
          <w:sz w:val="24"/>
          <w:szCs w:val="24"/>
        </w:rPr>
      </w:pPr>
      <w:r w:rsidRPr="00433C22">
        <w:rPr>
          <w:rFonts w:eastAsia="Times New Roman" w:cs="Arial"/>
          <w:color w:val="000000"/>
          <w:sz w:val="24"/>
          <w:szCs w:val="24"/>
        </w:rPr>
        <w:t xml:space="preserve">Lycoming County </w:t>
      </w:r>
      <w:r w:rsidRPr="00433C22">
        <w:rPr>
          <w:rFonts w:eastAsia="Times New Roman" w:cs="Arial"/>
          <w:color w:val="000000"/>
          <w:sz w:val="24"/>
          <w:szCs w:val="24"/>
        </w:rPr>
        <w:br/>
        <w:t xml:space="preserve">Jan. 13, 2014, Pennsylvania College of Technology’s </w:t>
      </w:r>
      <w:proofErr w:type="spellStart"/>
      <w:r w:rsidRPr="00433C22">
        <w:rPr>
          <w:rFonts w:eastAsia="Times New Roman" w:cs="Arial"/>
          <w:color w:val="000000"/>
          <w:sz w:val="24"/>
          <w:szCs w:val="24"/>
        </w:rPr>
        <w:t>Klump</w:t>
      </w:r>
      <w:proofErr w:type="spellEnd"/>
      <w:r w:rsidRPr="00433C22">
        <w:rPr>
          <w:rFonts w:eastAsia="Times New Roman" w:cs="Arial"/>
          <w:color w:val="000000"/>
          <w:sz w:val="24"/>
          <w:szCs w:val="24"/>
        </w:rPr>
        <w:t xml:space="preserve"> Academic Center, One College Avenue, Williamsport, PA 17701 </w:t>
      </w:r>
    </w:p>
    <w:p w:rsidR="00433C22" w:rsidRPr="00433C22" w:rsidRDefault="00433C22" w:rsidP="00433C22">
      <w:pPr>
        <w:pStyle w:val="ListParagraph"/>
        <w:numPr>
          <w:ilvl w:val="0"/>
          <w:numId w:val="18"/>
        </w:numPr>
        <w:spacing w:before="100" w:beforeAutospacing="1" w:after="100" w:afterAutospacing="1" w:line="240" w:lineRule="auto"/>
        <w:jc w:val="left"/>
        <w:rPr>
          <w:rFonts w:eastAsia="Times New Roman" w:cs="Arial"/>
          <w:color w:val="000000"/>
          <w:sz w:val="24"/>
          <w:szCs w:val="24"/>
        </w:rPr>
      </w:pPr>
      <w:r w:rsidRPr="00433C22">
        <w:rPr>
          <w:rFonts w:eastAsia="Times New Roman" w:cs="Arial"/>
          <w:color w:val="000000"/>
          <w:sz w:val="24"/>
          <w:szCs w:val="24"/>
        </w:rPr>
        <w:t xml:space="preserve">Crawford County </w:t>
      </w:r>
      <w:r w:rsidRPr="00433C22">
        <w:rPr>
          <w:rFonts w:eastAsia="Times New Roman" w:cs="Arial"/>
          <w:color w:val="000000"/>
          <w:sz w:val="24"/>
          <w:szCs w:val="24"/>
        </w:rPr>
        <w:br/>
        <w:t xml:space="preserve">Jan. 15, 2014, Meadville Area Senior High School Auditorium, 930 North Street, Meadville, PA 16335 </w:t>
      </w:r>
    </w:p>
    <w:p w:rsidR="00433C22" w:rsidRPr="00433C22" w:rsidRDefault="00433C22" w:rsidP="00433C22">
      <w:pPr>
        <w:pStyle w:val="ListParagraph"/>
        <w:numPr>
          <w:ilvl w:val="0"/>
          <w:numId w:val="18"/>
        </w:numPr>
        <w:spacing w:before="100" w:beforeAutospacing="1" w:after="100" w:afterAutospacing="1" w:line="240" w:lineRule="auto"/>
        <w:jc w:val="left"/>
        <w:rPr>
          <w:rFonts w:eastAsia="Times New Roman" w:cs="Arial"/>
          <w:color w:val="000000"/>
          <w:sz w:val="24"/>
          <w:szCs w:val="24"/>
        </w:rPr>
      </w:pPr>
      <w:r w:rsidRPr="00433C22">
        <w:rPr>
          <w:rFonts w:eastAsia="Times New Roman" w:cs="Arial"/>
          <w:color w:val="000000"/>
          <w:sz w:val="24"/>
          <w:szCs w:val="24"/>
        </w:rPr>
        <w:t xml:space="preserve">Cumberland County </w:t>
      </w:r>
      <w:r w:rsidRPr="00433C22">
        <w:rPr>
          <w:rFonts w:eastAsia="Times New Roman" w:cs="Arial"/>
          <w:color w:val="000000"/>
          <w:sz w:val="24"/>
          <w:szCs w:val="24"/>
        </w:rPr>
        <w:br/>
        <w:t xml:space="preserve">Jan. 16, 2014, Good Hope Middle School Auditorium, 451 </w:t>
      </w:r>
      <w:proofErr w:type="spellStart"/>
      <w:r w:rsidRPr="00433C22">
        <w:rPr>
          <w:rFonts w:eastAsia="Times New Roman" w:cs="Arial"/>
          <w:color w:val="000000"/>
          <w:sz w:val="24"/>
          <w:szCs w:val="24"/>
        </w:rPr>
        <w:t>Skyport</w:t>
      </w:r>
      <w:proofErr w:type="spellEnd"/>
      <w:r w:rsidRPr="00433C22">
        <w:rPr>
          <w:rFonts w:eastAsia="Times New Roman" w:cs="Arial"/>
          <w:color w:val="000000"/>
          <w:sz w:val="24"/>
          <w:szCs w:val="24"/>
        </w:rPr>
        <w:t xml:space="preserve"> Road, Mechanicsburg, PA 17050 </w:t>
      </w:r>
    </w:p>
    <w:p w:rsidR="00433C22" w:rsidRPr="00433C22" w:rsidRDefault="00433C22" w:rsidP="00433C22">
      <w:pPr>
        <w:pStyle w:val="ListParagraph"/>
        <w:numPr>
          <w:ilvl w:val="0"/>
          <w:numId w:val="18"/>
        </w:numPr>
        <w:spacing w:before="100" w:beforeAutospacing="1" w:after="100" w:afterAutospacing="1" w:line="240" w:lineRule="auto"/>
        <w:jc w:val="left"/>
        <w:rPr>
          <w:rFonts w:eastAsia="Times New Roman" w:cs="Arial"/>
          <w:color w:val="000000"/>
          <w:sz w:val="24"/>
          <w:szCs w:val="24"/>
        </w:rPr>
      </w:pPr>
      <w:r w:rsidRPr="00433C22">
        <w:rPr>
          <w:rFonts w:eastAsia="Times New Roman" w:cs="Arial"/>
          <w:color w:val="000000"/>
          <w:sz w:val="24"/>
          <w:szCs w:val="24"/>
        </w:rPr>
        <w:t xml:space="preserve">Washington County </w:t>
      </w:r>
      <w:r w:rsidRPr="00433C22">
        <w:rPr>
          <w:rFonts w:eastAsia="Times New Roman" w:cs="Arial"/>
          <w:color w:val="000000"/>
          <w:sz w:val="24"/>
          <w:szCs w:val="24"/>
        </w:rPr>
        <w:br/>
        <w:t xml:space="preserve">Jan. 22, 2014, Washington and Jefferson College’s </w:t>
      </w:r>
      <w:proofErr w:type="spellStart"/>
      <w:r w:rsidRPr="00433C22">
        <w:rPr>
          <w:rFonts w:eastAsia="Times New Roman" w:cs="Arial"/>
          <w:color w:val="000000"/>
          <w:sz w:val="24"/>
          <w:szCs w:val="24"/>
        </w:rPr>
        <w:t>Rossin</w:t>
      </w:r>
      <w:proofErr w:type="spellEnd"/>
      <w:r w:rsidRPr="00433C22">
        <w:rPr>
          <w:rFonts w:eastAsia="Times New Roman" w:cs="Arial"/>
          <w:color w:val="000000"/>
          <w:sz w:val="24"/>
          <w:szCs w:val="24"/>
        </w:rPr>
        <w:t xml:space="preserve"> Campus Center / Allen Ballroom, 60 South Lincoln Street, Washington, PA 15301 </w:t>
      </w:r>
    </w:p>
    <w:p w:rsidR="00433C22" w:rsidRPr="00433C22" w:rsidRDefault="00433C22" w:rsidP="00433C22">
      <w:pPr>
        <w:pStyle w:val="ListParagraph"/>
        <w:numPr>
          <w:ilvl w:val="0"/>
          <w:numId w:val="18"/>
        </w:numPr>
        <w:spacing w:before="100" w:beforeAutospacing="1" w:after="100" w:afterAutospacing="1" w:line="240" w:lineRule="auto"/>
        <w:jc w:val="left"/>
        <w:rPr>
          <w:rFonts w:eastAsia="Times New Roman" w:cs="Arial"/>
          <w:color w:val="000000"/>
          <w:sz w:val="24"/>
          <w:szCs w:val="24"/>
        </w:rPr>
      </w:pPr>
      <w:r w:rsidRPr="00433C22">
        <w:rPr>
          <w:rFonts w:eastAsia="Times New Roman" w:cs="Arial"/>
          <w:color w:val="000000"/>
          <w:sz w:val="24"/>
          <w:szCs w:val="24"/>
        </w:rPr>
        <w:t xml:space="preserve">Indiana County </w:t>
      </w:r>
      <w:r w:rsidRPr="00433C22">
        <w:rPr>
          <w:rFonts w:eastAsia="Times New Roman" w:cs="Arial"/>
          <w:color w:val="000000"/>
          <w:sz w:val="24"/>
          <w:szCs w:val="24"/>
        </w:rPr>
        <w:br/>
        <w:t xml:space="preserve">Jan. 23, 2014, Indiana University of Pennsylvania’s Convention and Athletic Complex, 711 Pratt Drive, Indiana, PA 15705 </w:t>
      </w:r>
    </w:p>
    <w:p w:rsidR="007C28FB" w:rsidRDefault="00433C22" w:rsidP="00E11120">
      <w:pPr>
        <w:pStyle w:val="ListParagraph"/>
        <w:numPr>
          <w:ilvl w:val="0"/>
          <w:numId w:val="18"/>
        </w:numPr>
        <w:spacing w:after="0" w:line="240" w:lineRule="auto"/>
        <w:jc w:val="left"/>
        <w:rPr>
          <w:rFonts w:eastAsia="Times New Roman" w:cs="Arial"/>
          <w:color w:val="000000"/>
          <w:sz w:val="24"/>
          <w:szCs w:val="24"/>
        </w:rPr>
      </w:pPr>
      <w:r w:rsidRPr="00433C22">
        <w:rPr>
          <w:rFonts w:eastAsia="Times New Roman" w:cs="Arial"/>
          <w:color w:val="000000"/>
          <w:sz w:val="24"/>
          <w:szCs w:val="24"/>
        </w:rPr>
        <w:t xml:space="preserve">Wyoming County </w:t>
      </w:r>
      <w:r w:rsidRPr="00433C22">
        <w:rPr>
          <w:rFonts w:eastAsia="Times New Roman" w:cs="Arial"/>
          <w:color w:val="000000"/>
          <w:sz w:val="24"/>
          <w:szCs w:val="24"/>
        </w:rPr>
        <w:br/>
        <w:t xml:space="preserve">Jan. 27, 2014, Tunkhannock High School Auditorium, 135 Tiger Drive, Tunkhannock, PA 18657 </w:t>
      </w:r>
    </w:p>
    <w:p w:rsidR="00E11120" w:rsidRPr="00E11120" w:rsidRDefault="00E11120" w:rsidP="00E11120">
      <w:pPr>
        <w:pStyle w:val="ListParagraph"/>
        <w:spacing w:after="0" w:line="240" w:lineRule="auto"/>
        <w:ind w:left="540"/>
        <w:jc w:val="left"/>
        <w:rPr>
          <w:rFonts w:eastAsia="Times New Roman" w:cs="Arial"/>
          <w:color w:val="000000"/>
          <w:sz w:val="16"/>
          <w:szCs w:val="16"/>
        </w:rPr>
      </w:pPr>
    </w:p>
    <w:p w:rsidR="006D4DF3" w:rsidRPr="0059552F" w:rsidRDefault="006D026E" w:rsidP="00E11120">
      <w:pPr>
        <w:spacing w:after="0" w:line="240" w:lineRule="auto"/>
        <w:rPr>
          <w:rFonts w:cstheme="minorHAnsi"/>
          <w:b/>
          <w:sz w:val="24"/>
          <w:szCs w:val="24"/>
          <w:u w:val="single"/>
        </w:rPr>
      </w:pPr>
      <w:r w:rsidRPr="0059552F">
        <w:rPr>
          <w:rFonts w:cstheme="minorHAnsi"/>
          <w:b/>
          <w:sz w:val="24"/>
          <w:szCs w:val="24"/>
          <w:u w:val="single"/>
        </w:rPr>
        <w:t>K</w:t>
      </w:r>
      <w:r w:rsidR="006D4DF3" w:rsidRPr="0059552F">
        <w:rPr>
          <w:rFonts w:cstheme="minorHAnsi"/>
          <w:b/>
          <w:sz w:val="24"/>
          <w:szCs w:val="24"/>
          <w:u w:val="single"/>
        </w:rPr>
        <w:t>ey Provisions of the Regulation</w:t>
      </w:r>
    </w:p>
    <w:p w:rsidR="00E11120" w:rsidRPr="00E11120" w:rsidRDefault="00E11120" w:rsidP="00433C22">
      <w:pPr>
        <w:spacing w:line="240" w:lineRule="auto"/>
        <w:contextualSpacing/>
        <w:jc w:val="left"/>
        <w:rPr>
          <w:rFonts w:cstheme="minorHAnsi"/>
          <w:b/>
          <w:sz w:val="16"/>
          <w:szCs w:val="16"/>
        </w:rPr>
      </w:pPr>
    </w:p>
    <w:p w:rsidR="00AE02AA" w:rsidRDefault="00B2028E" w:rsidP="00433C22">
      <w:pPr>
        <w:spacing w:line="240" w:lineRule="auto"/>
        <w:contextualSpacing/>
        <w:jc w:val="left"/>
        <w:rPr>
          <w:rFonts w:cstheme="minorHAnsi"/>
          <w:b/>
          <w:sz w:val="24"/>
          <w:szCs w:val="24"/>
        </w:rPr>
      </w:pPr>
      <w:r w:rsidRPr="0059552F">
        <w:rPr>
          <w:rFonts w:cstheme="minorHAnsi"/>
          <w:b/>
          <w:sz w:val="24"/>
          <w:szCs w:val="24"/>
        </w:rPr>
        <w:t>Protection of Public Resources</w:t>
      </w:r>
    </w:p>
    <w:p w:rsidR="00E11120" w:rsidRPr="00E11120" w:rsidRDefault="00E11120" w:rsidP="00433C22">
      <w:pPr>
        <w:spacing w:line="240" w:lineRule="auto"/>
        <w:contextualSpacing/>
        <w:jc w:val="left"/>
        <w:rPr>
          <w:rFonts w:cstheme="minorHAnsi"/>
          <w:b/>
          <w:sz w:val="16"/>
          <w:szCs w:val="16"/>
        </w:rPr>
      </w:pPr>
    </w:p>
    <w:p w:rsidR="00B2028E" w:rsidRPr="0059552F" w:rsidRDefault="00B2028E" w:rsidP="00433C22">
      <w:pPr>
        <w:spacing w:line="240" w:lineRule="auto"/>
        <w:contextualSpacing/>
        <w:jc w:val="both"/>
        <w:rPr>
          <w:rFonts w:cstheme="minorHAnsi"/>
          <w:sz w:val="24"/>
          <w:szCs w:val="24"/>
        </w:rPr>
      </w:pPr>
      <w:r w:rsidRPr="0059552F">
        <w:rPr>
          <w:rFonts w:cstheme="minorHAnsi"/>
          <w:sz w:val="24"/>
          <w:szCs w:val="24"/>
        </w:rPr>
        <w:t>The public resources enjoyed by millions of Pennsylvanians and out of state visitors are considered precious to everyone who visits them.</w:t>
      </w:r>
      <w:r w:rsidR="00E11120">
        <w:rPr>
          <w:rFonts w:cstheme="minorHAnsi"/>
          <w:sz w:val="24"/>
          <w:szCs w:val="24"/>
        </w:rPr>
        <w:t xml:space="preserve"> </w:t>
      </w:r>
      <w:r w:rsidRPr="0059552F">
        <w:rPr>
          <w:rFonts w:cstheme="minorHAnsi"/>
          <w:sz w:val="24"/>
          <w:szCs w:val="24"/>
        </w:rPr>
        <w:t>Public resources are also a major economic contributor (&gt;$1 billion per year) to Pennsylvania through tourism, outdoor fish and game sports, and recreation.</w:t>
      </w:r>
      <w:r w:rsidR="00E83EE7" w:rsidRPr="0059552F">
        <w:rPr>
          <w:rFonts w:cstheme="minorHAnsi"/>
          <w:sz w:val="24"/>
          <w:szCs w:val="24"/>
        </w:rPr>
        <w:t xml:space="preserve"> </w:t>
      </w:r>
      <w:r w:rsidRPr="0059552F">
        <w:rPr>
          <w:rFonts w:cstheme="minorHAnsi"/>
          <w:sz w:val="24"/>
          <w:szCs w:val="24"/>
        </w:rPr>
        <w:t xml:space="preserve">The purpose of this provision is to ensure that the businesses that rely on this tourism, residents of Pennsylvania and out-of-state visitors can continue to use and benefit from </w:t>
      </w:r>
      <w:r w:rsidR="00B55A81" w:rsidRPr="0059552F">
        <w:rPr>
          <w:rFonts w:cstheme="minorHAnsi"/>
          <w:sz w:val="24"/>
          <w:szCs w:val="24"/>
        </w:rPr>
        <w:t>all</w:t>
      </w:r>
      <w:r w:rsidRPr="0059552F">
        <w:rPr>
          <w:rFonts w:cstheme="minorHAnsi"/>
          <w:sz w:val="24"/>
          <w:szCs w:val="24"/>
        </w:rPr>
        <w:t xml:space="preserve"> of the p</w:t>
      </w:r>
      <w:r w:rsidR="00E11120">
        <w:rPr>
          <w:rFonts w:cstheme="minorHAnsi"/>
          <w:sz w:val="24"/>
          <w:szCs w:val="24"/>
        </w:rPr>
        <w:t>ublic resources throughout the c</w:t>
      </w:r>
      <w:r w:rsidRPr="0059552F">
        <w:rPr>
          <w:rFonts w:cstheme="minorHAnsi"/>
          <w:sz w:val="24"/>
          <w:szCs w:val="24"/>
        </w:rPr>
        <w:t xml:space="preserve">ommonwealth, while still allowing optimal development of the state’s oil and gas resources. </w:t>
      </w:r>
    </w:p>
    <w:p w:rsidR="00B2028E" w:rsidRPr="002E4F5B" w:rsidRDefault="00B2028E" w:rsidP="00433C22">
      <w:pPr>
        <w:spacing w:line="240" w:lineRule="auto"/>
        <w:contextualSpacing/>
        <w:jc w:val="both"/>
        <w:rPr>
          <w:rFonts w:cstheme="minorHAnsi"/>
          <w:sz w:val="16"/>
          <w:szCs w:val="16"/>
        </w:rPr>
      </w:pPr>
    </w:p>
    <w:p w:rsidR="00B2028E" w:rsidRPr="0059552F" w:rsidRDefault="00B2028E" w:rsidP="00433C22">
      <w:pPr>
        <w:spacing w:line="240" w:lineRule="auto"/>
        <w:contextualSpacing/>
        <w:jc w:val="both"/>
        <w:rPr>
          <w:rFonts w:cstheme="minorHAnsi"/>
          <w:sz w:val="24"/>
          <w:szCs w:val="24"/>
        </w:rPr>
      </w:pPr>
      <w:r w:rsidRPr="0059552F">
        <w:rPr>
          <w:rFonts w:cstheme="minorHAnsi"/>
          <w:sz w:val="24"/>
          <w:szCs w:val="24"/>
        </w:rPr>
        <w:lastRenderedPageBreak/>
        <w:t xml:space="preserve">With these proposed regulations, DEP has outlined a streamlined process for considering the potential impacts to public resources during the well permitting process. An applicant for a well permit will be required to notify the appropriate public resource agency (such as the </w:t>
      </w:r>
      <w:r w:rsidR="00E11120">
        <w:rPr>
          <w:rFonts w:cstheme="minorHAnsi"/>
          <w:sz w:val="24"/>
          <w:szCs w:val="24"/>
        </w:rPr>
        <w:t>d</w:t>
      </w:r>
      <w:r w:rsidRPr="0059552F">
        <w:rPr>
          <w:rFonts w:cstheme="minorHAnsi"/>
          <w:sz w:val="24"/>
          <w:szCs w:val="24"/>
        </w:rPr>
        <w:t>epartment of Conservation and Natural Resources or Pennsylvania Game Commission) if a well site is within:</w:t>
      </w:r>
    </w:p>
    <w:p w:rsidR="00B2028E" w:rsidRPr="0059552F" w:rsidRDefault="00B2028E" w:rsidP="00433C22">
      <w:pPr>
        <w:pStyle w:val="ListParagraph"/>
        <w:numPr>
          <w:ilvl w:val="0"/>
          <w:numId w:val="11"/>
        </w:numPr>
        <w:spacing w:line="240" w:lineRule="auto"/>
        <w:jc w:val="both"/>
        <w:rPr>
          <w:rFonts w:cstheme="minorHAnsi"/>
          <w:sz w:val="24"/>
          <w:szCs w:val="24"/>
        </w:rPr>
      </w:pPr>
      <w:r w:rsidRPr="0059552F">
        <w:rPr>
          <w:rFonts w:cstheme="minorHAnsi"/>
          <w:sz w:val="24"/>
          <w:szCs w:val="24"/>
        </w:rPr>
        <w:t>200 feet of a publicly owned park, forest, game land or wild life area;</w:t>
      </w:r>
    </w:p>
    <w:p w:rsidR="00B2028E" w:rsidRPr="0059552F" w:rsidRDefault="00B2028E" w:rsidP="00433C22">
      <w:pPr>
        <w:pStyle w:val="ListParagraph"/>
        <w:numPr>
          <w:ilvl w:val="0"/>
          <w:numId w:val="11"/>
        </w:numPr>
        <w:spacing w:line="240" w:lineRule="auto"/>
        <w:jc w:val="both"/>
        <w:rPr>
          <w:rFonts w:cstheme="minorHAnsi"/>
          <w:sz w:val="24"/>
          <w:szCs w:val="24"/>
        </w:rPr>
      </w:pPr>
      <w:r w:rsidRPr="0059552F">
        <w:rPr>
          <w:rFonts w:cstheme="minorHAnsi"/>
          <w:sz w:val="24"/>
          <w:szCs w:val="24"/>
        </w:rPr>
        <w:t>In or within the corridor of a state or national scenic river;</w:t>
      </w:r>
    </w:p>
    <w:p w:rsidR="00B2028E" w:rsidRPr="0059552F" w:rsidRDefault="00B2028E" w:rsidP="00433C22">
      <w:pPr>
        <w:pStyle w:val="ListParagraph"/>
        <w:numPr>
          <w:ilvl w:val="0"/>
          <w:numId w:val="11"/>
        </w:numPr>
        <w:spacing w:line="240" w:lineRule="auto"/>
        <w:jc w:val="both"/>
        <w:rPr>
          <w:rFonts w:cstheme="minorHAnsi"/>
          <w:sz w:val="24"/>
          <w:szCs w:val="24"/>
        </w:rPr>
      </w:pPr>
      <w:r w:rsidRPr="0059552F">
        <w:rPr>
          <w:rFonts w:cstheme="minorHAnsi"/>
          <w:sz w:val="24"/>
          <w:szCs w:val="24"/>
        </w:rPr>
        <w:t>Within 200 feet of a national natural landmark;</w:t>
      </w:r>
    </w:p>
    <w:p w:rsidR="00B2028E" w:rsidRPr="0059552F" w:rsidRDefault="00B2028E" w:rsidP="00433C22">
      <w:pPr>
        <w:pStyle w:val="ListParagraph"/>
        <w:numPr>
          <w:ilvl w:val="0"/>
          <w:numId w:val="11"/>
        </w:numPr>
        <w:spacing w:line="240" w:lineRule="auto"/>
        <w:jc w:val="both"/>
        <w:rPr>
          <w:rFonts w:cstheme="minorHAnsi"/>
          <w:sz w:val="24"/>
          <w:szCs w:val="24"/>
        </w:rPr>
      </w:pPr>
      <w:r w:rsidRPr="0059552F">
        <w:rPr>
          <w:rFonts w:cstheme="minorHAnsi"/>
          <w:sz w:val="24"/>
          <w:szCs w:val="24"/>
        </w:rPr>
        <w:t>In a location that will impact other critical communities (species of special concern);</w:t>
      </w:r>
    </w:p>
    <w:p w:rsidR="00B2028E" w:rsidRPr="0059552F" w:rsidRDefault="00B2028E" w:rsidP="00433C22">
      <w:pPr>
        <w:pStyle w:val="ListParagraph"/>
        <w:numPr>
          <w:ilvl w:val="0"/>
          <w:numId w:val="11"/>
        </w:numPr>
        <w:spacing w:line="240" w:lineRule="auto"/>
        <w:jc w:val="both"/>
        <w:rPr>
          <w:rFonts w:cstheme="minorHAnsi"/>
          <w:sz w:val="24"/>
          <w:szCs w:val="24"/>
        </w:rPr>
      </w:pPr>
      <w:r w:rsidRPr="0059552F">
        <w:rPr>
          <w:rFonts w:cstheme="minorHAnsi"/>
          <w:sz w:val="24"/>
          <w:szCs w:val="24"/>
        </w:rPr>
        <w:t>Within 200 feet of a historical or archaeological site listed on the Federal or State list of historic places; or</w:t>
      </w:r>
    </w:p>
    <w:p w:rsidR="00B2028E" w:rsidRPr="0059552F" w:rsidRDefault="00E11120" w:rsidP="00433C22">
      <w:pPr>
        <w:pStyle w:val="ListParagraph"/>
        <w:numPr>
          <w:ilvl w:val="0"/>
          <w:numId w:val="11"/>
        </w:numPr>
        <w:spacing w:line="240" w:lineRule="auto"/>
        <w:jc w:val="both"/>
        <w:rPr>
          <w:rFonts w:cstheme="minorHAnsi"/>
          <w:sz w:val="24"/>
          <w:szCs w:val="24"/>
        </w:rPr>
      </w:pPr>
      <w:r>
        <w:rPr>
          <w:rFonts w:cstheme="minorHAnsi"/>
          <w:sz w:val="24"/>
          <w:szCs w:val="24"/>
        </w:rPr>
        <w:t xml:space="preserve">Within 1,000 feet of </w:t>
      </w:r>
      <w:proofErr w:type="gramStart"/>
      <w:r>
        <w:rPr>
          <w:rFonts w:cstheme="minorHAnsi"/>
          <w:sz w:val="24"/>
          <w:szCs w:val="24"/>
        </w:rPr>
        <w:t>a</w:t>
      </w:r>
      <w:r w:rsidR="00B2028E" w:rsidRPr="0059552F">
        <w:rPr>
          <w:rFonts w:cstheme="minorHAnsi"/>
          <w:sz w:val="24"/>
          <w:szCs w:val="24"/>
        </w:rPr>
        <w:t xml:space="preserve"> water</w:t>
      </w:r>
      <w:proofErr w:type="gramEnd"/>
      <w:r w:rsidR="00B2028E" w:rsidRPr="0059552F">
        <w:rPr>
          <w:rFonts w:cstheme="minorHAnsi"/>
          <w:sz w:val="24"/>
          <w:szCs w:val="24"/>
        </w:rPr>
        <w:t xml:space="preserve"> well, surface water intake, reservoir or other water supply extraction point used by a water purveyor (unconventional wells only). </w:t>
      </w:r>
    </w:p>
    <w:p w:rsidR="00AD1FB1" w:rsidRDefault="008B188E" w:rsidP="00433C22">
      <w:pPr>
        <w:spacing w:line="240" w:lineRule="auto"/>
        <w:contextualSpacing/>
        <w:jc w:val="both"/>
        <w:rPr>
          <w:rFonts w:cstheme="minorHAnsi"/>
          <w:sz w:val="24"/>
          <w:szCs w:val="24"/>
        </w:rPr>
      </w:pPr>
      <w:r w:rsidRPr="0059552F">
        <w:rPr>
          <w:rFonts w:cstheme="minorHAnsi"/>
          <w:sz w:val="24"/>
          <w:szCs w:val="24"/>
        </w:rPr>
        <w:t xml:space="preserve">The resource agency may provide comments and recommendations to DEP and the operator on the well permit application. DEP will make the final determination on the permit and has the ability to add conditions to a well permit to ensure operators mitigate any potential impacts. </w:t>
      </w:r>
    </w:p>
    <w:p w:rsidR="004B0627" w:rsidRPr="002E4F5B" w:rsidRDefault="004B0627" w:rsidP="00433C22">
      <w:pPr>
        <w:spacing w:line="240" w:lineRule="auto"/>
        <w:contextualSpacing/>
        <w:jc w:val="both"/>
        <w:rPr>
          <w:rFonts w:cstheme="minorHAnsi"/>
          <w:sz w:val="16"/>
          <w:szCs w:val="16"/>
        </w:rPr>
      </w:pPr>
    </w:p>
    <w:p w:rsidR="00AD1FB1" w:rsidRDefault="008B188E" w:rsidP="00B40A41">
      <w:pPr>
        <w:spacing w:line="240" w:lineRule="auto"/>
        <w:contextualSpacing/>
        <w:jc w:val="both"/>
        <w:rPr>
          <w:rFonts w:cstheme="minorHAnsi"/>
          <w:b/>
          <w:sz w:val="24"/>
          <w:szCs w:val="24"/>
        </w:rPr>
      </w:pPr>
      <w:r w:rsidRPr="0059552F">
        <w:rPr>
          <w:rFonts w:cstheme="minorHAnsi"/>
          <w:b/>
          <w:sz w:val="24"/>
          <w:szCs w:val="24"/>
        </w:rPr>
        <w:t>Orphan and Abandoned Well Identification</w:t>
      </w:r>
    </w:p>
    <w:p w:rsidR="0059552F" w:rsidRPr="00E11120" w:rsidRDefault="0059552F" w:rsidP="00B40A41">
      <w:pPr>
        <w:spacing w:line="240" w:lineRule="auto"/>
        <w:contextualSpacing/>
        <w:jc w:val="both"/>
        <w:rPr>
          <w:rFonts w:cstheme="minorHAnsi"/>
          <w:b/>
          <w:sz w:val="16"/>
          <w:szCs w:val="16"/>
        </w:rPr>
      </w:pPr>
    </w:p>
    <w:p w:rsidR="00AD1FB1" w:rsidRPr="0059552F" w:rsidRDefault="00AD1FB1" w:rsidP="00B40A41">
      <w:pPr>
        <w:spacing w:line="240" w:lineRule="auto"/>
        <w:contextualSpacing/>
        <w:jc w:val="both"/>
        <w:rPr>
          <w:rFonts w:cstheme="minorHAnsi"/>
          <w:b/>
          <w:sz w:val="24"/>
          <w:szCs w:val="24"/>
        </w:rPr>
      </w:pPr>
      <w:r w:rsidRPr="0059552F">
        <w:rPr>
          <w:rFonts w:cstheme="minorHAnsi"/>
          <w:sz w:val="24"/>
          <w:szCs w:val="24"/>
        </w:rPr>
        <w:t xml:space="preserve">Since the first commercial oil well was drilled in Pennsylvania in 1859, it is estimated that 325,000 oil and gas wells have been drilled in the state. Pennsylvania began permitting new drilling operations in 1956, and in 1985 </w:t>
      </w:r>
      <w:r w:rsidR="00711E23" w:rsidRPr="0059552F">
        <w:rPr>
          <w:rFonts w:cstheme="minorHAnsi"/>
          <w:sz w:val="24"/>
          <w:szCs w:val="24"/>
        </w:rPr>
        <w:t>began requiring operators</w:t>
      </w:r>
      <w:r w:rsidRPr="0059552F">
        <w:rPr>
          <w:rFonts w:cstheme="minorHAnsi"/>
          <w:sz w:val="24"/>
          <w:szCs w:val="24"/>
        </w:rPr>
        <w:t xml:space="preserve"> to register old wells. In the early years of the oil and gas industry in Pennsylvania, many wells were not properly plugged once they stopped producing and were abandoned. </w:t>
      </w:r>
      <w:r w:rsidR="00343222" w:rsidRPr="0059552F">
        <w:rPr>
          <w:rFonts w:cstheme="minorHAnsi"/>
          <w:sz w:val="24"/>
          <w:szCs w:val="24"/>
        </w:rPr>
        <w:t>There are estimates of upwards of 250,000 wells that were not properly plugged, leaving them as “orphaned or abandoned.”</w:t>
      </w:r>
    </w:p>
    <w:p w:rsidR="00AD1FB1" w:rsidRPr="002E4F5B" w:rsidRDefault="00AD1FB1" w:rsidP="00B40A41">
      <w:pPr>
        <w:spacing w:line="240" w:lineRule="auto"/>
        <w:contextualSpacing/>
        <w:jc w:val="both"/>
        <w:rPr>
          <w:rFonts w:cstheme="minorHAnsi"/>
          <w:sz w:val="16"/>
          <w:szCs w:val="16"/>
        </w:rPr>
      </w:pPr>
    </w:p>
    <w:p w:rsidR="00AD1FB1" w:rsidRPr="0059552F" w:rsidRDefault="00AD1FB1" w:rsidP="00B40A41">
      <w:pPr>
        <w:spacing w:line="240" w:lineRule="auto"/>
        <w:contextualSpacing/>
        <w:jc w:val="both"/>
        <w:rPr>
          <w:rFonts w:cstheme="minorHAnsi"/>
          <w:sz w:val="24"/>
          <w:szCs w:val="24"/>
        </w:rPr>
      </w:pPr>
      <w:r w:rsidRPr="0059552F">
        <w:rPr>
          <w:rFonts w:cstheme="minorHAnsi"/>
          <w:sz w:val="24"/>
          <w:szCs w:val="24"/>
        </w:rPr>
        <w:t xml:space="preserve">An unplugged abandoned well can be a hazard not only to the environment, but also to the health and safety of Pennsylvania residents. Unplugged wells </w:t>
      </w:r>
      <w:r w:rsidR="00B55A81" w:rsidRPr="0059552F">
        <w:rPr>
          <w:rFonts w:cstheme="minorHAnsi"/>
          <w:sz w:val="24"/>
          <w:szCs w:val="24"/>
        </w:rPr>
        <w:t>may be a contributor to</w:t>
      </w:r>
      <w:r w:rsidRPr="0059552F">
        <w:rPr>
          <w:rFonts w:cstheme="minorHAnsi"/>
          <w:sz w:val="24"/>
          <w:szCs w:val="24"/>
        </w:rPr>
        <w:t xml:space="preserve"> methane migration. Although most abandoned and orphan wells do not pose an immediate threat, there have been events in Pennsylvania when a high-volume hydraulically fractured well altered an unplugged abandoned well. </w:t>
      </w:r>
    </w:p>
    <w:p w:rsidR="008B188E" w:rsidRPr="002E4F5B" w:rsidRDefault="008B188E" w:rsidP="00B40A41">
      <w:pPr>
        <w:spacing w:line="240" w:lineRule="auto"/>
        <w:contextualSpacing/>
        <w:jc w:val="both"/>
        <w:rPr>
          <w:rFonts w:cstheme="minorHAnsi"/>
          <w:b/>
          <w:sz w:val="16"/>
          <w:szCs w:val="16"/>
        </w:rPr>
      </w:pPr>
    </w:p>
    <w:p w:rsidR="00AD1FB1" w:rsidRPr="0059552F" w:rsidRDefault="00AD1FB1" w:rsidP="00B40A41">
      <w:pPr>
        <w:spacing w:after="0" w:line="240" w:lineRule="auto"/>
        <w:contextualSpacing/>
        <w:jc w:val="both"/>
        <w:rPr>
          <w:rFonts w:cstheme="minorHAnsi"/>
          <w:sz w:val="24"/>
          <w:szCs w:val="24"/>
        </w:rPr>
      </w:pPr>
      <w:r w:rsidRPr="0059552F">
        <w:rPr>
          <w:rFonts w:cstheme="minorHAnsi"/>
          <w:sz w:val="24"/>
          <w:szCs w:val="24"/>
        </w:rPr>
        <w:t>This proposed regulation will:</w:t>
      </w:r>
    </w:p>
    <w:p w:rsidR="00AD1FB1" w:rsidRPr="0059552F" w:rsidRDefault="00B55A81" w:rsidP="00B40A41">
      <w:pPr>
        <w:pStyle w:val="ListParagraph"/>
        <w:numPr>
          <w:ilvl w:val="0"/>
          <w:numId w:val="12"/>
        </w:numPr>
        <w:spacing w:after="0" w:line="240" w:lineRule="auto"/>
        <w:jc w:val="both"/>
        <w:rPr>
          <w:rFonts w:cstheme="minorHAnsi"/>
          <w:sz w:val="24"/>
          <w:szCs w:val="24"/>
        </w:rPr>
      </w:pPr>
      <w:r w:rsidRPr="0059552F">
        <w:rPr>
          <w:rFonts w:cstheme="minorHAnsi"/>
          <w:sz w:val="24"/>
          <w:szCs w:val="24"/>
        </w:rPr>
        <w:t>R</w:t>
      </w:r>
      <w:r w:rsidR="00AD1FB1" w:rsidRPr="0059552F">
        <w:rPr>
          <w:rFonts w:cstheme="minorHAnsi"/>
          <w:sz w:val="24"/>
          <w:szCs w:val="24"/>
        </w:rPr>
        <w:t>equire operators of gas wells or horizontal oil wells to identify any orphan or abandoned wells within 1,000 feet of the vertical and the horizontal well bores, prior to hydraulic fracturing;</w:t>
      </w:r>
    </w:p>
    <w:p w:rsidR="00AD1FB1" w:rsidRPr="0059552F" w:rsidRDefault="00B55A81" w:rsidP="00B40A41">
      <w:pPr>
        <w:pStyle w:val="ListParagraph"/>
        <w:numPr>
          <w:ilvl w:val="0"/>
          <w:numId w:val="12"/>
        </w:numPr>
        <w:spacing w:after="0" w:line="240" w:lineRule="auto"/>
        <w:jc w:val="both"/>
        <w:rPr>
          <w:rFonts w:cstheme="minorHAnsi"/>
          <w:sz w:val="24"/>
          <w:szCs w:val="24"/>
        </w:rPr>
      </w:pPr>
      <w:r w:rsidRPr="0059552F">
        <w:rPr>
          <w:rFonts w:cstheme="minorHAnsi"/>
          <w:sz w:val="24"/>
          <w:szCs w:val="24"/>
        </w:rPr>
        <w:t>R</w:t>
      </w:r>
      <w:r w:rsidR="00AD1FB1" w:rsidRPr="0059552F">
        <w:rPr>
          <w:rFonts w:cstheme="minorHAnsi"/>
          <w:sz w:val="24"/>
          <w:szCs w:val="24"/>
        </w:rPr>
        <w:t>equire visual monitoring of the identified orphan or abandoned wells that are likely to</w:t>
      </w:r>
      <w:r w:rsidR="00862E5F" w:rsidRPr="0059552F">
        <w:rPr>
          <w:rFonts w:cstheme="minorHAnsi"/>
          <w:sz w:val="24"/>
          <w:szCs w:val="24"/>
        </w:rPr>
        <w:t xml:space="preserve"> have</w:t>
      </w:r>
      <w:r w:rsidR="00AD1FB1" w:rsidRPr="0059552F">
        <w:rPr>
          <w:rFonts w:cstheme="minorHAnsi"/>
          <w:sz w:val="24"/>
          <w:szCs w:val="24"/>
        </w:rPr>
        <w:t xml:space="preserve"> penetrate</w:t>
      </w:r>
      <w:r w:rsidR="00862E5F" w:rsidRPr="0059552F">
        <w:rPr>
          <w:rFonts w:cstheme="minorHAnsi"/>
          <w:sz w:val="24"/>
          <w:szCs w:val="24"/>
        </w:rPr>
        <w:t>d the</w:t>
      </w:r>
      <w:r w:rsidR="00AD1FB1" w:rsidRPr="0059552F">
        <w:rPr>
          <w:rFonts w:cstheme="minorHAnsi"/>
          <w:sz w:val="24"/>
          <w:szCs w:val="24"/>
        </w:rPr>
        <w:t xml:space="preserve"> formation intended to be stimulated during hydraulic fracturing activities;</w:t>
      </w:r>
    </w:p>
    <w:p w:rsidR="00AD1FB1" w:rsidRPr="0059552F" w:rsidRDefault="00B55A81" w:rsidP="00B40A41">
      <w:pPr>
        <w:pStyle w:val="ListParagraph"/>
        <w:numPr>
          <w:ilvl w:val="0"/>
          <w:numId w:val="12"/>
        </w:numPr>
        <w:spacing w:after="0" w:line="240" w:lineRule="auto"/>
        <w:jc w:val="both"/>
        <w:rPr>
          <w:rFonts w:cstheme="minorHAnsi"/>
          <w:sz w:val="24"/>
          <w:szCs w:val="24"/>
        </w:rPr>
      </w:pPr>
      <w:r w:rsidRPr="0059552F">
        <w:rPr>
          <w:rFonts w:cstheme="minorHAnsi"/>
          <w:sz w:val="24"/>
          <w:szCs w:val="24"/>
        </w:rPr>
        <w:t>R</w:t>
      </w:r>
      <w:r w:rsidR="00AD1FB1" w:rsidRPr="0059552F">
        <w:rPr>
          <w:rFonts w:cstheme="minorHAnsi"/>
          <w:sz w:val="24"/>
          <w:szCs w:val="24"/>
        </w:rPr>
        <w:t xml:space="preserve">equire plugging by the operator if their fracturing process alters the identified abandoned well. </w:t>
      </w:r>
    </w:p>
    <w:p w:rsidR="008F7A69" w:rsidRPr="002E4F5B" w:rsidRDefault="008F7A69" w:rsidP="00B40A41">
      <w:pPr>
        <w:spacing w:line="240" w:lineRule="auto"/>
        <w:contextualSpacing/>
        <w:jc w:val="both"/>
        <w:rPr>
          <w:rFonts w:cstheme="minorHAnsi"/>
          <w:b/>
          <w:sz w:val="16"/>
          <w:szCs w:val="16"/>
        </w:rPr>
      </w:pPr>
    </w:p>
    <w:p w:rsidR="0059552F" w:rsidRDefault="00AD1FB1" w:rsidP="00B40A41">
      <w:pPr>
        <w:spacing w:line="240" w:lineRule="auto"/>
        <w:contextualSpacing/>
        <w:jc w:val="both"/>
        <w:rPr>
          <w:rFonts w:cstheme="minorHAnsi"/>
          <w:b/>
          <w:sz w:val="24"/>
          <w:szCs w:val="24"/>
        </w:rPr>
      </w:pPr>
      <w:r w:rsidRPr="0059552F">
        <w:rPr>
          <w:rFonts w:cstheme="minorHAnsi"/>
          <w:b/>
          <w:sz w:val="24"/>
          <w:szCs w:val="24"/>
        </w:rPr>
        <w:t>Containment Practices</w:t>
      </w:r>
    </w:p>
    <w:p w:rsidR="0059552F" w:rsidRPr="00E11120" w:rsidRDefault="0059552F" w:rsidP="00B40A41">
      <w:pPr>
        <w:spacing w:line="240" w:lineRule="auto"/>
        <w:contextualSpacing/>
        <w:jc w:val="both"/>
        <w:rPr>
          <w:rFonts w:cstheme="minorHAnsi"/>
          <w:b/>
          <w:sz w:val="16"/>
          <w:szCs w:val="16"/>
        </w:rPr>
      </w:pPr>
    </w:p>
    <w:p w:rsidR="00AD1FB1" w:rsidRPr="002E4F5B" w:rsidRDefault="00AD1FB1" w:rsidP="00B40A41">
      <w:pPr>
        <w:spacing w:line="240" w:lineRule="auto"/>
        <w:contextualSpacing/>
        <w:jc w:val="both"/>
        <w:rPr>
          <w:rFonts w:cstheme="minorHAnsi"/>
          <w:sz w:val="24"/>
          <w:szCs w:val="24"/>
        </w:rPr>
      </w:pPr>
      <w:r w:rsidRPr="0059552F">
        <w:rPr>
          <w:rFonts w:cstheme="minorHAnsi"/>
          <w:sz w:val="24"/>
          <w:szCs w:val="24"/>
        </w:rPr>
        <w:t xml:space="preserve">Inadequate containment practices pose a potential threat of </w:t>
      </w:r>
      <w:r w:rsidR="00E11120">
        <w:rPr>
          <w:rFonts w:cstheme="minorHAnsi"/>
          <w:sz w:val="24"/>
          <w:szCs w:val="24"/>
        </w:rPr>
        <w:t>pollution to the waters of the c</w:t>
      </w:r>
      <w:r w:rsidRPr="0059552F">
        <w:rPr>
          <w:rFonts w:cstheme="minorHAnsi"/>
          <w:sz w:val="24"/>
          <w:szCs w:val="24"/>
        </w:rPr>
        <w:t>ommonwealth.</w:t>
      </w:r>
      <w:r w:rsidR="00E11120">
        <w:rPr>
          <w:rFonts w:cstheme="minorHAnsi"/>
          <w:sz w:val="24"/>
          <w:szCs w:val="24"/>
        </w:rPr>
        <w:t xml:space="preserve"> </w:t>
      </w:r>
      <w:r w:rsidRPr="0059552F">
        <w:rPr>
          <w:rFonts w:cstheme="minorHAnsi"/>
          <w:sz w:val="24"/>
          <w:szCs w:val="24"/>
        </w:rPr>
        <w:t>The containment provisions included in this proposed regulation were carefully developed based on DEP’s inspection and field experience.</w:t>
      </w:r>
      <w:r w:rsidR="00E11120">
        <w:rPr>
          <w:rFonts w:cstheme="minorHAnsi"/>
          <w:sz w:val="24"/>
          <w:szCs w:val="24"/>
        </w:rPr>
        <w:t xml:space="preserve"> </w:t>
      </w:r>
      <w:r w:rsidRPr="0059552F">
        <w:rPr>
          <w:rFonts w:cstheme="minorHAnsi"/>
          <w:sz w:val="24"/>
          <w:szCs w:val="24"/>
        </w:rPr>
        <w:t>Act 13 includes new containment systems and practices requirements for unconventional well sites.</w:t>
      </w:r>
      <w:r w:rsidR="00E11120">
        <w:rPr>
          <w:rFonts w:cstheme="minorHAnsi"/>
          <w:sz w:val="24"/>
          <w:szCs w:val="24"/>
        </w:rPr>
        <w:t xml:space="preserve"> </w:t>
      </w:r>
      <w:r w:rsidRPr="0059552F">
        <w:rPr>
          <w:rFonts w:cstheme="minorHAnsi"/>
          <w:sz w:val="24"/>
          <w:szCs w:val="24"/>
        </w:rPr>
        <w:t xml:space="preserve">There are many options for containment that the oil and gas industry uses and is constantly developing improvements for, so DEP must be on the forefront of the curve. </w:t>
      </w:r>
    </w:p>
    <w:p w:rsidR="004B0627" w:rsidRPr="002E4F5B" w:rsidRDefault="004B0627" w:rsidP="00B40A41">
      <w:pPr>
        <w:spacing w:after="0" w:line="240" w:lineRule="auto"/>
        <w:contextualSpacing/>
        <w:jc w:val="both"/>
        <w:rPr>
          <w:rFonts w:cstheme="minorHAnsi"/>
          <w:i/>
          <w:sz w:val="16"/>
          <w:szCs w:val="16"/>
        </w:rPr>
      </w:pPr>
    </w:p>
    <w:p w:rsidR="00AD1FB1" w:rsidRPr="0059552F" w:rsidRDefault="00AD1FB1" w:rsidP="00B40A41">
      <w:pPr>
        <w:spacing w:after="0" w:line="240" w:lineRule="auto"/>
        <w:contextualSpacing/>
        <w:jc w:val="both"/>
        <w:rPr>
          <w:rFonts w:cstheme="minorHAnsi"/>
          <w:i/>
          <w:sz w:val="24"/>
          <w:szCs w:val="24"/>
        </w:rPr>
      </w:pPr>
      <w:r w:rsidRPr="0059552F">
        <w:rPr>
          <w:rFonts w:cstheme="minorHAnsi"/>
          <w:i/>
          <w:sz w:val="24"/>
          <w:szCs w:val="24"/>
        </w:rPr>
        <w:lastRenderedPageBreak/>
        <w:t>Temporary Storage:</w:t>
      </w:r>
    </w:p>
    <w:p w:rsidR="00AD1FB1" w:rsidRPr="0059552F" w:rsidRDefault="00AD1FB1" w:rsidP="00B40A41">
      <w:pPr>
        <w:pStyle w:val="ListParagraph"/>
        <w:numPr>
          <w:ilvl w:val="0"/>
          <w:numId w:val="17"/>
        </w:numPr>
        <w:spacing w:after="0" w:line="240" w:lineRule="auto"/>
        <w:jc w:val="both"/>
        <w:rPr>
          <w:rFonts w:cstheme="minorHAnsi"/>
          <w:sz w:val="24"/>
          <w:szCs w:val="24"/>
        </w:rPr>
      </w:pPr>
      <w:r w:rsidRPr="0059552F">
        <w:rPr>
          <w:rFonts w:cstheme="minorHAnsi"/>
          <w:sz w:val="24"/>
          <w:szCs w:val="24"/>
        </w:rPr>
        <w:t xml:space="preserve">Open pits may only be used for the temporary storage of materials (production pits are banned). </w:t>
      </w:r>
    </w:p>
    <w:p w:rsidR="00046B9E" w:rsidRPr="0059552F" w:rsidRDefault="00AD1FB1" w:rsidP="00B40A41">
      <w:pPr>
        <w:pStyle w:val="ListParagraph"/>
        <w:numPr>
          <w:ilvl w:val="0"/>
          <w:numId w:val="13"/>
        </w:numPr>
        <w:spacing w:after="0" w:line="240" w:lineRule="auto"/>
        <w:jc w:val="both"/>
        <w:rPr>
          <w:rFonts w:cstheme="minorHAnsi"/>
          <w:sz w:val="24"/>
          <w:szCs w:val="24"/>
        </w:rPr>
      </w:pPr>
      <w:r w:rsidRPr="0059552F">
        <w:rPr>
          <w:rFonts w:cstheme="minorHAnsi"/>
          <w:sz w:val="24"/>
          <w:szCs w:val="24"/>
        </w:rPr>
        <w:t>Pits must have</w:t>
      </w:r>
      <w:r w:rsidR="00046B9E" w:rsidRPr="0059552F">
        <w:rPr>
          <w:rFonts w:cstheme="minorHAnsi"/>
          <w:sz w:val="24"/>
          <w:szCs w:val="24"/>
        </w:rPr>
        <w:t xml:space="preserve"> a</w:t>
      </w:r>
      <w:r w:rsidRPr="0059552F">
        <w:rPr>
          <w:rFonts w:cstheme="minorHAnsi"/>
          <w:sz w:val="24"/>
          <w:szCs w:val="24"/>
        </w:rPr>
        <w:t xml:space="preserve"> liner</w:t>
      </w:r>
      <w:r w:rsidR="00046B9E" w:rsidRPr="0059552F">
        <w:rPr>
          <w:rFonts w:cstheme="minorHAnsi"/>
          <w:sz w:val="24"/>
          <w:szCs w:val="24"/>
        </w:rPr>
        <w:t xml:space="preserve"> of minimum thickness</w:t>
      </w:r>
      <w:r w:rsidRPr="0059552F">
        <w:rPr>
          <w:rFonts w:cstheme="minorHAnsi"/>
          <w:sz w:val="24"/>
          <w:szCs w:val="24"/>
        </w:rPr>
        <w:t xml:space="preserve"> </w:t>
      </w:r>
      <w:r w:rsidR="00046B9E" w:rsidRPr="0059552F">
        <w:rPr>
          <w:rFonts w:cstheme="minorHAnsi"/>
          <w:sz w:val="24"/>
          <w:szCs w:val="24"/>
        </w:rPr>
        <w:t>and be compatible with</w:t>
      </w:r>
      <w:r w:rsidRPr="0059552F">
        <w:rPr>
          <w:rFonts w:cstheme="minorHAnsi"/>
          <w:sz w:val="24"/>
          <w:szCs w:val="24"/>
        </w:rPr>
        <w:t xml:space="preserve"> the wastes that will be stored</w:t>
      </w:r>
      <w:r w:rsidR="00046B9E" w:rsidRPr="0059552F">
        <w:rPr>
          <w:rFonts w:cstheme="minorHAnsi"/>
          <w:sz w:val="24"/>
          <w:szCs w:val="24"/>
        </w:rPr>
        <w:t xml:space="preserve">. </w:t>
      </w:r>
    </w:p>
    <w:p w:rsidR="00AD1FB1" w:rsidRPr="0059552F" w:rsidRDefault="00046B9E" w:rsidP="00B40A41">
      <w:pPr>
        <w:pStyle w:val="ListParagraph"/>
        <w:numPr>
          <w:ilvl w:val="0"/>
          <w:numId w:val="13"/>
        </w:numPr>
        <w:spacing w:after="0" w:line="240" w:lineRule="auto"/>
        <w:jc w:val="both"/>
        <w:rPr>
          <w:rFonts w:cstheme="minorHAnsi"/>
          <w:sz w:val="24"/>
          <w:szCs w:val="24"/>
        </w:rPr>
      </w:pPr>
      <w:r w:rsidRPr="0059552F">
        <w:rPr>
          <w:rFonts w:cstheme="minorHAnsi"/>
          <w:sz w:val="24"/>
          <w:szCs w:val="24"/>
        </w:rPr>
        <w:t>Pit</w:t>
      </w:r>
      <w:r w:rsidR="00AD1FB1" w:rsidRPr="0059552F">
        <w:rPr>
          <w:rFonts w:cstheme="minorHAnsi"/>
          <w:sz w:val="24"/>
          <w:szCs w:val="24"/>
        </w:rPr>
        <w:t xml:space="preserve"> seams must be tested prior to use.</w:t>
      </w:r>
    </w:p>
    <w:p w:rsidR="00AD1FB1" w:rsidRPr="0059552F" w:rsidRDefault="00AD1FB1" w:rsidP="00B40A41">
      <w:pPr>
        <w:pStyle w:val="ListParagraph"/>
        <w:numPr>
          <w:ilvl w:val="0"/>
          <w:numId w:val="13"/>
        </w:numPr>
        <w:spacing w:after="0" w:line="240" w:lineRule="auto"/>
        <w:jc w:val="both"/>
        <w:rPr>
          <w:rFonts w:cstheme="minorHAnsi"/>
          <w:sz w:val="24"/>
          <w:szCs w:val="24"/>
        </w:rPr>
      </w:pPr>
      <w:r w:rsidRPr="0059552F">
        <w:rPr>
          <w:rFonts w:cstheme="minorHAnsi"/>
          <w:sz w:val="24"/>
          <w:szCs w:val="24"/>
        </w:rPr>
        <w:t xml:space="preserve">Pits must </w:t>
      </w:r>
      <w:r w:rsidR="00046B9E" w:rsidRPr="0059552F">
        <w:rPr>
          <w:rFonts w:cstheme="minorHAnsi"/>
          <w:sz w:val="24"/>
          <w:szCs w:val="24"/>
        </w:rPr>
        <w:t>be fenced-</w:t>
      </w:r>
      <w:r w:rsidRPr="0059552F">
        <w:rPr>
          <w:rFonts w:cstheme="minorHAnsi"/>
          <w:sz w:val="24"/>
          <w:szCs w:val="24"/>
        </w:rPr>
        <w:t>in completely to prevent vandalism and damage from wildlife unl</w:t>
      </w:r>
      <w:r w:rsidR="00046B9E" w:rsidRPr="0059552F">
        <w:rPr>
          <w:rFonts w:cstheme="minorHAnsi"/>
          <w:sz w:val="24"/>
          <w:szCs w:val="24"/>
        </w:rPr>
        <w:t>ess there is 24-</w:t>
      </w:r>
      <w:r w:rsidRPr="0059552F">
        <w:rPr>
          <w:rFonts w:cstheme="minorHAnsi"/>
          <w:sz w:val="24"/>
          <w:szCs w:val="24"/>
        </w:rPr>
        <w:t>hour security on site.</w:t>
      </w:r>
    </w:p>
    <w:p w:rsidR="00AD1FB1" w:rsidRPr="0059552F" w:rsidRDefault="00AD1FB1" w:rsidP="00B40A41">
      <w:pPr>
        <w:pStyle w:val="ListParagraph"/>
        <w:numPr>
          <w:ilvl w:val="0"/>
          <w:numId w:val="13"/>
        </w:numPr>
        <w:spacing w:after="0" w:line="240" w:lineRule="auto"/>
        <w:jc w:val="both"/>
        <w:rPr>
          <w:rFonts w:cstheme="minorHAnsi"/>
          <w:sz w:val="24"/>
          <w:szCs w:val="24"/>
        </w:rPr>
      </w:pPr>
      <w:r w:rsidRPr="0059552F">
        <w:rPr>
          <w:rFonts w:cstheme="minorHAnsi"/>
          <w:sz w:val="24"/>
          <w:szCs w:val="24"/>
        </w:rPr>
        <w:t xml:space="preserve">Modular storage must be approved by DEP. </w:t>
      </w:r>
      <w:r w:rsidR="00046B9E" w:rsidRPr="0059552F">
        <w:rPr>
          <w:rFonts w:cstheme="minorHAnsi"/>
          <w:sz w:val="24"/>
          <w:szCs w:val="24"/>
        </w:rPr>
        <w:t>(DEP will maintain approved list).</w:t>
      </w:r>
    </w:p>
    <w:p w:rsidR="00AD1FB1" w:rsidRPr="0059552F" w:rsidRDefault="00AD1FB1" w:rsidP="00B40A41">
      <w:pPr>
        <w:pStyle w:val="ListParagraph"/>
        <w:numPr>
          <w:ilvl w:val="0"/>
          <w:numId w:val="13"/>
        </w:numPr>
        <w:spacing w:after="0" w:line="240" w:lineRule="auto"/>
        <w:jc w:val="both"/>
        <w:rPr>
          <w:rFonts w:cstheme="minorHAnsi"/>
          <w:sz w:val="24"/>
          <w:szCs w:val="24"/>
        </w:rPr>
      </w:pPr>
      <w:r w:rsidRPr="0059552F">
        <w:rPr>
          <w:rFonts w:cstheme="minorHAnsi"/>
          <w:sz w:val="24"/>
          <w:szCs w:val="24"/>
        </w:rPr>
        <w:t xml:space="preserve">Tank valves and access lids must be locked to prevent unauthorized access. </w:t>
      </w:r>
    </w:p>
    <w:p w:rsidR="00AD1FB1" w:rsidRPr="002E4F5B" w:rsidRDefault="00AD1FB1" w:rsidP="00B40A41">
      <w:pPr>
        <w:pStyle w:val="ListParagraph"/>
        <w:spacing w:line="240" w:lineRule="auto"/>
        <w:jc w:val="both"/>
        <w:rPr>
          <w:rFonts w:cstheme="minorHAnsi"/>
          <w:sz w:val="16"/>
          <w:szCs w:val="16"/>
        </w:rPr>
      </w:pPr>
    </w:p>
    <w:p w:rsidR="00AD1FB1" w:rsidRPr="0059552F" w:rsidRDefault="00AD1FB1" w:rsidP="00B40A41">
      <w:pPr>
        <w:pStyle w:val="ListParagraph"/>
        <w:spacing w:after="0" w:line="240" w:lineRule="auto"/>
        <w:ind w:left="0"/>
        <w:jc w:val="both"/>
        <w:rPr>
          <w:rFonts w:cstheme="minorHAnsi"/>
          <w:i/>
          <w:sz w:val="24"/>
          <w:szCs w:val="24"/>
        </w:rPr>
      </w:pPr>
      <w:r w:rsidRPr="0059552F">
        <w:rPr>
          <w:rFonts w:cstheme="minorHAnsi"/>
          <w:i/>
          <w:sz w:val="24"/>
          <w:szCs w:val="24"/>
        </w:rPr>
        <w:t>Longer-term Storage:</w:t>
      </w:r>
    </w:p>
    <w:p w:rsidR="00AD1FB1" w:rsidRPr="0059552F" w:rsidRDefault="00AD1FB1" w:rsidP="00B40A41">
      <w:pPr>
        <w:pStyle w:val="ListParagraph"/>
        <w:numPr>
          <w:ilvl w:val="0"/>
          <w:numId w:val="14"/>
        </w:numPr>
        <w:spacing w:after="0" w:line="240" w:lineRule="auto"/>
        <w:jc w:val="both"/>
        <w:rPr>
          <w:rFonts w:cstheme="minorHAnsi"/>
          <w:sz w:val="24"/>
          <w:szCs w:val="24"/>
        </w:rPr>
      </w:pPr>
      <w:r w:rsidRPr="0059552F">
        <w:rPr>
          <w:rFonts w:cstheme="minorHAnsi"/>
          <w:sz w:val="24"/>
          <w:szCs w:val="24"/>
        </w:rPr>
        <w:t>Open top structures will not be permitted to store produced water.</w:t>
      </w:r>
    </w:p>
    <w:p w:rsidR="00AD1FB1" w:rsidRPr="0059552F" w:rsidRDefault="00AD1FB1" w:rsidP="00B40A41">
      <w:pPr>
        <w:pStyle w:val="ListParagraph"/>
        <w:numPr>
          <w:ilvl w:val="0"/>
          <w:numId w:val="14"/>
        </w:numPr>
        <w:spacing w:after="0" w:line="240" w:lineRule="auto"/>
        <w:jc w:val="both"/>
        <w:rPr>
          <w:rFonts w:cstheme="minorHAnsi"/>
          <w:sz w:val="24"/>
          <w:szCs w:val="24"/>
        </w:rPr>
      </w:pPr>
      <w:r w:rsidRPr="0059552F">
        <w:rPr>
          <w:rFonts w:cstheme="minorHAnsi"/>
          <w:sz w:val="24"/>
          <w:szCs w:val="24"/>
        </w:rPr>
        <w:t xml:space="preserve">Underground or partially buried storage tanks cannot be used to store brine unless approved by DEP. </w:t>
      </w:r>
    </w:p>
    <w:p w:rsidR="00AD1FB1" w:rsidRPr="0059552F" w:rsidRDefault="00AD1FB1" w:rsidP="00B40A41">
      <w:pPr>
        <w:pStyle w:val="ListParagraph"/>
        <w:numPr>
          <w:ilvl w:val="0"/>
          <w:numId w:val="14"/>
        </w:numPr>
        <w:spacing w:after="0" w:line="240" w:lineRule="auto"/>
        <w:jc w:val="both"/>
        <w:rPr>
          <w:rFonts w:cstheme="minorHAnsi"/>
          <w:sz w:val="24"/>
          <w:szCs w:val="24"/>
        </w:rPr>
      </w:pPr>
      <w:r w:rsidRPr="0059552F">
        <w:rPr>
          <w:rFonts w:cstheme="minorHAnsi"/>
          <w:sz w:val="24"/>
          <w:szCs w:val="24"/>
        </w:rPr>
        <w:t xml:space="preserve">All tanks should be protected from unauthorized acts of third parties. </w:t>
      </w:r>
    </w:p>
    <w:p w:rsidR="00AD1FB1" w:rsidRPr="002E4F5B" w:rsidRDefault="00AD1FB1" w:rsidP="00B40A41">
      <w:pPr>
        <w:spacing w:line="240" w:lineRule="auto"/>
        <w:contextualSpacing/>
        <w:jc w:val="both"/>
        <w:rPr>
          <w:rFonts w:cstheme="minorHAnsi"/>
          <w:i/>
          <w:sz w:val="16"/>
          <w:szCs w:val="16"/>
        </w:rPr>
      </w:pPr>
    </w:p>
    <w:p w:rsidR="00AD1FB1" w:rsidRPr="0059552F" w:rsidRDefault="000155D5" w:rsidP="00B40A41">
      <w:pPr>
        <w:spacing w:after="0" w:line="240" w:lineRule="auto"/>
        <w:contextualSpacing/>
        <w:jc w:val="both"/>
        <w:rPr>
          <w:rFonts w:cstheme="minorHAnsi"/>
          <w:sz w:val="24"/>
          <w:szCs w:val="24"/>
        </w:rPr>
      </w:pPr>
      <w:r w:rsidRPr="0059552F">
        <w:rPr>
          <w:rFonts w:cstheme="minorHAnsi"/>
          <w:i/>
          <w:sz w:val="24"/>
          <w:szCs w:val="24"/>
        </w:rPr>
        <w:t xml:space="preserve">Freshwater </w:t>
      </w:r>
      <w:r w:rsidR="00AD1FB1" w:rsidRPr="0059552F">
        <w:rPr>
          <w:rFonts w:cstheme="minorHAnsi"/>
          <w:i/>
          <w:sz w:val="24"/>
          <w:szCs w:val="24"/>
        </w:rPr>
        <w:t>Impoundments:</w:t>
      </w:r>
    </w:p>
    <w:p w:rsidR="00AD1FB1" w:rsidRPr="0059552F" w:rsidRDefault="000155D5" w:rsidP="00B40A41">
      <w:pPr>
        <w:pStyle w:val="ListParagraph"/>
        <w:numPr>
          <w:ilvl w:val="0"/>
          <w:numId w:val="15"/>
        </w:numPr>
        <w:spacing w:after="0" w:line="240" w:lineRule="auto"/>
        <w:jc w:val="both"/>
        <w:rPr>
          <w:rFonts w:cstheme="minorHAnsi"/>
          <w:sz w:val="24"/>
          <w:szCs w:val="24"/>
        </w:rPr>
      </w:pPr>
      <w:r w:rsidRPr="0059552F">
        <w:rPr>
          <w:rFonts w:cstheme="minorHAnsi"/>
          <w:sz w:val="24"/>
          <w:szCs w:val="24"/>
        </w:rPr>
        <w:t>Required to</w:t>
      </w:r>
      <w:r w:rsidR="00AD1FB1" w:rsidRPr="0059552F">
        <w:rPr>
          <w:rFonts w:cstheme="minorHAnsi"/>
          <w:sz w:val="24"/>
          <w:szCs w:val="24"/>
        </w:rPr>
        <w:t xml:space="preserve"> be constructed with a synthetic impervious liner. This prevents lesser-qual</w:t>
      </w:r>
      <w:r w:rsidR="00E11120">
        <w:rPr>
          <w:rFonts w:cstheme="minorHAnsi"/>
          <w:sz w:val="24"/>
          <w:szCs w:val="24"/>
        </w:rPr>
        <w:t>ity freshwater from impacting High Quality</w:t>
      </w:r>
      <w:r w:rsidR="00AD1FB1" w:rsidRPr="0059552F">
        <w:rPr>
          <w:rFonts w:cstheme="minorHAnsi"/>
          <w:sz w:val="24"/>
          <w:szCs w:val="24"/>
        </w:rPr>
        <w:t xml:space="preserve"> or E</w:t>
      </w:r>
      <w:r w:rsidR="00E11120">
        <w:rPr>
          <w:rFonts w:cstheme="minorHAnsi"/>
          <w:sz w:val="24"/>
          <w:szCs w:val="24"/>
        </w:rPr>
        <w:t xml:space="preserve">xceptional </w:t>
      </w:r>
      <w:r w:rsidR="00AD1FB1" w:rsidRPr="0059552F">
        <w:rPr>
          <w:rFonts w:cstheme="minorHAnsi"/>
          <w:sz w:val="24"/>
          <w:szCs w:val="24"/>
        </w:rPr>
        <w:t>V</w:t>
      </w:r>
      <w:r w:rsidR="00E11120">
        <w:rPr>
          <w:rFonts w:cstheme="minorHAnsi"/>
          <w:sz w:val="24"/>
          <w:szCs w:val="24"/>
        </w:rPr>
        <w:t>alue</w:t>
      </w:r>
      <w:r w:rsidR="00AD1FB1" w:rsidRPr="0059552F">
        <w:rPr>
          <w:rFonts w:cstheme="minorHAnsi"/>
          <w:sz w:val="24"/>
          <w:szCs w:val="24"/>
        </w:rPr>
        <w:t xml:space="preserve"> waters or groundwater. </w:t>
      </w:r>
    </w:p>
    <w:p w:rsidR="00AD1FB1" w:rsidRPr="0059552F" w:rsidRDefault="000155D5" w:rsidP="00B40A41">
      <w:pPr>
        <w:pStyle w:val="ListParagraph"/>
        <w:numPr>
          <w:ilvl w:val="0"/>
          <w:numId w:val="15"/>
        </w:numPr>
        <w:spacing w:after="0" w:line="240" w:lineRule="auto"/>
        <w:jc w:val="both"/>
        <w:rPr>
          <w:rFonts w:cstheme="minorHAnsi"/>
          <w:sz w:val="24"/>
          <w:szCs w:val="24"/>
        </w:rPr>
      </w:pPr>
      <w:r w:rsidRPr="0059552F">
        <w:rPr>
          <w:rFonts w:cstheme="minorHAnsi"/>
          <w:sz w:val="24"/>
          <w:szCs w:val="24"/>
        </w:rPr>
        <w:t>Required to</w:t>
      </w:r>
      <w:r w:rsidR="00E11120">
        <w:rPr>
          <w:rFonts w:cstheme="minorHAnsi"/>
          <w:sz w:val="24"/>
          <w:szCs w:val="24"/>
        </w:rPr>
        <w:t xml:space="preserve"> be registered with the d</w:t>
      </w:r>
      <w:r w:rsidR="00AD1FB1" w:rsidRPr="0059552F">
        <w:rPr>
          <w:rFonts w:cstheme="minorHAnsi"/>
          <w:sz w:val="24"/>
          <w:szCs w:val="24"/>
        </w:rPr>
        <w:t>epartment.</w:t>
      </w:r>
    </w:p>
    <w:p w:rsidR="00AD1FB1" w:rsidRPr="0059552F" w:rsidRDefault="000155D5" w:rsidP="00B40A41">
      <w:pPr>
        <w:pStyle w:val="ListParagraph"/>
        <w:numPr>
          <w:ilvl w:val="0"/>
          <w:numId w:val="15"/>
        </w:numPr>
        <w:spacing w:after="0" w:line="240" w:lineRule="auto"/>
        <w:jc w:val="both"/>
        <w:rPr>
          <w:rFonts w:cstheme="minorHAnsi"/>
          <w:sz w:val="24"/>
          <w:szCs w:val="24"/>
        </w:rPr>
      </w:pPr>
      <w:r w:rsidRPr="0059552F">
        <w:rPr>
          <w:rFonts w:cstheme="minorHAnsi"/>
          <w:sz w:val="24"/>
          <w:szCs w:val="24"/>
        </w:rPr>
        <w:t>Required to</w:t>
      </w:r>
      <w:r w:rsidR="00AD1FB1" w:rsidRPr="0059552F">
        <w:rPr>
          <w:rFonts w:cstheme="minorHAnsi"/>
          <w:sz w:val="24"/>
          <w:szCs w:val="24"/>
        </w:rPr>
        <w:t xml:space="preserve"> be fenced</w:t>
      </w:r>
      <w:r w:rsidRPr="0059552F">
        <w:rPr>
          <w:rFonts w:cstheme="minorHAnsi"/>
          <w:sz w:val="24"/>
          <w:szCs w:val="24"/>
        </w:rPr>
        <w:t xml:space="preserve"> to prevent access by third parties and damage from wildlife</w:t>
      </w:r>
      <w:r w:rsidR="00AD1FB1" w:rsidRPr="0059552F">
        <w:rPr>
          <w:rFonts w:cstheme="minorHAnsi"/>
          <w:sz w:val="24"/>
          <w:szCs w:val="24"/>
        </w:rPr>
        <w:t xml:space="preserve">. </w:t>
      </w:r>
    </w:p>
    <w:p w:rsidR="00AD1FB1" w:rsidRPr="0059552F" w:rsidRDefault="000155D5" w:rsidP="00B40A41">
      <w:pPr>
        <w:pStyle w:val="ListParagraph"/>
        <w:numPr>
          <w:ilvl w:val="0"/>
          <w:numId w:val="15"/>
        </w:numPr>
        <w:spacing w:after="0" w:line="240" w:lineRule="auto"/>
        <w:jc w:val="both"/>
        <w:rPr>
          <w:rFonts w:cstheme="minorHAnsi"/>
          <w:sz w:val="24"/>
          <w:szCs w:val="24"/>
        </w:rPr>
      </w:pPr>
      <w:r w:rsidRPr="0059552F">
        <w:rPr>
          <w:rFonts w:cstheme="minorHAnsi"/>
          <w:sz w:val="24"/>
          <w:szCs w:val="24"/>
        </w:rPr>
        <w:t>M</w:t>
      </w:r>
      <w:r w:rsidR="00AD1FB1" w:rsidRPr="0059552F">
        <w:rPr>
          <w:rFonts w:cstheme="minorHAnsi"/>
          <w:sz w:val="24"/>
          <w:szCs w:val="24"/>
        </w:rPr>
        <w:t xml:space="preserve">ust be restored, unless approved by the landowner. </w:t>
      </w:r>
    </w:p>
    <w:p w:rsidR="00AD1FB1" w:rsidRPr="002E4F5B" w:rsidRDefault="00AD1FB1" w:rsidP="00B40A41">
      <w:pPr>
        <w:spacing w:line="240" w:lineRule="auto"/>
        <w:contextualSpacing/>
        <w:jc w:val="both"/>
        <w:rPr>
          <w:rFonts w:cstheme="minorHAnsi"/>
          <w:i/>
          <w:sz w:val="16"/>
          <w:szCs w:val="16"/>
        </w:rPr>
      </w:pPr>
    </w:p>
    <w:p w:rsidR="00AD1FB1" w:rsidRPr="0059552F" w:rsidRDefault="00AD1FB1" w:rsidP="00B40A41">
      <w:pPr>
        <w:spacing w:after="0" w:line="240" w:lineRule="auto"/>
        <w:contextualSpacing/>
        <w:jc w:val="both"/>
        <w:rPr>
          <w:rFonts w:cstheme="minorHAnsi"/>
          <w:sz w:val="24"/>
          <w:szCs w:val="24"/>
        </w:rPr>
      </w:pPr>
      <w:r w:rsidRPr="0059552F">
        <w:rPr>
          <w:rFonts w:cstheme="minorHAnsi"/>
          <w:i/>
          <w:sz w:val="24"/>
          <w:szCs w:val="24"/>
        </w:rPr>
        <w:t>Secondary Containment:</w:t>
      </w:r>
    </w:p>
    <w:p w:rsidR="00AD1FB1" w:rsidRPr="0059552F" w:rsidRDefault="000155D5" w:rsidP="00B40A41">
      <w:pPr>
        <w:pStyle w:val="ListParagraph"/>
        <w:numPr>
          <w:ilvl w:val="0"/>
          <w:numId w:val="14"/>
        </w:numPr>
        <w:spacing w:after="0" w:line="240" w:lineRule="auto"/>
        <w:jc w:val="both"/>
        <w:rPr>
          <w:rFonts w:cstheme="minorHAnsi"/>
          <w:sz w:val="24"/>
          <w:szCs w:val="24"/>
        </w:rPr>
      </w:pPr>
      <w:r w:rsidRPr="0059552F">
        <w:rPr>
          <w:rFonts w:cstheme="minorHAnsi"/>
          <w:sz w:val="24"/>
          <w:szCs w:val="24"/>
        </w:rPr>
        <w:t>Require</w:t>
      </w:r>
      <w:r w:rsidR="00AD1FB1" w:rsidRPr="0059552F">
        <w:rPr>
          <w:rFonts w:cstheme="minorHAnsi"/>
          <w:sz w:val="24"/>
          <w:szCs w:val="24"/>
        </w:rPr>
        <w:t xml:space="preserve"> operators employ secondary containment at unconventional well sites (</w:t>
      </w:r>
      <w:r w:rsidRPr="0059552F">
        <w:rPr>
          <w:rFonts w:cstheme="minorHAnsi"/>
          <w:sz w:val="24"/>
          <w:szCs w:val="24"/>
        </w:rPr>
        <w:t xml:space="preserve">e.g. </w:t>
      </w:r>
      <w:r w:rsidR="00AD1FB1" w:rsidRPr="0059552F">
        <w:rPr>
          <w:rFonts w:cstheme="minorHAnsi"/>
          <w:sz w:val="24"/>
          <w:szCs w:val="24"/>
        </w:rPr>
        <w:t>liners or double walled tanks</w:t>
      </w:r>
      <w:r w:rsidRPr="0059552F">
        <w:rPr>
          <w:rFonts w:cstheme="minorHAnsi"/>
          <w:sz w:val="24"/>
          <w:szCs w:val="24"/>
        </w:rPr>
        <w:t>, etc</w:t>
      </w:r>
      <w:r w:rsidR="00E11120">
        <w:rPr>
          <w:rFonts w:cstheme="minorHAnsi"/>
          <w:sz w:val="24"/>
          <w:szCs w:val="24"/>
        </w:rPr>
        <w:t>.</w:t>
      </w:r>
      <w:r w:rsidR="00AD1FB1" w:rsidRPr="0059552F">
        <w:rPr>
          <w:rFonts w:cstheme="minorHAnsi"/>
          <w:sz w:val="24"/>
          <w:szCs w:val="24"/>
        </w:rPr>
        <w:t>) to prevent regulated substances f</w:t>
      </w:r>
      <w:r w:rsidR="00E11120">
        <w:rPr>
          <w:rFonts w:cstheme="minorHAnsi"/>
          <w:sz w:val="24"/>
          <w:szCs w:val="24"/>
        </w:rPr>
        <w:t>rom reaching the waters of the c</w:t>
      </w:r>
      <w:r w:rsidR="00AD1FB1" w:rsidRPr="0059552F">
        <w:rPr>
          <w:rFonts w:cstheme="minorHAnsi"/>
          <w:sz w:val="24"/>
          <w:szCs w:val="24"/>
        </w:rPr>
        <w:t xml:space="preserve">ommonwealth. </w:t>
      </w:r>
    </w:p>
    <w:p w:rsidR="00AD1FB1" w:rsidRPr="0059552F" w:rsidRDefault="00AD1FB1" w:rsidP="00B40A41">
      <w:pPr>
        <w:pStyle w:val="ListParagraph"/>
        <w:numPr>
          <w:ilvl w:val="0"/>
          <w:numId w:val="14"/>
        </w:numPr>
        <w:spacing w:after="0" w:line="240" w:lineRule="auto"/>
        <w:jc w:val="both"/>
        <w:rPr>
          <w:rFonts w:cstheme="minorHAnsi"/>
          <w:sz w:val="24"/>
          <w:szCs w:val="24"/>
        </w:rPr>
      </w:pPr>
      <w:r w:rsidRPr="0059552F">
        <w:rPr>
          <w:rFonts w:cstheme="minorHAnsi"/>
          <w:sz w:val="24"/>
          <w:szCs w:val="24"/>
        </w:rPr>
        <w:t xml:space="preserve">Subsurface secondary containment is an option for operators. </w:t>
      </w:r>
    </w:p>
    <w:p w:rsidR="0059552F" w:rsidRPr="002E4F5B" w:rsidRDefault="0059552F" w:rsidP="00B40A41">
      <w:pPr>
        <w:spacing w:after="0" w:line="240" w:lineRule="auto"/>
        <w:jc w:val="both"/>
        <w:rPr>
          <w:rFonts w:cstheme="minorHAnsi"/>
          <w:b/>
          <w:sz w:val="16"/>
          <w:szCs w:val="16"/>
        </w:rPr>
      </w:pPr>
    </w:p>
    <w:p w:rsidR="00776FD1" w:rsidRDefault="00AD1FB1" w:rsidP="00B40A41">
      <w:pPr>
        <w:spacing w:after="0" w:line="240" w:lineRule="auto"/>
        <w:jc w:val="both"/>
        <w:rPr>
          <w:rFonts w:cstheme="minorHAnsi"/>
          <w:b/>
          <w:sz w:val="24"/>
          <w:szCs w:val="24"/>
        </w:rPr>
      </w:pPr>
      <w:r w:rsidRPr="0059552F">
        <w:rPr>
          <w:rFonts w:cstheme="minorHAnsi"/>
          <w:b/>
          <w:sz w:val="24"/>
          <w:szCs w:val="24"/>
        </w:rPr>
        <w:t>Protect</w:t>
      </w:r>
      <w:r w:rsidR="00E83EE7" w:rsidRPr="0059552F">
        <w:rPr>
          <w:rFonts w:cstheme="minorHAnsi"/>
          <w:b/>
          <w:sz w:val="24"/>
          <w:szCs w:val="24"/>
        </w:rPr>
        <w:t>ion of</w:t>
      </w:r>
      <w:r w:rsidRPr="0059552F">
        <w:rPr>
          <w:rFonts w:cstheme="minorHAnsi"/>
          <w:b/>
          <w:sz w:val="24"/>
          <w:szCs w:val="24"/>
        </w:rPr>
        <w:t xml:space="preserve"> Water Resources</w:t>
      </w:r>
    </w:p>
    <w:p w:rsidR="0059552F" w:rsidRPr="00E11120" w:rsidRDefault="0059552F" w:rsidP="00B40A41">
      <w:pPr>
        <w:spacing w:after="0" w:line="240" w:lineRule="auto"/>
        <w:jc w:val="both"/>
        <w:rPr>
          <w:rFonts w:cstheme="minorHAnsi"/>
          <w:b/>
          <w:sz w:val="16"/>
          <w:szCs w:val="16"/>
        </w:rPr>
      </w:pPr>
    </w:p>
    <w:p w:rsidR="00AD1FB1" w:rsidRPr="0059552F" w:rsidRDefault="00AD1FB1" w:rsidP="00B40A41">
      <w:pPr>
        <w:spacing w:after="0" w:line="240" w:lineRule="auto"/>
        <w:jc w:val="both"/>
        <w:rPr>
          <w:rFonts w:cstheme="minorHAnsi"/>
          <w:b/>
          <w:sz w:val="24"/>
          <w:szCs w:val="24"/>
        </w:rPr>
      </w:pPr>
      <w:r w:rsidRPr="0059552F">
        <w:rPr>
          <w:rFonts w:cstheme="minorHAnsi"/>
          <w:sz w:val="24"/>
          <w:szCs w:val="24"/>
        </w:rPr>
        <w:t xml:space="preserve">Pennsylvania has more water resources than any other state except Alaska. One focus of this regulation is to protect the vast water resources throughout Pennsylvania. These water resources are the primary drinking water sources for millions of people. Nearly half of all Pennsylvanians obtain their drinking water from private water wells that are not regulated by the state. </w:t>
      </w:r>
    </w:p>
    <w:p w:rsidR="00AD1FB1" w:rsidRPr="008D1D6B" w:rsidRDefault="00AD1FB1" w:rsidP="00B40A41">
      <w:pPr>
        <w:spacing w:line="240" w:lineRule="auto"/>
        <w:contextualSpacing/>
        <w:jc w:val="both"/>
        <w:rPr>
          <w:rFonts w:cstheme="minorHAnsi"/>
          <w:b/>
          <w:sz w:val="16"/>
          <w:szCs w:val="16"/>
        </w:rPr>
      </w:pPr>
    </w:p>
    <w:p w:rsidR="00AD1FB1" w:rsidRPr="0059552F" w:rsidRDefault="00AD1FB1" w:rsidP="00B40A41">
      <w:pPr>
        <w:spacing w:line="240" w:lineRule="auto"/>
        <w:contextualSpacing/>
        <w:jc w:val="both"/>
        <w:rPr>
          <w:rFonts w:cstheme="minorHAnsi"/>
          <w:sz w:val="24"/>
          <w:szCs w:val="24"/>
        </w:rPr>
      </w:pPr>
      <w:r w:rsidRPr="0059552F">
        <w:rPr>
          <w:rFonts w:cstheme="minorHAnsi"/>
          <w:sz w:val="24"/>
          <w:szCs w:val="24"/>
        </w:rPr>
        <w:t>DEP is proposing with this regulation, additional requirements for liners of pits and impoundments.</w:t>
      </w:r>
      <w:r w:rsidR="00E11120">
        <w:rPr>
          <w:rFonts w:cstheme="minorHAnsi"/>
          <w:sz w:val="24"/>
          <w:szCs w:val="24"/>
        </w:rPr>
        <w:t xml:space="preserve"> </w:t>
      </w:r>
      <w:r w:rsidRPr="0059552F">
        <w:rPr>
          <w:rFonts w:cstheme="minorHAnsi"/>
          <w:sz w:val="24"/>
          <w:szCs w:val="24"/>
        </w:rPr>
        <w:t>Secondary containment must be used at all unconventional well sites. The secondary containment systems must be inspected by the operator at least weekly to ensure integrity.</w:t>
      </w:r>
      <w:r w:rsidR="00E11120">
        <w:rPr>
          <w:rFonts w:cstheme="minorHAnsi"/>
          <w:sz w:val="24"/>
          <w:szCs w:val="24"/>
        </w:rPr>
        <w:t xml:space="preserve"> </w:t>
      </w:r>
      <w:r w:rsidRPr="0059552F">
        <w:rPr>
          <w:rFonts w:cstheme="minorHAnsi"/>
          <w:sz w:val="24"/>
          <w:szCs w:val="24"/>
        </w:rPr>
        <w:t>Secondary containment</w:t>
      </w:r>
      <w:r w:rsidR="00E11120">
        <w:rPr>
          <w:rFonts w:cstheme="minorHAnsi"/>
          <w:sz w:val="24"/>
          <w:szCs w:val="24"/>
        </w:rPr>
        <w:t xml:space="preserve"> includes: liners, dykes, berms</w:t>
      </w:r>
      <w:r w:rsidRPr="0059552F">
        <w:rPr>
          <w:rFonts w:cstheme="minorHAnsi"/>
          <w:sz w:val="24"/>
          <w:szCs w:val="24"/>
        </w:rPr>
        <w:t xml:space="preserve"> and double walled tanks.</w:t>
      </w:r>
      <w:r w:rsidR="00E11120">
        <w:rPr>
          <w:rFonts w:cstheme="minorHAnsi"/>
          <w:sz w:val="24"/>
          <w:szCs w:val="24"/>
        </w:rPr>
        <w:t xml:space="preserve"> </w:t>
      </w:r>
    </w:p>
    <w:p w:rsidR="008F7A69" w:rsidRPr="008D1D6B" w:rsidRDefault="008F7A69" w:rsidP="00B40A41">
      <w:pPr>
        <w:spacing w:line="240" w:lineRule="auto"/>
        <w:contextualSpacing/>
        <w:jc w:val="both"/>
        <w:rPr>
          <w:rFonts w:cstheme="minorHAnsi"/>
          <w:sz w:val="16"/>
          <w:szCs w:val="16"/>
        </w:rPr>
      </w:pPr>
    </w:p>
    <w:p w:rsidR="00776FD1" w:rsidRPr="0059552F" w:rsidRDefault="008F7A69" w:rsidP="00B40A41">
      <w:pPr>
        <w:spacing w:line="240" w:lineRule="auto"/>
        <w:contextualSpacing/>
        <w:jc w:val="both"/>
        <w:rPr>
          <w:rFonts w:cstheme="minorHAnsi"/>
          <w:sz w:val="24"/>
          <w:szCs w:val="24"/>
        </w:rPr>
      </w:pPr>
      <w:r w:rsidRPr="0059552F">
        <w:rPr>
          <w:rFonts w:cstheme="minorHAnsi"/>
          <w:sz w:val="24"/>
          <w:szCs w:val="24"/>
        </w:rPr>
        <w:t xml:space="preserve">This proposed regulation </w:t>
      </w:r>
      <w:r w:rsidR="00776FD1" w:rsidRPr="0059552F">
        <w:rPr>
          <w:rFonts w:cstheme="minorHAnsi"/>
          <w:sz w:val="24"/>
          <w:szCs w:val="24"/>
        </w:rPr>
        <w:t xml:space="preserve">also </w:t>
      </w:r>
      <w:r w:rsidRPr="0059552F">
        <w:rPr>
          <w:rFonts w:cstheme="minorHAnsi"/>
          <w:sz w:val="24"/>
          <w:szCs w:val="24"/>
        </w:rPr>
        <w:t xml:space="preserve">outlines </w:t>
      </w:r>
      <w:r w:rsidR="00776FD1" w:rsidRPr="0059552F">
        <w:rPr>
          <w:rFonts w:cstheme="minorHAnsi"/>
          <w:sz w:val="24"/>
          <w:szCs w:val="24"/>
        </w:rPr>
        <w:t xml:space="preserve">rules for operator response to spills and releases, and requires remediation to Act 2 standards. It also will require pipeline construction companies to develop Preparedness, Prevention, and Contingency Plans when performing Horizontal Directional Drilling under a waterway to minimize impacts on waters in the event of an inadvertent </w:t>
      </w:r>
      <w:r w:rsidR="000155D5" w:rsidRPr="0059552F">
        <w:rPr>
          <w:rFonts w:cstheme="minorHAnsi"/>
          <w:sz w:val="24"/>
          <w:szCs w:val="24"/>
        </w:rPr>
        <w:t>return</w:t>
      </w:r>
      <w:r w:rsidR="00776FD1" w:rsidRPr="0059552F">
        <w:rPr>
          <w:rFonts w:cstheme="minorHAnsi"/>
          <w:sz w:val="24"/>
          <w:szCs w:val="24"/>
        </w:rPr>
        <w:t>.</w:t>
      </w:r>
      <w:r w:rsidR="00E11120">
        <w:rPr>
          <w:rFonts w:cstheme="minorHAnsi"/>
          <w:sz w:val="24"/>
          <w:szCs w:val="24"/>
        </w:rPr>
        <w:t xml:space="preserve"> </w:t>
      </w:r>
    </w:p>
    <w:p w:rsidR="00F46598" w:rsidRPr="008D1D6B" w:rsidRDefault="00F46598" w:rsidP="00B40A41">
      <w:pPr>
        <w:spacing w:line="240" w:lineRule="auto"/>
        <w:contextualSpacing/>
        <w:jc w:val="both"/>
        <w:rPr>
          <w:rFonts w:cstheme="minorHAnsi"/>
          <w:sz w:val="16"/>
          <w:szCs w:val="16"/>
        </w:rPr>
      </w:pPr>
    </w:p>
    <w:p w:rsidR="00776FD1" w:rsidRPr="0059552F" w:rsidRDefault="00F46598" w:rsidP="00B40A41">
      <w:pPr>
        <w:spacing w:line="240" w:lineRule="auto"/>
        <w:contextualSpacing/>
        <w:jc w:val="both"/>
        <w:rPr>
          <w:rFonts w:cstheme="minorHAnsi"/>
          <w:sz w:val="24"/>
          <w:szCs w:val="24"/>
        </w:rPr>
      </w:pPr>
      <w:r w:rsidRPr="0059552F">
        <w:rPr>
          <w:rFonts w:cstheme="minorHAnsi"/>
          <w:sz w:val="24"/>
          <w:szCs w:val="24"/>
        </w:rPr>
        <w:t>Operators will be required to restore a well site, including filling pits and removing drilling</w:t>
      </w:r>
      <w:r w:rsidR="00E11120">
        <w:rPr>
          <w:rFonts w:cstheme="minorHAnsi"/>
          <w:sz w:val="24"/>
          <w:szCs w:val="24"/>
        </w:rPr>
        <w:t xml:space="preserve"> supplies and equipment within nine</w:t>
      </w:r>
      <w:r w:rsidRPr="0059552F">
        <w:rPr>
          <w:rFonts w:cstheme="minorHAnsi"/>
          <w:sz w:val="24"/>
          <w:szCs w:val="24"/>
        </w:rPr>
        <w:t xml:space="preserve"> months of completion of drilling.</w:t>
      </w:r>
    </w:p>
    <w:sectPr w:rsidR="00776FD1" w:rsidRPr="0059552F" w:rsidSect="00FD14AC">
      <w:footerReference w:type="default" r:id="rId13"/>
      <w:pgSz w:w="12240" w:h="15840" w:code="1"/>
      <w:pgMar w:top="634" w:right="1152" w:bottom="1008"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B3" w:rsidRDefault="001D69B3" w:rsidP="00541227">
      <w:pPr>
        <w:spacing w:after="0" w:line="240" w:lineRule="auto"/>
      </w:pPr>
      <w:r>
        <w:separator/>
      </w:r>
    </w:p>
  </w:endnote>
  <w:endnote w:type="continuationSeparator" w:id="0">
    <w:p w:rsidR="001D69B3" w:rsidRDefault="001D69B3" w:rsidP="0054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586569"/>
      <w:docPartObj>
        <w:docPartGallery w:val="Page Numbers (Bottom of Page)"/>
        <w:docPartUnique/>
      </w:docPartObj>
    </w:sdtPr>
    <w:sdtEndPr>
      <w:rPr>
        <w:noProof/>
      </w:rPr>
    </w:sdtEndPr>
    <w:sdtContent>
      <w:p w:rsidR="00E4081B" w:rsidRDefault="00490F67" w:rsidP="00490F67">
        <w:pPr>
          <w:pStyle w:val="Footer"/>
        </w:pPr>
        <w:r>
          <w:t>Jan. 15, 2014</w:t>
        </w:r>
        <w:r>
          <w:tab/>
        </w:r>
        <w:r>
          <w:tab/>
        </w:r>
        <w:r w:rsidR="00E4081B">
          <w:fldChar w:fldCharType="begin"/>
        </w:r>
        <w:r w:rsidR="00E4081B">
          <w:instrText xml:space="preserve"> PAGE   \* MERGEFORMAT </w:instrText>
        </w:r>
        <w:r w:rsidR="00E4081B">
          <w:fldChar w:fldCharType="separate"/>
        </w:r>
        <w:r w:rsidR="00694B17">
          <w:rPr>
            <w:noProof/>
          </w:rPr>
          <w:t>1</w:t>
        </w:r>
        <w:r w:rsidR="00E4081B">
          <w:rPr>
            <w:noProof/>
          </w:rPr>
          <w:fldChar w:fldCharType="end"/>
        </w:r>
      </w:p>
    </w:sdtContent>
  </w:sdt>
  <w:p w:rsidR="001532C2" w:rsidRDefault="001532C2" w:rsidP="00E4081B">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B3" w:rsidRDefault="001D69B3" w:rsidP="00541227">
      <w:pPr>
        <w:spacing w:after="0" w:line="240" w:lineRule="auto"/>
      </w:pPr>
      <w:r>
        <w:separator/>
      </w:r>
    </w:p>
  </w:footnote>
  <w:footnote w:type="continuationSeparator" w:id="0">
    <w:p w:rsidR="001D69B3" w:rsidRDefault="001D69B3" w:rsidP="00541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5520"/>
    <w:multiLevelType w:val="hybridMultilevel"/>
    <w:tmpl w:val="D1B2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8123C"/>
    <w:multiLevelType w:val="hybridMultilevel"/>
    <w:tmpl w:val="8838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070D9"/>
    <w:multiLevelType w:val="hybridMultilevel"/>
    <w:tmpl w:val="1A82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B61D2"/>
    <w:multiLevelType w:val="hybridMultilevel"/>
    <w:tmpl w:val="0A7C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71762"/>
    <w:multiLevelType w:val="hybridMultilevel"/>
    <w:tmpl w:val="61CC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B6817"/>
    <w:multiLevelType w:val="hybridMultilevel"/>
    <w:tmpl w:val="12A0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36311"/>
    <w:multiLevelType w:val="hybridMultilevel"/>
    <w:tmpl w:val="923A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6B012A"/>
    <w:multiLevelType w:val="hybridMultilevel"/>
    <w:tmpl w:val="978C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54866"/>
    <w:multiLevelType w:val="hybridMultilevel"/>
    <w:tmpl w:val="7092FB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467E1948"/>
    <w:multiLevelType w:val="hybridMultilevel"/>
    <w:tmpl w:val="32E0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552136"/>
    <w:multiLevelType w:val="hybridMultilevel"/>
    <w:tmpl w:val="BA40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857060"/>
    <w:multiLevelType w:val="hybridMultilevel"/>
    <w:tmpl w:val="B74E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2900C5"/>
    <w:multiLevelType w:val="hybridMultilevel"/>
    <w:tmpl w:val="4DB0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A67EA2"/>
    <w:multiLevelType w:val="hybridMultilevel"/>
    <w:tmpl w:val="BB2A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DA54E1"/>
    <w:multiLevelType w:val="hybridMultilevel"/>
    <w:tmpl w:val="C19C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4716E9"/>
    <w:multiLevelType w:val="hybridMultilevel"/>
    <w:tmpl w:val="50D0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EA6D93"/>
    <w:multiLevelType w:val="hybridMultilevel"/>
    <w:tmpl w:val="CF46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4373BA"/>
    <w:multiLevelType w:val="hybridMultilevel"/>
    <w:tmpl w:val="6CE0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17"/>
  </w:num>
  <w:num w:numId="5">
    <w:abstractNumId w:val="5"/>
  </w:num>
  <w:num w:numId="6">
    <w:abstractNumId w:val="14"/>
  </w:num>
  <w:num w:numId="7">
    <w:abstractNumId w:val="10"/>
  </w:num>
  <w:num w:numId="8">
    <w:abstractNumId w:val="12"/>
  </w:num>
  <w:num w:numId="9">
    <w:abstractNumId w:val="9"/>
  </w:num>
  <w:num w:numId="10">
    <w:abstractNumId w:val="11"/>
  </w:num>
  <w:num w:numId="11">
    <w:abstractNumId w:val="15"/>
  </w:num>
  <w:num w:numId="12">
    <w:abstractNumId w:val="7"/>
  </w:num>
  <w:num w:numId="13">
    <w:abstractNumId w:val="3"/>
  </w:num>
  <w:num w:numId="14">
    <w:abstractNumId w:val="6"/>
  </w:num>
  <w:num w:numId="15">
    <w:abstractNumId w:val="16"/>
  </w:num>
  <w:num w:numId="16">
    <w:abstractNumId w:val="4"/>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25"/>
    <w:rsid w:val="000155D5"/>
    <w:rsid w:val="00021205"/>
    <w:rsid w:val="000372F4"/>
    <w:rsid w:val="00046B9E"/>
    <w:rsid w:val="00060DC4"/>
    <w:rsid w:val="000874AB"/>
    <w:rsid w:val="000D5934"/>
    <w:rsid w:val="000E4163"/>
    <w:rsid w:val="000F2709"/>
    <w:rsid w:val="000F7961"/>
    <w:rsid w:val="0013486E"/>
    <w:rsid w:val="001532C2"/>
    <w:rsid w:val="00163563"/>
    <w:rsid w:val="00173C99"/>
    <w:rsid w:val="00181234"/>
    <w:rsid w:val="001C452B"/>
    <w:rsid w:val="001C6A77"/>
    <w:rsid w:val="001D69B3"/>
    <w:rsid w:val="001E1A50"/>
    <w:rsid w:val="001E25CF"/>
    <w:rsid w:val="001F63E7"/>
    <w:rsid w:val="0020336A"/>
    <w:rsid w:val="00225F6F"/>
    <w:rsid w:val="00232492"/>
    <w:rsid w:val="0024061A"/>
    <w:rsid w:val="00253874"/>
    <w:rsid w:val="00263B77"/>
    <w:rsid w:val="00272534"/>
    <w:rsid w:val="00273751"/>
    <w:rsid w:val="00286DE2"/>
    <w:rsid w:val="002B3018"/>
    <w:rsid w:val="002E4F5B"/>
    <w:rsid w:val="002F4F89"/>
    <w:rsid w:val="003008BA"/>
    <w:rsid w:val="00317660"/>
    <w:rsid w:val="00320EFE"/>
    <w:rsid w:val="003310CD"/>
    <w:rsid w:val="00343222"/>
    <w:rsid w:val="003530A4"/>
    <w:rsid w:val="00376D02"/>
    <w:rsid w:val="00391E5D"/>
    <w:rsid w:val="003A1379"/>
    <w:rsid w:val="003B13D7"/>
    <w:rsid w:val="003B3351"/>
    <w:rsid w:val="003B3CF9"/>
    <w:rsid w:val="003C232E"/>
    <w:rsid w:val="003C5402"/>
    <w:rsid w:val="003D46AF"/>
    <w:rsid w:val="003E272A"/>
    <w:rsid w:val="003E5DA5"/>
    <w:rsid w:val="004072F9"/>
    <w:rsid w:val="00420BCE"/>
    <w:rsid w:val="00421FCA"/>
    <w:rsid w:val="00424948"/>
    <w:rsid w:val="00433C22"/>
    <w:rsid w:val="004344AB"/>
    <w:rsid w:val="004349EF"/>
    <w:rsid w:val="00445AF1"/>
    <w:rsid w:val="00455EEE"/>
    <w:rsid w:val="00471C95"/>
    <w:rsid w:val="00473C4A"/>
    <w:rsid w:val="00485F50"/>
    <w:rsid w:val="00490F67"/>
    <w:rsid w:val="004A6CDD"/>
    <w:rsid w:val="004B0627"/>
    <w:rsid w:val="004B22E8"/>
    <w:rsid w:val="004C0D14"/>
    <w:rsid w:val="004C7B9B"/>
    <w:rsid w:val="004D3322"/>
    <w:rsid w:val="004F54F8"/>
    <w:rsid w:val="004F5681"/>
    <w:rsid w:val="0050245A"/>
    <w:rsid w:val="005221C3"/>
    <w:rsid w:val="00530DF3"/>
    <w:rsid w:val="00541227"/>
    <w:rsid w:val="00546C6B"/>
    <w:rsid w:val="00553E0A"/>
    <w:rsid w:val="00582685"/>
    <w:rsid w:val="005924D6"/>
    <w:rsid w:val="00593CBA"/>
    <w:rsid w:val="0059461E"/>
    <w:rsid w:val="0059552F"/>
    <w:rsid w:val="005B2D75"/>
    <w:rsid w:val="005D37C1"/>
    <w:rsid w:val="005D7504"/>
    <w:rsid w:val="005F7290"/>
    <w:rsid w:val="006024B8"/>
    <w:rsid w:val="00603AD0"/>
    <w:rsid w:val="00625957"/>
    <w:rsid w:val="0062779E"/>
    <w:rsid w:val="00632F96"/>
    <w:rsid w:val="006409D2"/>
    <w:rsid w:val="00654C35"/>
    <w:rsid w:val="006645C8"/>
    <w:rsid w:val="00667850"/>
    <w:rsid w:val="0069343B"/>
    <w:rsid w:val="00694B17"/>
    <w:rsid w:val="00696A5E"/>
    <w:rsid w:val="006B1D25"/>
    <w:rsid w:val="006B58FC"/>
    <w:rsid w:val="006C2E45"/>
    <w:rsid w:val="006D026E"/>
    <w:rsid w:val="006D4DF3"/>
    <w:rsid w:val="006D7D38"/>
    <w:rsid w:val="007000A0"/>
    <w:rsid w:val="00705AF7"/>
    <w:rsid w:val="00711E23"/>
    <w:rsid w:val="00714C6B"/>
    <w:rsid w:val="00734713"/>
    <w:rsid w:val="00756747"/>
    <w:rsid w:val="007740F9"/>
    <w:rsid w:val="007745FA"/>
    <w:rsid w:val="00776FD1"/>
    <w:rsid w:val="00782A57"/>
    <w:rsid w:val="00787D98"/>
    <w:rsid w:val="007B3901"/>
    <w:rsid w:val="007C12DE"/>
    <w:rsid w:val="007C28FB"/>
    <w:rsid w:val="007D1B89"/>
    <w:rsid w:val="007D54C2"/>
    <w:rsid w:val="007D5871"/>
    <w:rsid w:val="007E0555"/>
    <w:rsid w:val="007E2EA2"/>
    <w:rsid w:val="007E33AE"/>
    <w:rsid w:val="008001E7"/>
    <w:rsid w:val="00810681"/>
    <w:rsid w:val="00810CDF"/>
    <w:rsid w:val="008131ED"/>
    <w:rsid w:val="0082292B"/>
    <w:rsid w:val="008300E3"/>
    <w:rsid w:val="00833236"/>
    <w:rsid w:val="00833597"/>
    <w:rsid w:val="00840003"/>
    <w:rsid w:val="00844B04"/>
    <w:rsid w:val="008535DA"/>
    <w:rsid w:val="008544CF"/>
    <w:rsid w:val="00856F0E"/>
    <w:rsid w:val="0086255F"/>
    <w:rsid w:val="00862E5F"/>
    <w:rsid w:val="008647E0"/>
    <w:rsid w:val="00867111"/>
    <w:rsid w:val="00874B6A"/>
    <w:rsid w:val="00895F25"/>
    <w:rsid w:val="008A038B"/>
    <w:rsid w:val="008A097E"/>
    <w:rsid w:val="008A4C56"/>
    <w:rsid w:val="008A73D5"/>
    <w:rsid w:val="008B188E"/>
    <w:rsid w:val="008C081C"/>
    <w:rsid w:val="008C08C4"/>
    <w:rsid w:val="008D1D6B"/>
    <w:rsid w:val="008F7A69"/>
    <w:rsid w:val="00906C87"/>
    <w:rsid w:val="00915A3E"/>
    <w:rsid w:val="009229EA"/>
    <w:rsid w:val="00937146"/>
    <w:rsid w:val="00937281"/>
    <w:rsid w:val="009770FE"/>
    <w:rsid w:val="009831C0"/>
    <w:rsid w:val="00997B21"/>
    <w:rsid w:val="009A1276"/>
    <w:rsid w:val="009A1EE1"/>
    <w:rsid w:val="009A4EBA"/>
    <w:rsid w:val="009A5B36"/>
    <w:rsid w:val="009B48F1"/>
    <w:rsid w:val="009D512B"/>
    <w:rsid w:val="009D6DD6"/>
    <w:rsid w:val="009E00FB"/>
    <w:rsid w:val="00A0789C"/>
    <w:rsid w:val="00A1147C"/>
    <w:rsid w:val="00A16208"/>
    <w:rsid w:val="00A177A5"/>
    <w:rsid w:val="00A27AC2"/>
    <w:rsid w:val="00A43C0B"/>
    <w:rsid w:val="00A519D8"/>
    <w:rsid w:val="00A70CFA"/>
    <w:rsid w:val="00A85CFA"/>
    <w:rsid w:val="00A92FAA"/>
    <w:rsid w:val="00A95747"/>
    <w:rsid w:val="00A96A3A"/>
    <w:rsid w:val="00AB2F1E"/>
    <w:rsid w:val="00AB4429"/>
    <w:rsid w:val="00AD1FB1"/>
    <w:rsid w:val="00AE02AA"/>
    <w:rsid w:val="00B04C4A"/>
    <w:rsid w:val="00B10CB3"/>
    <w:rsid w:val="00B2028E"/>
    <w:rsid w:val="00B20D9C"/>
    <w:rsid w:val="00B34A15"/>
    <w:rsid w:val="00B3752D"/>
    <w:rsid w:val="00B40A41"/>
    <w:rsid w:val="00B50685"/>
    <w:rsid w:val="00B53CF1"/>
    <w:rsid w:val="00B5402F"/>
    <w:rsid w:val="00B55A81"/>
    <w:rsid w:val="00B56E35"/>
    <w:rsid w:val="00B57ADD"/>
    <w:rsid w:val="00B634DA"/>
    <w:rsid w:val="00B63D95"/>
    <w:rsid w:val="00B83D59"/>
    <w:rsid w:val="00B84D50"/>
    <w:rsid w:val="00BA028A"/>
    <w:rsid w:val="00BB573B"/>
    <w:rsid w:val="00BC0B0D"/>
    <w:rsid w:val="00BD0216"/>
    <w:rsid w:val="00BD71AE"/>
    <w:rsid w:val="00C004E0"/>
    <w:rsid w:val="00C037CF"/>
    <w:rsid w:val="00C04058"/>
    <w:rsid w:val="00C12712"/>
    <w:rsid w:val="00C25DD4"/>
    <w:rsid w:val="00C325E4"/>
    <w:rsid w:val="00C44442"/>
    <w:rsid w:val="00C45254"/>
    <w:rsid w:val="00C54F80"/>
    <w:rsid w:val="00C83E03"/>
    <w:rsid w:val="00CA129D"/>
    <w:rsid w:val="00CC445C"/>
    <w:rsid w:val="00CE248B"/>
    <w:rsid w:val="00CF45E7"/>
    <w:rsid w:val="00D12FA8"/>
    <w:rsid w:val="00D6006D"/>
    <w:rsid w:val="00D64934"/>
    <w:rsid w:val="00D71828"/>
    <w:rsid w:val="00D930B5"/>
    <w:rsid w:val="00D962CC"/>
    <w:rsid w:val="00DA1208"/>
    <w:rsid w:val="00DC3730"/>
    <w:rsid w:val="00DE5037"/>
    <w:rsid w:val="00DF2DBA"/>
    <w:rsid w:val="00E00509"/>
    <w:rsid w:val="00E05D87"/>
    <w:rsid w:val="00E066FA"/>
    <w:rsid w:val="00E11120"/>
    <w:rsid w:val="00E1139D"/>
    <w:rsid w:val="00E2524D"/>
    <w:rsid w:val="00E30ABE"/>
    <w:rsid w:val="00E314EB"/>
    <w:rsid w:val="00E324A1"/>
    <w:rsid w:val="00E35868"/>
    <w:rsid w:val="00E37A8D"/>
    <w:rsid w:val="00E4081B"/>
    <w:rsid w:val="00E4155A"/>
    <w:rsid w:val="00E4544A"/>
    <w:rsid w:val="00E548BD"/>
    <w:rsid w:val="00E75D0E"/>
    <w:rsid w:val="00E82DB6"/>
    <w:rsid w:val="00E83EE7"/>
    <w:rsid w:val="00E94B0D"/>
    <w:rsid w:val="00EA1A79"/>
    <w:rsid w:val="00EA4B00"/>
    <w:rsid w:val="00EA65E5"/>
    <w:rsid w:val="00EA6F22"/>
    <w:rsid w:val="00ED3EC5"/>
    <w:rsid w:val="00EE0166"/>
    <w:rsid w:val="00EF78D5"/>
    <w:rsid w:val="00F04AC1"/>
    <w:rsid w:val="00F1527C"/>
    <w:rsid w:val="00F353E7"/>
    <w:rsid w:val="00F46598"/>
    <w:rsid w:val="00F5599B"/>
    <w:rsid w:val="00F75DD5"/>
    <w:rsid w:val="00F82022"/>
    <w:rsid w:val="00F90767"/>
    <w:rsid w:val="00FA08CB"/>
    <w:rsid w:val="00FB56A6"/>
    <w:rsid w:val="00FC3F28"/>
    <w:rsid w:val="00FD14AC"/>
    <w:rsid w:val="00FF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874"/>
    <w:pPr>
      <w:ind w:left="720"/>
      <w:contextualSpacing/>
    </w:pPr>
  </w:style>
  <w:style w:type="paragraph" w:styleId="Header">
    <w:name w:val="header"/>
    <w:basedOn w:val="Normal"/>
    <w:link w:val="HeaderChar"/>
    <w:uiPriority w:val="99"/>
    <w:unhideWhenUsed/>
    <w:rsid w:val="0054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227"/>
  </w:style>
  <w:style w:type="paragraph" w:styleId="Footer">
    <w:name w:val="footer"/>
    <w:basedOn w:val="Normal"/>
    <w:link w:val="FooterChar"/>
    <w:uiPriority w:val="99"/>
    <w:unhideWhenUsed/>
    <w:rsid w:val="0054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227"/>
  </w:style>
  <w:style w:type="character" w:styleId="Hyperlink">
    <w:name w:val="Hyperlink"/>
    <w:basedOn w:val="DefaultParagraphFont"/>
    <w:uiPriority w:val="99"/>
    <w:unhideWhenUsed/>
    <w:rsid w:val="004349EF"/>
    <w:rPr>
      <w:color w:val="0000FF" w:themeColor="hyperlink"/>
      <w:u w:val="single"/>
    </w:rPr>
  </w:style>
  <w:style w:type="paragraph" w:styleId="BalloonText">
    <w:name w:val="Balloon Text"/>
    <w:basedOn w:val="Normal"/>
    <w:link w:val="BalloonTextChar"/>
    <w:uiPriority w:val="99"/>
    <w:semiHidden/>
    <w:unhideWhenUsed/>
    <w:rsid w:val="00F15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7C"/>
    <w:rPr>
      <w:rFonts w:ascii="Tahoma" w:hAnsi="Tahoma" w:cs="Tahoma"/>
      <w:sz w:val="16"/>
      <w:szCs w:val="16"/>
    </w:rPr>
  </w:style>
  <w:style w:type="character" w:styleId="CommentReference">
    <w:name w:val="annotation reference"/>
    <w:basedOn w:val="DefaultParagraphFont"/>
    <w:uiPriority w:val="99"/>
    <w:semiHidden/>
    <w:unhideWhenUsed/>
    <w:rsid w:val="00376D02"/>
    <w:rPr>
      <w:sz w:val="16"/>
      <w:szCs w:val="16"/>
    </w:rPr>
  </w:style>
  <w:style w:type="paragraph" w:styleId="CommentText">
    <w:name w:val="annotation text"/>
    <w:basedOn w:val="Normal"/>
    <w:link w:val="CommentTextChar"/>
    <w:uiPriority w:val="99"/>
    <w:semiHidden/>
    <w:unhideWhenUsed/>
    <w:rsid w:val="00376D02"/>
    <w:pPr>
      <w:spacing w:line="240" w:lineRule="auto"/>
    </w:pPr>
    <w:rPr>
      <w:sz w:val="20"/>
      <w:szCs w:val="20"/>
    </w:rPr>
  </w:style>
  <w:style w:type="character" w:customStyle="1" w:styleId="CommentTextChar">
    <w:name w:val="Comment Text Char"/>
    <w:basedOn w:val="DefaultParagraphFont"/>
    <w:link w:val="CommentText"/>
    <w:uiPriority w:val="99"/>
    <w:semiHidden/>
    <w:rsid w:val="00376D02"/>
    <w:rPr>
      <w:sz w:val="20"/>
      <w:szCs w:val="20"/>
    </w:rPr>
  </w:style>
  <w:style w:type="paragraph" w:styleId="CommentSubject">
    <w:name w:val="annotation subject"/>
    <w:basedOn w:val="CommentText"/>
    <w:next w:val="CommentText"/>
    <w:link w:val="CommentSubjectChar"/>
    <w:uiPriority w:val="99"/>
    <w:semiHidden/>
    <w:unhideWhenUsed/>
    <w:rsid w:val="00376D02"/>
    <w:rPr>
      <w:b/>
      <w:bCs/>
    </w:rPr>
  </w:style>
  <w:style w:type="character" w:customStyle="1" w:styleId="CommentSubjectChar">
    <w:name w:val="Comment Subject Char"/>
    <w:basedOn w:val="CommentTextChar"/>
    <w:link w:val="CommentSubject"/>
    <w:uiPriority w:val="99"/>
    <w:semiHidden/>
    <w:rsid w:val="00376D02"/>
    <w:rPr>
      <w:b/>
      <w:bCs/>
      <w:sz w:val="20"/>
      <w:szCs w:val="20"/>
    </w:rPr>
  </w:style>
  <w:style w:type="paragraph" w:styleId="NormalWeb">
    <w:name w:val="Normal (Web)"/>
    <w:basedOn w:val="Normal"/>
    <w:uiPriority w:val="99"/>
    <w:semiHidden/>
    <w:unhideWhenUsed/>
    <w:rsid w:val="00C004E0"/>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874"/>
    <w:pPr>
      <w:ind w:left="720"/>
      <w:contextualSpacing/>
    </w:pPr>
  </w:style>
  <w:style w:type="paragraph" w:styleId="Header">
    <w:name w:val="header"/>
    <w:basedOn w:val="Normal"/>
    <w:link w:val="HeaderChar"/>
    <w:uiPriority w:val="99"/>
    <w:unhideWhenUsed/>
    <w:rsid w:val="0054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227"/>
  </w:style>
  <w:style w:type="paragraph" w:styleId="Footer">
    <w:name w:val="footer"/>
    <w:basedOn w:val="Normal"/>
    <w:link w:val="FooterChar"/>
    <w:uiPriority w:val="99"/>
    <w:unhideWhenUsed/>
    <w:rsid w:val="0054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227"/>
  </w:style>
  <w:style w:type="character" w:styleId="Hyperlink">
    <w:name w:val="Hyperlink"/>
    <w:basedOn w:val="DefaultParagraphFont"/>
    <w:uiPriority w:val="99"/>
    <w:unhideWhenUsed/>
    <w:rsid w:val="004349EF"/>
    <w:rPr>
      <w:color w:val="0000FF" w:themeColor="hyperlink"/>
      <w:u w:val="single"/>
    </w:rPr>
  </w:style>
  <w:style w:type="paragraph" w:styleId="BalloonText">
    <w:name w:val="Balloon Text"/>
    <w:basedOn w:val="Normal"/>
    <w:link w:val="BalloonTextChar"/>
    <w:uiPriority w:val="99"/>
    <w:semiHidden/>
    <w:unhideWhenUsed/>
    <w:rsid w:val="00F15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7C"/>
    <w:rPr>
      <w:rFonts w:ascii="Tahoma" w:hAnsi="Tahoma" w:cs="Tahoma"/>
      <w:sz w:val="16"/>
      <w:szCs w:val="16"/>
    </w:rPr>
  </w:style>
  <w:style w:type="character" w:styleId="CommentReference">
    <w:name w:val="annotation reference"/>
    <w:basedOn w:val="DefaultParagraphFont"/>
    <w:uiPriority w:val="99"/>
    <w:semiHidden/>
    <w:unhideWhenUsed/>
    <w:rsid w:val="00376D02"/>
    <w:rPr>
      <w:sz w:val="16"/>
      <w:szCs w:val="16"/>
    </w:rPr>
  </w:style>
  <w:style w:type="paragraph" w:styleId="CommentText">
    <w:name w:val="annotation text"/>
    <w:basedOn w:val="Normal"/>
    <w:link w:val="CommentTextChar"/>
    <w:uiPriority w:val="99"/>
    <w:semiHidden/>
    <w:unhideWhenUsed/>
    <w:rsid w:val="00376D02"/>
    <w:pPr>
      <w:spacing w:line="240" w:lineRule="auto"/>
    </w:pPr>
    <w:rPr>
      <w:sz w:val="20"/>
      <w:szCs w:val="20"/>
    </w:rPr>
  </w:style>
  <w:style w:type="character" w:customStyle="1" w:styleId="CommentTextChar">
    <w:name w:val="Comment Text Char"/>
    <w:basedOn w:val="DefaultParagraphFont"/>
    <w:link w:val="CommentText"/>
    <w:uiPriority w:val="99"/>
    <w:semiHidden/>
    <w:rsid w:val="00376D02"/>
    <w:rPr>
      <w:sz w:val="20"/>
      <w:szCs w:val="20"/>
    </w:rPr>
  </w:style>
  <w:style w:type="paragraph" w:styleId="CommentSubject">
    <w:name w:val="annotation subject"/>
    <w:basedOn w:val="CommentText"/>
    <w:next w:val="CommentText"/>
    <w:link w:val="CommentSubjectChar"/>
    <w:uiPriority w:val="99"/>
    <w:semiHidden/>
    <w:unhideWhenUsed/>
    <w:rsid w:val="00376D02"/>
    <w:rPr>
      <w:b/>
      <w:bCs/>
    </w:rPr>
  </w:style>
  <w:style w:type="character" w:customStyle="1" w:styleId="CommentSubjectChar">
    <w:name w:val="Comment Subject Char"/>
    <w:basedOn w:val="CommentTextChar"/>
    <w:link w:val="CommentSubject"/>
    <w:uiPriority w:val="99"/>
    <w:semiHidden/>
    <w:rsid w:val="00376D02"/>
    <w:rPr>
      <w:b/>
      <w:bCs/>
      <w:sz w:val="20"/>
      <w:szCs w:val="20"/>
    </w:rPr>
  </w:style>
  <w:style w:type="paragraph" w:styleId="NormalWeb">
    <w:name w:val="Normal (Web)"/>
    <w:basedOn w:val="Normal"/>
    <w:uiPriority w:val="99"/>
    <w:semiHidden/>
    <w:unhideWhenUsed/>
    <w:rsid w:val="00C004E0"/>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3772">
      <w:bodyDiv w:val="1"/>
      <w:marLeft w:val="0"/>
      <w:marRight w:val="0"/>
      <w:marTop w:val="0"/>
      <w:marBottom w:val="0"/>
      <w:divBdr>
        <w:top w:val="none" w:sz="0" w:space="0" w:color="auto"/>
        <w:left w:val="none" w:sz="0" w:space="0" w:color="auto"/>
        <w:bottom w:val="none" w:sz="0" w:space="0" w:color="auto"/>
        <w:right w:val="none" w:sz="0" w:space="0" w:color="auto"/>
      </w:divBdr>
      <w:divsChild>
        <w:div w:id="481392839">
          <w:marLeft w:val="0"/>
          <w:marRight w:val="0"/>
          <w:marTop w:val="0"/>
          <w:marBottom w:val="0"/>
          <w:divBdr>
            <w:top w:val="single" w:sz="6" w:space="0" w:color="033668"/>
            <w:left w:val="single" w:sz="6" w:space="0" w:color="033668"/>
            <w:bottom w:val="single" w:sz="6" w:space="0" w:color="033668"/>
            <w:right w:val="single" w:sz="6" w:space="0" w:color="033668"/>
          </w:divBdr>
          <w:divsChild>
            <w:div w:id="7076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9253">
      <w:bodyDiv w:val="1"/>
      <w:marLeft w:val="0"/>
      <w:marRight w:val="0"/>
      <w:marTop w:val="0"/>
      <w:marBottom w:val="0"/>
      <w:divBdr>
        <w:top w:val="none" w:sz="0" w:space="0" w:color="auto"/>
        <w:left w:val="none" w:sz="0" w:space="0" w:color="auto"/>
        <w:bottom w:val="none" w:sz="0" w:space="0" w:color="auto"/>
        <w:right w:val="none" w:sz="0" w:space="0" w:color="auto"/>
      </w:divBdr>
      <w:divsChild>
        <w:div w:id="1608271690">
          <w:marLeft w:val="0"/>
          <w:marRight w:val="0"/>
          <w:marTop w:val="0"/>
          <w:marBottom w:val="0"/>
          <w:divBdr>
            <w:top w:val="single" w:sz="6" w:space="0" w:color="033668"/>
            <w:left w:val="single" w:sz="6" w:space="0" w:color="033668"/>
            <w:bottom w:val="single" w:sz="6" w:space="0" w:color="033668"/>
            <w:right w:val="single" w:sz="6" w:space="0" w:color="033668"/>
          </w:divBdr>
          <w:divsChild>
            <w:div w:id="12150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556">
      <w:bodyDiv w:val="1"/>
      <w:marLeft w:val="0"/>
      <w:marRight w:val="0"/>
      <w:marTop w:val="0"/>
      <w:marBottom w:val="0"/>
      <w:divBdr>
        <w:top w:val="none" w:sz="0" w:space="0" w:color="auto"/>
        <w:left w:val="none" w:sz="0" w:space="0" w:color="auto"/>
        <w:bottom w:val="none" w:sz="0" w:space="0" w:color="auto"/>
        <w:right w:val="none" w:sz="0" w:space="0" w:color="auto"/>
      </w:divBdr>
      <w:divsChild>
        <w:div w:id="1856191349">
          <w:marLeft w:val="0"/>
          <w:marRight w:val="0"/>
          <w:marTop w:val="0"/>
          <w:marBottom w:val="0"/>
          <w:divBdr>
            <w:top w:val="single" w:sz="6" w:space="0" w:color="033668"/>
            <w:left w:val="single" w:sz="6" w:space="0" w:color="033668"/>
            <w:bottom w:val="single" w:sz="6" w:space="0" w:color="033668"/>
            <w:right w:val="single" w:sz="6" w:space="0" w:color="033668"/>
          </w:divBdr>
          <w:divsChild>
            <w:div w:id="12925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9535">
      <w:bodyDiv w:val="1"/>
      <w:marLeft w:val="0"/>
      <w:marRight w:val="0"/>
      <w:marTop w:val="0"/>
      <w:marBottom w:val="0"/>
      <w:divBdr>
        <w:top w:val="none" w:sz="0" w:space="0" w:color="auto"/>
        <w:left w:val="none" w:sz="0" w:space="0" w:color="auto"/>
        <w:bottom w:val="none" w:sz="0" w:space="0" w:color="auto"/>
        <w:right w:val="none" w:sz="0" w:space="0" w:color="auto"/>
      </w:divBdr>
    </w:div>
    <w:div w:id="1218663157">
      <w:bodyDiv w:val="1"/>
      <w:marLeft w:val="0"/>
      <w:marRight w:val="0"/>
      <w:marTop w:val="0"/>
      <w:marBottom w:val="0"/>
      <w:divBdr>
        <w:top w:val="none" w:sz="0" w:space="0" w:color="auto"/>
        <w:left w:val="none" w:sz="0" w:space="0" w:color="auto"/>
        <w:bottom w:val="none" w:sz="0" w:space="0" w:color="auto"/>
        <w:right w:val="none" w:sz="0" w:space="0" w:color="auto"/>
      </w:divBdr>
    </w:div>
    <w:div w:id="1816603505">
      <w:bodyDiv w:val="1"/>
      <w:marLeft w:val="0"/>
      <w:marRight w:val="0"/>
      <w:marTop w:val="0"/>
      <w:marBottom w:val="0"/>
      <w:divBdr>
        <w:top w:val="none" w:sz="0" w:space="0" w:color="auto"/>
        <w:left w:val="none" w:sz="0" w:space="0" w:color="auto"/>
        <w:bottom w:val="none" w:sz="0" w:space="0" w:color="auto"/>
        <w:right w:val="none" w:sz="0" w:space="0" w:color="auto"/>
      </w:divBdr>
    </w:div>
    <w:div w:id="1981692530">
      <w:bodyDiv w:val="1"/>
      <w:marLeft w:val="0"/>
      <w:marRight w:val="0"/>
      <w:marTop w:val="0"/>
      <w:marBottom w:val="0"/>
      <w:divBdr>
        <w:top w:val="none" w:sz="0" w:space="0" w:color="auto"/>
        <w:left w:val="none" w:sz="0" w:space="0" w:color="auto"/>
        <w:bottom w:val="none" w:sz="0" w:space="0" w:color="auto"/>
        <w:right w:val="none" w:sz="0" w:space="0" w:color="auto"/>
      </w:divBdr>
      <w:divsChild>
        <w:div w:id="1750686859">
          <w:marLeft w:val="0"/>
          <w:marRight w:val="0"/>
          <w:marTop w:val="0"/>
          <w:marBottom w:val="0"/>
          <w:divBdr>
            <w:top w:val="single" w:sz="6" w:space="0" w:color="033668"/>
            <w:left w:val="single" w:sz="6" w:space="0" w:color="033668"/>
            <w:bottom w:val="single" w:sz="6" w:space="0" w:color="033668"/>
            <w:right w:val="single" w:sz="6" w:space="0" w:color="033668"/>
          </w:divBdr>
          <w:divsChild>
            <w:div w:id="14744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gComments@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hs.dep.pa.gov/RegCommen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pa.lcl\epshares\z_drives\jesshirley\Oil%20&amp;%20Gas\78%20Subchapter%20C\www.dep.state.p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AE15-C66B-4019-AE29-196F7BE2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8</cp:revision>
  <cp:lastPrinted>2014-01-15T20:21:00Z</cp:lastPrinted>
  <dcterms:created xsi:type="dcterms:W3CDTF">2014-01-15T15:58:00Z</dcterms:created>
  <dcterms:modified xsi:type="dcterms:W3CDTF">2014-01-15T20:21:00Z</dcterms:modified>
</cp:coreProperties>
</file>