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8A1FF" w14:textId="0FB412CC" w:rsidR="00C513C1" w:rsidRDefault="00DA2A7D" w:rsidP="002F0C11">
      <w:pPr>
        <w:spacing w:after="120"/>
        <w:jc w:val="center"/>
        <w:rPr>
          <w:rFonts w:ascii="Arial" w:hAnsi="Arial" w:cs="Arial"/>
          <w:b/>
          <w:sz w:val="24"/>
          <w:szCs w:val="24"/>
        </w:rPr>
      </w:pPr>
      <w:r w:rsidRPr="00DA2A7D">
        <w:rPr>
          <w:rFonts w:ascii="Arial" w:hAnsi="Arial" w:cs="Arial"/>
          <w:b/>
          <w:sz w:val="24"/>
          <w:szCs w:val="24"/>
        </w:rPr>
        <w:t>FREQUENTLY ASKED QUESTIONS</w:t>
      </w:r>
    </w:p>
    <w:p w14:paraId="0514CEE4" w14:textId="77777777" w:rsidR="00D35796" w:rsidRDefault="00CA2DC2" w:rsidP="002F0C11">
      <w:pPr>
        <w:jc w:val="center"/>
        <w:rPr>
          <w:rFonts w:ascii="Arial" w:hAnsi="Arial" w:cs="Arial"/>
          <w:sz w:val="24"/>
          <w:szCs w:val="24"/>
        </w:rPr>
      </w:pPr>
      <w:r>
        <w:rPr>
          <w:rFonts w:ascii="Arial" w:hAnsi="Arial" w:cs="Arial"/>
          <w:sz w:val="24"/>
          <w:szCs w:val="24"/>
        </w:rPr>
        <w:t xml:space="preserve">Implementation of the </w:t>
      </w:r>
      <w:r w:rsidR="00C513C1">
        <w:rPr>
          <w:rFonts w:ascii="Arial" w:hAnsi="Arial" w:cs="Arial"/>
          <w:sz w:val="24"/>
          <w:szCs w:val="24"/>
        </w:rPr>
        <w:t xml:space="preserve">Infrastructure Investment and Jobs </w:t>
      </w:r>
      <w:r w:rsidR="00D35796">
        <w:rPr>
          <w:rFonts w:ascii="Arial" w:hAnsi="Arial" w:cs="Arial"/>
          <w:sz w:val="24"/>
          <w:szCs w:val="24"/>
        </w:rPr>
        <w:t>A</w:t>
      </w:r>
      <w:r w:rsidR="00C513C1">
        <w:rPr>
          <w:rFonts w:ascii="Arial" w:hAnsi="Arial" w:cs="Arial"/>
          <w:sz w:val="24"/>
          <w:szCs w:val="24"/>
        </w:rPr>
        <w:t xml:space="preserve">ct </w:t>
      </w:r>
    </w:p>
    <w:p w14:paraId="38BBA468" w14:textId="7AA79BEE" w:rsidR="00C513C1" w:rsidRDefault="00A16B9F" w:rsidP="002F0C11">
      <w:pPr>
        <w:jc w:val="center"/>
        <w:rPr>
          <w:rFonts w:ascii="Arial" w:hAnsi="Arial" w:cs="Arial"/>
          <w:sz w:val="24"/>
          <w:szCs w:val="24"/>
        </w:rPr>
      </w:pPr>
      <w:r>
        <w:rPr>
          <w:rFonts w:ascii="Arial" w:hAnsi="Arial" w:cs="Arial"/>
          <w:sz w:val="24"/>
          <w:szCs w:val="24"/>
        </w:rPr>
        <w:t>Orphan and Abandoned Well</w:t>
      </w:r>
      <w:r w:rsidR="00CA2DC2">
        <w:rPr>
          <w:rFonts w:ascii="Arial" w:hAnsi="Arial" w:cs="Arial"/>
          <w:sz w:val="24"/>
          <w:szCs w:val="24"/>
        </w:rPr>
        <w:t xml:space="preserve"> Plugging</w:t>
      </w:r>
    </w:p>
    <w:p w14:paraId="0B15EECD" w14:textId="77777777" w:rsidR="00D35796" w:rsidRDefault="00D35796" w:rsidP="002F0C11">
      <w:pPr>
        <w:jc w:val="center"/>
        <w:rPr>
          <w:rFonts w:ascii="Arial" w:hAnsi="Arial" w:cs="Arial"/>
          <w:sz w:val="24"/>
          <w:szCs w:val="24"/>
        </w:rPr>
      </w:pPr>
    </w:p>
    <w:p w14:paraId="6561DAF2" w14:textId="1D1F6980" w:rsidR="00D35796" w:rsidRDefault="00DE2CCC" w:rsidP="002F0C11">
      <w:pPr>
        <w:jc w:val="center"/>
        <w:rPr>
          <w:rFonts w:ascii="Arial" w:hAnsi="Arial" w:cs="Arial"/>
          <w:sz w:val="24"/>
          <w:szCs w:val="24"/>
        </w:rPr>
      </w:pPr>
      <w:r w:rsidRPr="00DE2CCC">
        <w:rPr>
          <w:rFonts w:ascii="Arial" w:hAnsi="Arial" w:cs="Arial"/>
          <w:sz w:val="24"/>
          <w:szCs w:val="24"/>
        </w:rPr>
        <w:t xml:space="preserve">OIL AND GAS Title 58 Oil and Gas, </w:t>
      </w:r>
      <w:r w:rsidR="00591C75">
        <w:rPr>
          <w:rFonts w:ascii="Arial" w:hAnsi="Arial" w:cs="Arial"/>
          <w:sz w:val="24"/>
          <w:szCs w:val="24"/>
        </w:rPr>
        <w:br/>
      </w:r>
      <w:r w:rsidRPr="00DE2CCC">
        <w:rPr>
          <w:rFonts w:ascii="Arial" w:hAnsi="Arial" w:cs="Arial"/>
          <w:sz w:val="24"/>
          <w:szCs w:val="24"/>
        </w:rPr>
        <w:t>Chapter 32. Development</w:t>
      </w:r>
      <w:r w:rsidR="002F0C11">
        <w:rPr>
          <w:rFonts w:ascii="Arial" w:hAnsi="Arial" w:cs="Arial"/>
          <w:sz w:val="24"/>
          <w:szCs w:val="24"/>
        </w:rPr>
        <w:t>.</w:t>
      </w:r>
      <w:r w:rsidR="00CA2DC2">
        <w:rPr>
          <w:rFonts w:ascii="Arial" w:hAnsi="Arial" w:cs="Arial"/>
          <w:sz w:val="24"/>
          <w:szCs w:val="24"/>
        </w:rPr>
        <w:t xml:space="preserve"> (Act 13)</w:t>
      </w:r>
      <w:r w:rsidRPr="00DE2CCC">
        <w:rPr>
          <w:rFonts w:ascii="Arial" w:hAnsi="Arial" w:cs="Arial"/>
          <w:sz w:val="24"/>
          <w:szCs w:val="24"/>
        </w:rPr>
        <w:t xml:space="preserve"> </w:t>
      </w:r>
    </w:p>
    <w:p w14:paraId="3274B216" w14:textId="6376F354" w:rsidR="00591C75" w:rsidRDefault="00591C75" w:rsidP="002F0C11">
      <w:pPr>
        <w:jc w:val="center"/>
        <w:rPr>
          <w:rFonts w:ascii="Arial" w:hAnsi="Arial" w:cs="Arial"/>
          <w:sz w:val="24"/>
          <w:szCs w:val="24"/>
        </w:rPr>
      </w:pPr>
      <w:r>
        <w:rPr>
          <w:rFonts w:ascii="Arial" w:hAnsi="Arial" w:cs="Arial"/>
          <w:sz w:val="24"/>
          <w:szCs w:val="24"/>
        </w:rPr>
        <w:br/>
      </w:r>
      <w:r w:rsidR="0003284F" w:rsidRPr="0003284F">
        <w:rPr>
          <w:rFonts w:ascii="Arial" w:hAnsi="Arial" w:cs="Arial"/>
          <w:sz w:val="24"/>
          <w:szCs w:val="24"/>
        </w:rPr>
        <w:t>O</w:t>
      </w:r>
      <w:r w:rsidR="002174CD">
        <w:rPr>
          <w:rFonts w:ascii="Arial" w:hAnsi="Arial" w:cs="Arial"/>
          <w:sz w:val="24"/>
          <w:szCs w:val="24"/>
        </w:rPr>
        <w:t>il</w:t>
      </w:r>
      <w:r w:rsidR="0003284F" w:rsidRPr="0003284F">
        <w:rPr>
          <w:rFonts w:ascii="Arial" w:hAnsi="Arial" w:cs="Arial"/>
          <w:sz w:val="24"/>
          <w:szCs w:val="24"/>
        </w:rPr>
        <w:t xml:space="preserve"> </w:t>
      </w:r>
      <w:r w:rsidR="002174CD">
        <w:rPr>
          <w:rFonts w:ascii="Arial" w:hAnsi="Arial" w:cs="Arial"/>
          <w:sz w:val="24"/>
          <w:szCs w:val="24"/>
        </w:rPr>
        <w:t>and</w:t>
      </w:r>
      <w:r w:rsidR="0003284F" w:rsidRPr="0003284F">
        <w:rPr>
          <w:rFonts w:ascii="Arial" w:hAnsi="Arial" w:cs="Arial"/>
          <w:sz w:val="24"/>
          <w:szCs w:val="24"/>
        </w:rPr>
        <w:t xml:space="preserve"> G</w:t>
      </w:r>
      <w:r w:rsidR="002174CD">
        <w:rPr>
          <w:rFonts w:ascii="Arial" w:hAnsi="Arial" w:cs="Arial"/>
          <w:sz w:val="24"/>
          <w:szCs w:val="24"/>
        </w:rPr>
        <w:t>as</w:t>
      </w:r>
      <w:r w:rsidR="0003284F" w:rsidRPr="0003284F">
        <w:rPr>
          <w:rFonts w:ascii="Arial" w:hAnsi="Arial" w:cs="Arial"/>
          <w:sz w:val="24"/>
          <w:szCs w:val="24"/>
        </w:rPr>
        <w:t xml:space="preserve"> W</w:t>
      </w:r>
      <w:r w:rsidR="002174CD">
        <w:rPr>
          <w:rFonts w:ascii="Arial" w:hAnsi="Arial" w:cs="Arial"/>
          <w:sz w:val="24"/>
          <w:szCs w:val="24"/>
        </w:rPr>
        <w:t>ells</w:t>
      </w:r>
      <w:r w:rsidR="0003284F" w:rsidRPr="0003284F">
        <w:rPr>
          <w:rFonts w:ascii="Arial" w:hAnsi="Arial" w:cs="Arial"/>
          <w:sz w:val="24"/>
          <w:szCs w:val="24"/>
        </w:rPr>
        <w:t xml:space="preserve"> </w:t>
      </w:r>
      <w:r w:rsidR="00CA2DC2">
        <w:rPr>
          <w:rFonts w:ascii="Arial" w:hAnsi="Arial" w:cs="Arial"/>
          <w:sz w:val="24"/>
          <w:szCs w:val="24"/>
        </w:rPr>
        <w:t>–</w:t>
      </w:r>
      <w:r w:rsidR="0003284F" w:rsidRPr="0003284F">
        <w:rPr>
          <w:rFonts w:ascii="Arial" w:hAnsi="Arial" w:cs="Arial"/>
          <w:sz w:val="24"/>
          <w:szCs w:val="24"/>
        </w:rPr>
        <w:t xml:space="preserve"> Subchapter D. W</w:t>
      </w:r>
      <w:r w:rsidR="002174CD">
        <w:rPr>
          <w:rFonts w:ascii="Arial" w:hAnsi="Arial" w:cs="Arial"/>
          <w:sz w:val="24"/>
          <w:szCs w:val="24"/>
        </w:rPr>
        <w:t>ell</w:t>
      </w:r>
      <w:r w:rsidR="0003284F" w:rsidRPr="0003284F">
        <w:rPr>
          <w:rFonts w:ascii="Arial" w:hAnsi="Arial" w:cs="Arial"/>
          <w:sz w:val="24"/>
          <w:szCs w:val="24"/>
        </w:rPr>
        <w:t xml:space="preserve"> D</w:t>
      </w:r>
      <w:r w:rsidR="002174CD">
        <w:rPr>
          <w:rFonts w:ascii="Arial" w:hAnsi="Arial" w:cs="Arial"/>
          <w:sz w:val="24"/>
          <w:szCs w:val="24"/>
        </w:rPr>
        <w:t>rilling</w:t>
      </w:r>
      <w:r w:rsidR="0003284F" w:rsidRPr="0003284F">
        <w:rPr>
          <w:rFonts w:ascii="Arial" w:hAnsi="Arial" w:cs="Arial"/>
          <w:sz w:val="24"/>
          <w:szCs w:val="24"/>
        </w:rPr>
        <w:t xml:space="preserve">, </w:t>
      </w:r>
      <w:r w:rsidR="002174CD">
        <w:rPr>
          <w:rFonts w:ascii="Arial" w:hAnsi="Arial" w:cs="Arial"/>
          <w:sz w:val="24"/>
          <w:szCs w:val="24"/>
        </w:rPr>
        <w:t xml:space="preserve">Operation </w:t>
      </w:r>
      <w:r w:rsidR="00162E62">
        <w:rPr>
          <w:rFonts w:ascii="Arial" w:hAnsi="Arial" w:cs="Arial"/>
          <w:sz w:val="24"/>
          <w:szCs w:val="24"/>
        </w:rPr>
        <w:t xml:space="preserve">and </w:t>
      </w:r>
      <w:r w:rsidR="002174CD">
        <w:rPr>
          <w:rFonts w:ascii="Arial" w:hAnsi="Arial" w:cs="Arial"/>
          <w:sz w:val="24"/>
          <w:szCs w:val="24"/>
        </w:rPr>
        <w:t>Plugging</w:t>
      </w:r>
    </w:p>
    <w:p w14:paraId="15FFA1B7" w14:textId="417CA055" w:rsidR="002174CD" w:rsidRDefault="00CA2DC2" w:rsidP="002F0C11">
      <w:pPr>
        <w:jc w:val="center"/>
        <w:rPr>
          <w:rFonts w:ascii="Arial" w:hAnsi="Arial" w:cs="Arial"/>
          <w:sz w:val="24"/>
          <w:szCs w:val="24"/>
        </w:rPr>
      </w:pPr>
      <w:r>
        <w:rPr>
          <w:rFonts w:ascii="Arial" w:hAnsi="Arial" w:cs="Arial"/>
          <w:sz w:val="24"/>
          <w:szCs w:val="24"/>
        </w:rPr>
        <w:t>25 Pa.Code</w:t>
      </w:r>
      <w:r w:rsidR="0003284F" w:rsidRPr="0003284F">
        <w:rPr>
          <w:rFonts w:ascii="Arial" w:hAnsi="Arial" w:cs="Arial"/>
          <w:sz w:val="24"/>
          <w:szCs w:val="24"/>
        </w:rPr>
        <w:t xml:space="preserve"> </w:t>
      </w:r>
      <w:r>
        <w:rPr>
          <w:rFonts w:ascii="Arial" w:hAnsi="Arial" w:cs="Arial"/>
          <w:sz w:val="24"/>
          <w:szCs w:val="24"/>
        </w:rPr>
        <w:t>§</w:t>
      </w:r>
      <w:r w:rsidR="0003284F" w:rsidRPr="0003284F">
        <w:rPr>
          <w:rFonts w:ascii="Arial" w:hAnsi="Arial" w:cs="Arial"/>
          <w:sz w:val="24"/>
          <w:szCs w:val="24"/>
        </w:rPr>
        <w:t>§</w:t>
      </w:r>
      <w:r>
        <w:rPr>
          <w:rFonts w:ascii="Arial" w:hAnsi="Arial" w:cs="Arial"/>
          <w:sz w:val="24"/>
          <w:szCs w:val="24"/>
        </w:rPr>
        <w:t> </w:t>
      </w:r>
      <w:r w:rsidR="0003284F" w:rsidRPr="0003284F">
        <w:rPr>
          <w:rFonts w:ascii="Arial" w:hAnsi="Arial" w:cs="Arial"/>
          <w:sz w:val="24"/>
          <w:szCs w:val="24"/>
        </w:rPr>
        <w:t>78.91</w:t>
      </w:r>
      <w:r>
        <w:rPr>
          <w:rFonts w:ascii="Arial" w:hAnsi="Arial" w:cs="Arial"/>
          <w:sz w:val="24"/>
          <w:szCs w:val="24"/>
        </w:rPr>
        <w:t>–</w:t>
      </w:r>
      <w:r w:rsidR="0003284F" w:rsidRPr="0003284F">
        <w:rPr>
          <w:rFonts w:ascii="Arial" w:hAnsi="Arial" w:cs="Arial"/>
          <w:sz w:val="24"/>
          <w:szCs w:val="24"/>
        </w:rPr>
        <w:t>78.98.</w:t>
      </w:r>
    </w:p>
    <w:p w14:paraId="5DA10B80" w14:textId="77777777" w:rsidR="00DA2A7D" w:rsidRPr="00DA2A7D" w:rsidRDefault="00DA2A7D" w:rsidP="002F0C11">
      <w:pPr>
        <w:rPr>
          <w:rFonts w:ascii="Arial" w:eastAsia="Calibri" w:hAnsi="Arial" w:cs="Arial"/>
          <w:sz w:val="24"/>
          <w:szCs w:val="24"/>
        </w:rPr>
      </w:pPr>
    </w:p>
    <w:p w14:paraId="06431175" w14:textId="5B643536" w:rsidR="00DA2A7D" w:rsidRPr="00DA2A7D" w:rsidRDefault="00DA2A7D" w:rsidP="002F0C11">
      <w:pPr>
        <w:spacing w:after="120"/>
        <w:rPr>
          <w:rFonts w:ascii="Arial" w:eastAsia="Calibri" w:hAnsi="Arial" w:cs="Arial"/>
          <w:i/>
          <w:iCs/>
          <w:color w:val="0A0A0A"/>
          <w:sz w:val="24"/>
          <w:szCs w:val="24"/>
        </w:rPr>
      </w:pPr>
      <w:r w:rsidRPr="00DA2A7D">
        <w:rPr>
          <w:rFonts w:ascii="Arial" w:eastAsia="Calibri" w:hAnsi="Arial" w:cs="Arial"/>
          <w:i/>
          <w:iCs/>
          <w:color w:val="0A0A0A"/>
          <w:sz w:val="24"/>
          <w:szCs w:val="24"/>
        </w:rPr>
        <w:t>The purpose of this Frequently Asked Questions (FAQ) document is to highlight</w:t>
      </w:r>
      <w:r w:rsidR="000224FE">
        <w:rPr>
          <w:rFonts w:ascii="Arial" w:eastAsia="Calibri" w:hAnsi="Arial" w:cs="Arial"/>
          <w:i/>
          <w:iCs/>
          <w:color w:val="0A0A0A"/>
          <w:sz w:val="24"/>
          <w:szCs w:val="24"/>
        </w:rPr>
        <w:t xml:space="preserve"> frequently asked questions </w:t>
      </w:r>
      <w:r w:rsidR="00D35796">
        <w:rPr>
          <w:rFonts w:ascii="Arial" w:eastAsia="Calibri" w:hAnsi="Arial" w:cs="Arial"/>
          <w:i/>
          <w:iCs/>
          <w:color w:val="0A0A0A"/>
          <w:sz w:val="24"/>
          <w:szCs w:val="24"/>
        </w:rPr>
        <w:t xml:space="preserve">relating to </w:t>
      </w:r>
      <w:r w:rsidR="003F39DE">
        <w:rPr>
          <w:rFonts w:ascii="Arial" w:eastAsia="Calibri" w:hAnsi="Arial" w:cs="Arial"/>
          <w:i/>
          <w:iCs/>
          <w:color w:val="0A0A0A"/>
          <w:sz w:val="24"/>
          <w:szCs w:val="24"/>
        </w:rPr>
        <w:t xml:space="preserve">the Commonwealth of Pennsylvania’s </w:t>
      </w:r>
      <w:r w:rsidR="00D35796">
        <w:rPr>
          <w:rFonts w:ascii="Arial" w:eastAsia="Calibri" w:hAnsi="Arial" w:cs="Arial"/>
          <w:i/>
          <w:iCs/>
          <w:color w:val="0A0A0A"/>
          <w:sz w:val="24"/>
          <w:szCs w:val="24"/>
        </w:rPr>
        <w:t>Implementation</w:t>
      </w:r>
      <w:r w:rsidR="003F39DE">
        <w:rPr>
          <w:rFonts w:ascii="Arial" w:eastAsia="Calibri" w:hAnsi="Arial" w:cs="Arial"/>
          <w:i/>
          <w:iCs/>
          <w:color w:val="0A0A0A"/>
          <w:sz w:val="24"/>
          <w:szCs w:val="24"/>
        </w:rPr>
        <w:t xml:space="preserve"> of </w:t>
      </w:r>
      <w:r w:rsidR="00BE548B">
        <w:rPr>
          <w:rFonts w:ascii="Arial" w:eastAsia="Calibri" w:hAnsi="Arial" w:cs="Arial"/>
          <w:i/>
          <w:iCs/>
          <w:color w:val="0A0A0A"/>
          <w:sz w:val="24"/>
          <w:szCs w:val="24"/>
        </w:rPr>
        <w:t xml:space="preserve">the </w:t>
      </w:r>
      <w:r w:rsidR="003F39DE">
        <w:rPr>
          <w:rFonts w:ascii="Arial" w:eastAsia="Calibri" w:hAnsi="Arial" w:cs="Arial"/>
          <w:i/>
          <w:iCs/>
          <w:color w:val="0A0A0A"/>
          <w:sz w:val="24"/>
          <w:szCs w:val="24"/>
        </w:rPr>
        <w:t xml:space="preserve">Infrastructure Investment and Jobs Act </w:t>
      </w:r>
      <w:r w:rsidR="00D35796">
        <w:rPr>
          <w:rFonts w:ascii="Arial" w:eastAsia="Calibri" w:hAnsi="Arial" w:cs="Arial"/>
          <w:i/>
          <w:iCs/>
          <w:color w:val="0A0A0A"/>
          <w:sz w:val="24"/>
          <w:szCs w:val="24"/>
        </w:rPr>
        <w:t xml:space="preserve">(IIJA) – </w:t>
      </w:r>
      <w:r w:rsidR="003F39DE">
        <w:rPr>
          <w:rFonts w:ascii="Arial" w:eastAsia="Calibri" w:hAnsi="Arial" w:cs="Arial"/>
          <w:i/>
          <w:iCs/>
          <w:color w:val="0A0A0A"/>
          <w:sz w:val="24"/>
          <w:szCs w:val="24"/>
        </w:rPr>
        <w:t>Orphan and Abandoned Well</w:t>
      </w:r>
      <w:r w:rsidR="00D35796">
        <w:rPr>
          <w:rFonts w:ascii="Arial" w:eastAsia="Calibri" w:hAnsi="Arial" w:cs="Arial"/>
          <w:i/>
          <w:iCs/>
          <w:color w:val="0A0A0A"/>
          <w:sz w:val="24"/>
          <w:szCs w:val="24"/>
        </w:rPr>
        <w:t xml:space="preserve"> Plugging</w:t>
      </w:r>
      <w:r w:rsidRPr="00DA2A7D">
        <w:rPr>
          <w:rFonts w:ascii="Arial" w:eastAsia="Calibri" w:hAnsi="Arial" w:cs="Arial"/>
          <w:i/>
          <w:iCs/>
          <w:color w:val="0A0A0A"/>
          <w:sz w:val="24"/>
          <w:szCs w:val="24"/>
        </w:rPr>
        <w:t xml:space="preserve">. This FAQ should not be used in lieu of reference to the </w:t>
      </w:r>
      <w:r w:rsidR="00D35796">
        <w:rPr>
          <w:rFonts w:ascii="Arial" w:eastAsia="Calibri" w:hAnsi="Arial" w:cs="Arial"/>
          <w:i/>
          <w:iCs/>
          <w:color w:val="0A0A0A"/>
          <w:sz w:val="24"/>
          <w:szCs w:val="24"/>
        </w:rPr>
        <w:t xml:space="preserve">IIJA, the </w:t>
      </w:r>
      <w:r w:rsidRPr="00DA2A7D">
        <w:rPr>
          <w:rFonts w:ascii="Arial" w:eastAsia="Calibri" w:hAnsi="Arial" w:cs="Arial"/>
          <w:i/>
          <w:iCs/>
          <w:color w:val="0A0A0A"/>
          <w:sz w:val="24"/>
          <w:szCs w:val="24"/>
        </w:rPr>
        <w:t>2012 Oil and Gas Act, 25 Pa.Code Chapter 78 and other applicable laws and regulations. The answers outlined in this FAQ are intended to supplement existing requirements. Nothing in this document shall affect statutory or regulatory requirements.</w:t>
      </w:r>
    </w:p>
    <w:p w14:paraId="560174D1" w14:textId="77777777" w:rsidR="00DA2A7D" w:rsidRPr="00DA2A7D" w:rsidRDefault="00DA2A7D" w:rsidP="002F0C11">
      <w:pPr>
        <w:rPr>
          <w:rFonts w:ascii="Arial" w:eastAsia="Calibri" w:hAnsi="Arial" w:cs="Arial"/>
          <w:i/>
          <w:iCs/>
          <w:color w:val="0A0A0A"/>
          <w:sz w:val="24"/>
          <w:szCs w:val="24"/>
        </w:rPr>
      </w:pPr>
      <w:r w:rsidRPr="00DA2A7D">
        <w:rPr>
          <w:rFonts w:ascii="Arial" w:eastAsia="Calibri" w:hAnsi="Arial" w:cs="Arial"/>
          <w:i/>
          <w:iCs/>
          <w:color w:val="0A0A0A"/>
          <w:sz w:val="24"/>
          <w:szCs w:val="24"/>
        </w:rPr>
        <w:t>This document is not an adjudication or a regulation. There is no intent on the part of the Department to give this document that weight or deference. The Department may supplement or amend this document at any time as necessary without notice.</w:t>
      </w:r>
    </w:p>
    <w:p w14:paraId="10EB626D" w14:textId="77777777" w:rsidR="00DA2A7D" w:rsidRPr="00DA2A7D" w:rsidRDefault="00DA2A7D" w:rsidP="002F0C11">
      <w:pPr>
        <w:rPr>
          <w:rFonts w:ascii="Arial" w:eastAsia="Calibri" w:hAnsi="Arial" w:cs="Arial"/>
          <w:i/>
          <w:iCs/>
          <w:color w:val="0A0A0A"/>
          <w:sz w:val="24"/>
          <w:szCs w:val="24"/>
        </w:rPr>
      </w:pPr>
    </w:p>
    <w:p w14:paraId="598F8E01" w14:textId="52C0F1B0" w:rsidR="00EB1D84" w:rsidRPr="00DC3891" w:rsidRDefault="00DC3891" w:rsidP="002F0C11">
      <w:pPr>
        <w:rPr>
          <w:rFonts w:ascii="Arial" w:hAnsi="Arial" w:cs="Arial"/>
          <w:b/>
          <w:sz w:val="24"/>
          <w:szCs w:val="24"/>
        </w:rPr>
      </w:pPr>
      <w:r>
        <w:rPr>
          <w:rFonts w:ascii="Arial" w:hAnsi="Arial" w:cs="Arial"/>
          <w:b/>
          <w:sz w:val="24"/>
          <w:szCs w:val="24"/>
        </w:rPr>
        <w:t xml:space="preserve">A. </w:t>
      </w:r>
      <w:r w:rsidR="00EB1D84" w:rsidRPr="00DC3891">
        <w:rPr>
          <w:rFonts w:ascii="Arial" w:hAnsi="Arial" w:cs="Arial"/>
          <w:b/>
          <w:sz w:val="24"/>
          <w:szCs w:val="24"/>
        </w:rPr>
        <w:t>Well Inventory</w:t>
      </w:r>
    </w:p>
    <w:p w14:paraId="473427D9" w14:textId="77777777" w:rsidR="00DC3891" w:rsidRDefault="00DC3891" w:rsidP="002F0C11">
      <w:pPr>
        <w:rPr>
          <w:rFonts w:ascii="Arial" w:hAnsi="Arial" w:cs="Arial"/>
          <w:bCs/>
          <w:sz w:val="24"/>
          <w:szCs w:val="24"/>
        </w:rPr>
      </w:pPr>
    </w:p>
    <w:p w14:paraId="204DED0B" w14:textId="51D26CFA" w:rsidR="00EB1D84" w:rsidRDefault="00EB1D84" w:rsidP="002F0C11">
      <w:pPr>
        <w:pStyle w:val="ListParagraph"/>
        <w:numPr>
          <w:ilvl w:val="0"/>
          <w:numId w:val="4"/>
        </w:numPr>
        <w:ind w:left="0" w:firstLine="0"/>
        <w:rPr>
          <w:rFonts w:ascii="Arial" w:hAnsi="Arial" w:cs="Arial"/>
          <w:bCs/>
          <w:sz w:val="24"/>
          <w:szCs w:val="24"/>
        </w:rPr>
      </w:pPr>
      <w:r w:rsidRPr="00DC3891">
        <w:rPr>
          <w:rFonts w:ascii="Arial" w:hAnsi="Arial" w:cs="Arial"/>
          <w:bCs/>
          <w:sz w:val="24"/>
          <w:szCs w:val="24"/>
        </w:rPr>
        <w:t xml:space="preserve">What is DEP's best estimate of the number of abandoned </w:t>
      </w:r>
      <w:r w:rsidR="00CF761D">
        <w:rPr>
          <w:rFonts w:ascii="Arial" w:hAnsi="Arial" w:cs="Arial"/>
          <w:bCs/>
          <w:sz w:val="24"/>
          <w:szCs w:val="24"/>
        </w:rPr>
        <w:t xml:space="preserve">or orphan (AO) oil and </w:t>
      </w:r>
      <w:r w:rsidRPr="00DC3891">
        <w:rPr>
          <w:rFonts w:ascii="Arial" w:hAnsi="Arial" w:cs="Arial"/>
          <w:bCs/>
          <w:sz w:val="24"/>
          <w:szCs w:val="24"/>
        </w:rPr>
        <w:t>gas wells in Pennsylvania?</w:t>
      </w:r>
    </w:p>
    <w:p w14:paraId="550EB2EE" w14:textId="77777777" w:rsidR="00DC3891" w:rsidRPr="00DC3891" w:rsidRDefault="00DC3891" w:rsidP="002F0C11">
      <w:pPr>
        <w:pStyle w:val="ListParagraph"/>
        <w:ind w:left="0"/>
        <w:rPr>
          <w:rFonts w:ascii="Arial" w:hAnsi="Arial" w:cs="Arial"/>
          <w:bCs/>
          <w:sz w:val="24"/>
          <w:szCs w:val="24"/>
        </w:rPr>
      </w:pPr>
    </w:p>
    <w:p w14:paraId="688B795D" w14:textId="2E4BF1DA" w:rsidR="00EB1D84" w:rsidRPr="00EB1D84" w:rsidRDefault="00EB1D84" w:rsidP="002F0C11">
      <w:pPr>
        <w:ind w:left="360"/>
        <w:rPr>
          <w:rFonts w:ascii="Arial" w:hAnsi="Arial" w:cs="Arial"/>
          <w:bCs/>
          <w:sz w:val="24"/>
          <w:szCs w:val="24"/>
        </w:rPr>
      </w:pPr>
      <w:r w:rsidRPr="00EB1D84">
        <w:rPr>
          <w:rFonts w:ascii="Arial" w:hAnsi="Arial" w:cs="Arial"/>
          <w:bCs/>
          <w:sz w:val="24"/>
          <w:szCs w:val="24"/>
        </w:rPr>
        <w:t>•</w:t>
      </w:r>
      <w:r w:rsidRPr="00EB1D84">
        <w:rPr>
          <w:rFonts w:ascii="Arial" w:hAnsi="Arial" w:cs="Arial"/>
          <w:bCs/>
          <w:sz w:val="24"/>
          <w:szCs w:val="24"/>
        </w:rPr>
        <w:tab/>
      </w:r>
      <w:r w:rsidR="00673042">
        <w:rPr>
          <w:rFonts w:ascii="Arial" w:hAnsi="Arial" w:cs="Arial"/>
          <w:bCs/>
          <w:sz w:val="24"/>
          <w:szCs w:val="24"/>
        </w:rPr>
        <w:t>DEP can account for approximately 160,000 AO wells.</w:t>
      </w:r>
    </w:p>
    <w:p w14:paraId="49BBD1BB" w14:textId="6F7191EF" w:rsidR="00EB1D84" w:rsidRPr="00EB1D84" w:rsidRDefault="00EB1D84" w:rsidP="002F0C11">
      <w:pPr>
        <w:ind w:left="360"/>
        <w:rPr>
          <w:rFonts w:ascii="Arial" w:hAnsi="Arial" w:cs="Arial"/>
          <w:bCs/>
          <w:sz w:val="24"/>
          <w:szCs w:val="24"/>
        </w:rPr>
      </w:pPr>
      <w:r w:rsidRPr="00EB1D84">
        <w:rPr>
          <w:rFonts w:ascii="Arial" w:hAnsi="Arial" w:cs="Arial"/>
          <w:bCs/>
          <w:sz w:val="24"/>
          <w:szCs w:val="24"/>
        </w:rPr>
        <w:t>•</w:t>
      </w:r>
      <w:r w:rsidRPr="00EB1D84">
        <w:rPr>
          <w:rFonts w:ascii="Arial" w:hAnsi="Arial" w:cs="Arial"/>
          <w:bCs/>
          <w:sz w:val="24"/>
          <w:szCs w:val="24"/>
        </w:rPr>
        <w:tab/>
      </w:r>
      <w:r w:rsidR="00673042" w:rsidRPr="00673042">
        <w:rPr>
          <w:rFonts w:ascii="Arial" w:hAnsi="Arial" w:cs="Arial"/>
          <w:bCs/>
          <w:sz w:val="24"/>
          <w:szCs w:val="24"/>
        </w:rPr>
        <w:t xml:space="preserve">DEP’s current documented inventory consists of approximately </w:t>
      </w:r>
      <w:r w:rsidR="00673042">
        <w:rPr>
          <w:rFonts w:ascii="Arial" w:hAnsi="Arial" w:cs="Arial"/>
          <w:bCs/>
          <w:sz w:val="24"/>
          <w:szCs w:val="24"/>
        </w:rPr>
        <w:t xml:space="preserve">27,000 known AO wells spread across the </w:t>
      </w:r>
      <w:r w:rsidR="00F76EE9">
        <w:rPr>
          <w:rFonts w:ascii="Arial" w:hAnsi="Arial" w:cs="Arial"/>
          <w:bCs/>
          <w:sz w:val="24"/>
          <w:szCs w:val="24"/>
        </w:rPr>
        <w:t>c</w:t>
      </w:r>
      <w:r w:rsidR="00673042">
        <w:rPr>
          <w:rFonts w:ascii="Arial" w:hAnsi="Arial" w:cs="Arial"/>
          <w:bCs/>
          <w:sz w:val="24"/>
          <w:szCs w:val="24"/>
        </w:rPr>
        <w:t xml:space="preserve">ommonwealth.  </w:t>
      </w:r>
      <w:r w:rsidR="00CF761D">
        <w:rPr>
          <w:rFonts w:ascii="Arial" w:hAnsi="Arial" w:cs="Arial"/>
          <w:bCs/>
          <w:sz w:val="24"/>
          <w:szCs w:val="24"/>
        </w:rPr>
        <w:t>On December 23, 2021</w:t>
      </w:r>
      <w:r w:rsidR="00680184">
        <w:rPr>
          <w:rFonts w:ascii="Arial" w:hAnsi="Arial" w:cs="Arial"/>
          <w:bCs/>
          <w:sz w:val="24"/>
          <w:szCs w:val="24"/>
        </w:rPr>
        <w:t xml:space="preserve">, the Department </w:t>
      </w:r>
      <w:r w:rsidRPr="00EB1D84">
        <w:rPr>
          <w:rFonts w:ascii="Arial" w:hAnsi="Arial" w:cs="Arial"/>
          <w:bCs/>
          <w:sz w:val="24"/>
          <w:szCs w:val="24"/>
        </w:rPr>
        <w:t xml:space="preserve">reported </w:t>
      </w:r>
      <w:r w:rsidR="00680184" w:rsidRPr="00EB1D84">
        <w:rPr>
          <w:rFonts w:ascii="Arial" w:hAnsi="Arial" w:cs="Arial"/>
          <w:bCs/>
          <w:sz w:val="24"/>
          <w:szCs w:val="24"/>
        </w:rPr>
        <w:t xml:space="preserve">26,098 </w:t>
      </w:r>
      <w:r w:rsidR="00680184">
        <w:rPr>
          <w:rFonts w:ascii="Arial" w:hAnsi="Arial" w:cs="Arial"/>
          <w:bCs/>
          <w:sz w:val="24"/>
          <w:szCs w:val="24"/>
        </w:rPr>
        <w:t xml:space="preserve">documented AO wells </w:t>
      </w:r>
      <w:r w:rsidRPr="00EB1D84">
        <w:rPr>
          <w:rFonts w:ascii="Arial" w:hAnsi="Arial" w:cs="Arial"/>
          <w:bCs/>
          <w:sz w:val="24"/>
          <w:szCs w:val="24"/>
        </w:rPr>
        <w:t xml:space="preserve">to </w:t>
      </w:r>
      <w:r w:rsidR="00C03024">
        <w:rPr>
          <w:rFonts w:ascii="Arial" w:hAnsi="Arial" w:cs="Arial"/>
          <w:bCs/>
          <w:sz w:val="24"/>
          <w:szCs w:val="24"/>
        </w:rPr>
        <w:t xml:space="preserve">the </w:t>
      </w:r>
      <w:r w:rsidRPr="00EB1D84">
        <w:rPr>
          <w:rFonts w:ascii="Arial" w:hAnsi="Arial" w:cs="Arial"/>
          <w:bCs/>
          <w:sz w:val="24"/>
          <w:szCs w:val="24"/>
        </w:rPr>
        <w:t xml:space="preserve">Department of the Interior </w:t>
      </w:r>
      <w:r w:rsidR="0077304A">
        <w:rPr>
          <w:rFonts w:ascii="Arial" w:hAnsi="Arial" w:cs="Arial"/>
          <w:bCs/>
          <w:sz w:val="24"/>
          <w:szCs w:val="24"/>
        </w:rPr>
        <w:t xml:space="preserve">(DOI) </w:t>
      </w:r>
      <w:r w:rsidR="00680184">
        <w:rPr>
          <w:rFonts w:ascii="Arial" w:hAnsi="Arial" w:cs="Arial"/>
          <w:bCs/>
          <w:sz w:val="24"/>
          <w:szCs w:val="24"/>
        </w:rPr>
        <w:t xml:space="preserve">as part of the Notice of Intent </w:t>
      </w:r>
      <w:r w:rsidR="00620DCB">
        <w:rPr>
          <w:rFonts w:ascii="Arial" w:hAnsi="Arial" w:cs="Arial"/>
          <w:bCs/>
          <w:sz w:val="24"/>
          <w:szCs w:val="24"/>
        </w:rPr>
        <w:t xml:space="preserve">(NOI) </w:t>
      </w:r>
      <w:r w:rsidR="00680184">
        <w:rPr>
          <w:rFonts w:ascii="Arial" w:hAnsi="Arial" w:cs="Arial"/>
          <w:bCs/>
          <w:sz w:val="24"/>
          <w:szCs w:val="24"/>
        </w:rPr>
        <w:t>to Apply for Formula Grant Funding.</w:t>
      </w:r>
      <w:r w:rsidR="00673042">
        <w:rPr>
          <w:rFonts w:ascii="Arial" w:hAnsi="Arial" w:cs="Arial"/>
          <w:bCs/>
          <w:sz w:val="24"/>
          <w:szCs w:val="24"/>
        </w:rPr>
        <w:t xml:space="preserve">  </w:t>
      </w:r>
    </w:p>
    <w:p w14:paraId="4569D0D2" w14:textId="704D7FE2" w:rsidR="00EB1D84" w:rsidRPr="00EB1D84" w:rsidRDefault="00EB1D84" w:rsidP="002F0C11">
      <w:pPr>
        <w:ind w:left="360"/>
        <w:rPr>
          <w:rFonts w:ascii="Arial" w:hAnsi="Arial" w:cs="Arial"/>
          <w:bCs/>
          <w:sz w:val="24"/>
          <w:szCs w:val="24"/>
        </w:rPr>
      </w:pPr>
      <w:r w:rsidRPr="00EB1D84">
        <w:rPr>
          <w:rFonts w:ascii="Arial" w:hAnsi="Arial" w:cs="Arial"/>
          <w:bCs/>
          <w:sz w:val="24"/>
          <w:szCs w:val="24"/>
        </w:rPr>
        <w:t>•</w:t>
      </w:r>
      <w:r w:rsidRPr="00EB1D84">
        <w:rPr>
          <w:rFonts w:ascii="Arial" w:hAnsi="Arial" w:cs="Arial"/>
          <w:bCs/>
          <w:sz w:val="24"/>
          <w:szCs w:val="24"/>
        </w:rPr>
        <w:tab/>
      </w:r>
      <w:r w:rsidR="00620DCB">
        <w:rPr>
          <w:rFonts w:ascii="Arial" w:hAnsi="Arial" w:cs="Arial"/>
          <w:bCs/>
          <w:sz w:val="24"/>
          <w:szCs w:val="24"/>
        </w:rPr>
        <w:t xml:space="preserve">DEP </w:t>
      </w:r>
      <w:r w:rsidR="00673042">
        <w:rPr>
          <w:rFonts w:ascii="Arial" w:hAnsi="Arial" w:cs="Arial"/>
          <w:bCs/>
          <w:sz w:val="24"/>
          <w:szCs w:val="24"/>
        </w:rPr>
        <w:t>has inspected and investigated</w:t>
      </w:r>
      <w:r w:rsidRPr="00EB1D84">
        <w:rPr>
          <w:rFonts w:ascii="Arial" w:hAnsi="Arial" w:cs="Arial"/>
          <w:bCs/>
          <w:sz w:val="24"/>
          <w:szCs w:val="24"/>
        </w:rPr>
        <w:t xml:space="preserve"> approximately 8,</w:t>
      </w:r>
      <w:r w:rsidR="001D07DA">
        <w:rPr>
          <w:rFonts w:ascii="Arial" w:hAnsi="Arial" w:cs="Arial"/>
          <w:bCs/>
          <w:sz w:val="24"/>
          <w:szCs w:val="24"/>
        </w:rPr>
        <w:t>90</w:t>
      </w:r>
      <w:r w:rsidR="00680184">
        <w:rPr>
          <w:rFonts w:ascii="Arial" w:hAnsi="Arial" w:cs="Arial"/>
          <w:bCs/>
          <w:sz w:val="24"/>
          <w:szCs w:val="24"/>
        </w:rPr>
        <w:t>0</w:t>
      </w:r>
      <w:r w:rsidR="001D07DA">
        <w:rPr>
          <w:rFonts w:ascii="Arial" w:hAnsi="Arial" w:cs="Arial"/>
          <w:bCs/>
          <w:sz w:val="24"/>
          <w:szCs w:val="24"/>
        </w:rPr>
        <w:t xml:space="preserve"> AO wells. </w:t>
      </w:r>
      <w:r w:rsidR="00673042" w:rsidRPr="00673042">
        <w:rPr>
          <w:rFonts w:ascii="Arial" w:hAnsi="Arial" w:cs="Arial"/>
          <w:bCs/>
          <w:sz w:val="24"/>
          <w:szCs w:val="24"/>
        </w:rPr>
        <w:t>These 8,900 AO wells comprise DEP’s Abandoned and Orphan database.</w:t>
      </w:r>
      <w:r w:rsidR="00673042">
        <w:rPr>
          <w:rFonts w:ascii="Arial" w:hAnsi="Arial" w:cs="Arial"/>
          <w:bCs/>
          <w:sz w:val="24"/>
          <w:szCs w:val="24"/>
        </w:rPr>
        <w:t xml:space="preserve">  </w:t>
      </w:r>
      <w:r w:rsidR="001D07DA">
        <w:rPr>
          <w:rFonts w:ascii="Arial" w:hAnsi="Arial" w:cs="Arial"/>
          <w:bCs/>
          <w:sz w:val="24"/>
          <w:szCs w:val="24"/>
        </w:rPr>
        <w:t xml:space="preserve">This list includes a significant number of AO wells located in the Allegheny National Forest. The Department is awaiting additional guidance from </w:t>
      </w:r>
      <w:r w:rsidR="0077304A">
        <w:rPr>
          <w:rFonts w:ascii="Arial" w:hAnsi="Arial" w:cs="Arial"/>
          <w:bCs/>
          <w:sz w:val="24"/>
          <w:szCs w:val="24"/>
        </w:rPr>
        <w:t>DO</w:t>
      </w:r>
      <w:r w:rsidR="001D07DA">
        <w:rPr>
          <w:rFonts w:ascii="Arial" w:hAnsi="Arial" w:cs="Arial"/>
          <w:bCs/>
          <w:sz w:val="24"/>
          <w:szCs w:val="24"/>
        </w:rPr>
        <w:t>I as to whether the state can plug those wells</w:t>
      </w:r>
      <w:r w:rsidR="00620DCB">
        <w:rPr>
          <w:rFonts w:ascii="Arial" w:hAnsi="Arial" w:cs="Arial"/>
          <w:bCs/>
          <w:sz w:val="24"/>
          <w:szCs w:val="24"/>
        </w:rPr>
        <w:t xml:space="preserve"> using IIJA funds</w:t>
      </w:r>
      <w:r w:rsidR="001D07DA">
        <w:rPr>
          <w:rFonts w:ascii="Arial" w:hAnsi="Arial" w:cs="Arial"/>
          <w:bCs/>
          <w:sz w:val="24"/>
          <w:szCs w:val="24"/>
        </w:rPr>
        <w:t>.</w:t>
      </w:r>
      <w:r w:rsidRPr="00EB1D84">
        <w:rPr>
          <w:rFonts w:ascii="Arial" w:hAnsi="Arial" w:cs="Arial"/>
          <w:bCs/>
          <w:sz w:val="24"/>
          <w:szCs w:val="24"/>
        </w:rPr>
        <w:t xml:space="preserve"> </w:t>
      </w:r>
    </w:p>
    <w:p w14:paraId="077CD29F" w14:textId="72F86B24" w:rsidR="00EB1D84" w:rsidRDefault="00EB1D84" w:rsidP="002F0C11">
      <w:pPr>
        <w:ind w:left="360"/>
        <w:rPr>
          <w:rFonts w:ascii="Arial" w:hAnsi="Arial" w:cs="Arial"/>
          <w:bCs/>
          <w:sz w:val="24"/>
          <w:szCs w:val="24"/>
        </w:rPr>
      </w:pPr>
      <w:r w:rsidRPr="00EB1D84">
        <w:rPr>
          <w:rFonts w:ascii="Arial" w:hAnsi="Arial" w:cs="Arial"/>
          <w:bCs/>
          <w:sz w:val="24"/>
          <w:szCs w:val="24"/>
        </w:rPr>
        <w:t>•</w:t>
      </w:r>
      <w:r w:rsidRPr="00EB1D84">
        <w:rPr>
          <w:rFonts w:ascii="Arial" w:hAnsi="Arial" w:cs="Arial"/>
          <w:bCs/>
          <w:sz w:val="24"/>
          <w:szCs w:val="24"/>
        </w:rPr>
        <w:tab/>
      </w:r>
      <w:r w:rsidR="00620DCB">
        <w:rPr>
          <w:rFonts w:ascii="Arial" w:hAnsi="Arial" w:cs="Arial"/>
          <w:bCs/>
          <w:sz w:val="24"/>
          <w:szCs w:val="24"/>
        </w:rPr>
        <w:t>DEP believes that there are significant numbers of undocumented AO wells in Pennsylvania.</w:t>
      </w:r>
      <w:r w:rsidRPr="00EB1D84">
        <w:rPr>
          <w:rFonts w:ascii="Arial" w:hAnsi="Arial" w:cs="Arial"/>
          <w:bCs/>
          <w:sz w:val="24"/>
          <w:szCs w:val="24"/>
        </w:rPr>
        <w:t xml:space="preserve"> Scholarly reports range from 100,000 to over 700,000</w:t>
      </w:r>
      <w:r w:rsidR="00620DCB">
        <w:rPr>
          <w:rFonts w:ascii="Arial" w:hAnsi="Arial" w:cs="Arial"/>
          <w:bCs/>
          <w:sz w:val="24"/>
          <w:szCs w:val="24"/>
        </w:rPr>
        <w:t xml:space="preserve"> undocumented AO wells</w:t>
      </w:r>
      <w:r w:rsidRPr="00EB1D84">
        <w:rPr>
          <w:rFonts w:ascii="Arial" w:hAnsi="Arial" w:cs="Arial"/>
          <w:bCs/>
          <w:sz w:val="24"/>
          <w:szCs w:val="24"/>
        </w:rPr>
        <w:t xml:space="preserve">. </w:t>
      </w:r>
      <w:r w:rsidR="00673042" w:rsidRPr="00673042">
        <w:rPr>
          <w:rFonts w:ascii="Arial" w:hAnsi="Arial" w:cs="Arial"/>
          <w:bCs/>
          <w:sz w:val="24"/>
          <w:szCs w:val="24"/>
        </w:rPr>
        <w:t xml:space="preserve">Based on this research and our current oil and gas well databases, DEP estimates there may be at least an additional 200,000 undocumented AO oil and gas wells in the </w:t>
      </w:r>
      <w:r w:rsidR="00E21B89">
        <w:rPr>
          <w:rFonts w:ascii="Arial" w:hAnsi="Arial" w:cs="Arial"/>
          <w:bCs/>
          <w:sz w:val="24"/>
          <w:szCs w:val="24"/>
        </w:rPr>
        <w:t>c</w:t>
      </w:r>
      <w:r w:rsidR="00673042" w:rsidRPr="00673042">
        <w:rPr>
          <w:rFonts w:ascii="Arial" w:hAnsi="Arial" w:cs="Arial"/>
          <w:bCs/>
          <w:sz w:val="24"/>
          <w:szCs w:val="24"/>
        </w:rPr>
        <w:t>ommonwealth.</w:t>
      </w:r>
    </w:p>
    <w:p w14:paraId="5AA8D86E" w14:textId="77777777" w:rsidR="00EB1D84" w:rsidRPr="00EB1D84" w:rsidRDefault="00EB1D84" w:rsidP="002F0C11">
      <w:pPr>
        <w:rPr>
          <w:rFonts w:ascii="Arial" w:hAnsi="Arial" w:cs="Arial"/>
          <w:bCs/>
          <w:sz w:val="24"/>
          <w:szCs w:val="24"/>
        </w:rPr>
      </w:pPr>
    </w:p>
    <w:p w14:paraId="1A83D66B" w14:textId="0BAEAD4B" w:rsidR="00EB1D84" w:rsidRPr="00D85C19" w:rsidRDefault="00EB1D84" w:rsidP="00620DCB">
      <w:pPr>
        <w:pStyle w:val="ListParagraph"/>
        <w:numPr>
          <w:ilvl w:val="0"/>
          <w:numId w:val="4"/>
        </w:numPr>
        <w:ind w:left="0" w:firstLine="0"/>
        <w:rPr>
          <w:rFonts w:ascii="Arial" w:hAnsi="Arial" w:cs="Arial"/>
          <w:bCs/>
          <w:sz w:val="24"/>
          <w:szCs w:val="24"/>
        </w:rPr>
      </w:pPr>
      <w:r w:rsidRPr="00D85C19">
        <w:rPr>
          <w:rFonts w:ascii="Arial" w:hAnsi="Arial" w:cs="Arial"/>
          <w:bCs/>
          <w:sz w:val="24"/>
          <w:szCs w:val="24"/>
        </w:rPr>
        <w:t>Does DEP have a list of known abandoned wells?</w:t>
      </w:r>
      <w:r w:rsidR="00782A7F">
        <w:rPr>
          <w:rFonts w:ascii="Arial" w:hAnsi="Arial" w:cs="Arial"/>
          <w:bCs/>
          <w:sz w:val="24"/>
          <w:szCs w:val="24"/>
        </w:rPr>
        <w:br/>
      </w:r>
    </w:p>
    <w:p w14:paraId="4EC59445" w14:textId="3CC9DEAA" w:rsidR="00EB1D84" w:rsidRPr="00EB1D84" w:rsidRDefault="00EB1D84" w:rsidP="00620DCB">
      <w:pPr>
        <w:ind w:left="360"/>
        <w:rPr>
          <w:rFonts w:ascii="Arial" w:hAnsi="Arial" w:cs="Arial"/>
          <w:bCs/>
          <w:sz w:val="24"/>
          <w:szCs w:val="24"/>
        </w:rPr>
      </w:pPr>
      <w:r w:rsidRPr="00EB1D84">
        <w:rPr>
          <w:rFonts w:ascii="Arial" w:hAnsi="Arial" w:cs="Arial"/>
          <w:bCs/>
          <w:sz w:val="24"/>
          <w:szCs w:val="24"/>
        </w:rPr>
        <w:t>•</w:t>
      </w:r>
      <w:r w:rsidRPr="00EB1D84">
        <w:rPr>
          <w:rFonts w:ascii="Arial" w:hAnsi="Arial" w:cs="Arial"/>
          <w:bCs/>
          <w:sz w:val="24"/>
          <w:szCs w:val="24"/>
        </w:rPr>
        <w:tab/>
        <w:t xml:space="preserve">Yes. DEP identified 26,908 </w:t>
      </w:r>
      <w:r w:rsidR="00620DCB">
        <w:rPr>
          <w:rFonts w:ascii="Arial" w:hAnsi="Arial" w:cs="Arial"/>
          <w:bCs/>
          <w:sz w:val="24"/>
          <w:szCs w:val="24"/>
        </w:rPr>
        <w:t xml:space="preserve">documented AO </w:t>
      </w:r>
      <w:r w:rsidRPr="00EB1D84">
        <w:rPr>
          <w:rFonts w:ascii="Arial" w:hAnsi="Arial" w:cs="Arial"/>
          <w:bCs/>
          <w:sz w:val="24"/>
          <w:szCs w:val="24"/>
        </w:rPr>
        <w:t xml:space="preserve">wells as part of its NOI to apply for </w:t>
      </w:r>
      <w:r w:rsidR="00667C2A">
        <w:rPr>
          <w:rFonts w:ascii="Arial" w:hAnsi="Arial" w:cs="Arial"/>
          <w:bCs/>
          <w:sz w:val="24"/>
          <w:szCs w:val="24"/>
        </w:rPr>
        <w:t>the IIJA</w:t>
      </w:r>
      <w:r w:rsidR="00667C2A" w:rsidRPr="00EB1D84">
        <w:rPr>
          <w:rFonts w:ascii="Arial" w:hAnsi="Arial" w:cs="Arial"/>
          <w:bCs/>
          <w:sz w:val="24"/>
          <w:szCs w:val="24"/>
        </w:rPr>
        <w:t xml:space="preserve"> </w:t>
      </w:r>
      <w:r w:rsidR="00620DCB">
        <w:rPr>
          <w:rFonts w:ascii="Arial" w:hAnsi="Arial" w:cs="Arial"/>
          <w:bCs/>
          <w:sz w:val="24"/>
          <w:szCs w:val="24"/>
        </w:rPr>
        <w:t>Fo</w:t>
      </w:r>
      <w:r w:rsidRPr="00EB1D84">
        <w:rPr>
          <w:rFonts w:ascii="Arial" w:hAnsi="Arial" w:cs="Arial"/>
          <w:bCs/>
          <w:sz w:val="24"/>
          <w:szCs w:val="24"/>
        </w:rPr>
        <w:t xml:space="preserve">rmula </w:t>
      </w:r>
      <w:r w:rsidR="00620DCB">
        <w:rPr>
          <w:rFonts w:ascii="Arial" w:hAnsi="Arial" w:cs="Arial"/>
          <w:bCs/>
          <w:sz w:val="24"/>
          <w:szCs w:val="24"/>
        </w:rPr>
        <w:t>G</w:t>
      </w:r>
      <w:r w:rsidRPr="00EB1D84">
        <w:rPr>
          <w:rFonts w:ascii="Arial" w:hAnsi="Arial" w:cs="Arial"/>
          <w:bCs/>
          <w:sz w:val="24"/>
          <w:szCs w:val="24"/>
        </w:rPr>
        <w:t xml:space="preserve">rant. According to DEP records, there are more than 1,200 </w:t>
      </w:r>
      <w:r w:rsidRPr="00EB1D84">
        <w:rPr>
          <w:rFonts w:ascii="Arial" w:hAnsi="Arial" w:cs="Arial"/>
          <w:bCs/>
          <w:sz w:val="24"/>
          <w:szCs w:val="24"/>
        </w:rPr>
        <w:lastRenderedPageBreak/>
        <w:t>additional wells located in the Allegheny National Forest that were not included in the NOI application</w:t>
      </w:r>
      <w:r w:rsidR="00396835">
        <w:rPr>
          <w:rFonts w:ascii="Arial" w:hAnsi="Arial" w:cs="Arial"/>
          <w:bCs/>
          <w:sz w:val="24"/>
          <w:szCs w:val="24"/>
        </w:rPr>
        <w:t xml:space="preserve"> pending additional guidance from </w:t>
      </w:r>
      <w:r w:rsidR="00667C2A">
        <w:rPr>
          <w:rFonts w:ascii="Arial" w:hAnsi="Arial" w:cs="Arial"/>
          <w:bCs/>
          <w:sz w:val="24"/>
          <w:szCs w:val="24"/>
        </w:rPr>
        <w:t xml:space="preserve">DOI </w:t>
      </w:r>
      <w:r w:rsidR="00396835">
        <w:rPr>
          <w:rFonts w:ascii="Arial" w:hAnsi="Arial" w:cs="Arial"/>
          <w:bCs/>
          <w:sz w:val="24"/>
          <w:szCs w:val="24"/>
        </w:rPr>
        <w:t>about whether Pennsylvania can use IIJA funding to plug those wells.</w:t>
      </w:r>
    </w:p>
    <w:p w14:paraId="201D8D7F" w14:textId="59FA7307" w:rsidR="00EB1D84" w:rsidRPr="00EB1D84" w:rsidRDefault="00EB1D84" w:rsidP="00396835">
      <w:pPr>
        <w:ind w:left="360"/>
        <w:rPr>
          <w:rFonts w:ascii="Arial" w:hAnsi="Arial" w:cs="Arial"/>
          <w:bCs/>
          <w:sz w:val="24"/>
          <w:szCs w:val="24"/>
        </w:rPr>
      </w:pPr>
      <w:r w:rsidRPr="00EB1D84">
        <w:rPr>
          <w:rFonts w:ascii="Arial" w:hAnsi="Arial" w:cs="Arial"/>
          <w:bCs/>
          <w:sz w:val="24"/>
          <w:szCs w:val="24"/>
        </w:rPr>
        <w:t>•</w:t>
      </w:r>
      <w:r w:rsidRPr="00EB1D84">
        <w:rPr>
          <w:rFonts w:ascii="Arial" w:hAnsi="Arial" w:cs="Arial"/>
          <w:bCs/>
          <w:sz w:val="24"/>
          <w:szCs w:val="24"/>
        </w:rPr>
        <w:tab/>
      </w:r>
      <w:r w:rsidR="00673042">
        <w:rPr>
          <w:rFonts w:ascii="Arial" w:hAnsi="Arial" w:cs="Arial"/>
          <w:bCs/>
          <w:sz w:val="24"/>
          <w:szCs w:val="24"/>
        </w:rPr>
        <w:t>DEP has inspected and investigated</w:t>
      </w:r>
      <w:r w:rsidRPr="00EB1D84">
        <w:rPr>
          <w:rFonts w:ascii="Arial" w:hAnsi="Arial" w:cs="Arial"/>
          <w:bCs/>
          <w:sz w:val="24"/>
          <w:szCs w:val="24"/>
        </w:rPr>
        <w:t xml:space="preserve"> approximately 8,900</w:t>
      </w:r>
      <w:r w:rsidR="00396835">
        <w:rPr>
          <w:rFonts w:ascii="Arial" w:hAnsi="Arial" w:cs="Arial"/>
          <w:bCs/>
          <w:sz w:val="24"/>
          <w:szCs w:val="24"/>
        </w:rPr>
        <w:t xml:space="preserve"> AO wells</w:t>
      </w:r>
      <w:r w:rsidRPr="00EB1D84">
        <w:rPr>
          <w:rFonts w:ascii="Arial" w:hAnsi="Arial" w:cs="Arial"/>
          <w:bCs/>
          <w:sz w:val="24"/>
          <w:szCs w:val="24"/>
        </w:rPr>
        <w:t>. These well</w:t>
      </w:r>
      <w:r w:rsidR="004351F8">
        <w:rPr>
          <w:rFonts w:ascii="Arial" w:hAnsi="Arial" w:cs="Arial"/>
          <w:bCs/>
          <w:sz w:val="24"/>
          <w:szCs w:val="24"/>
        </w:rPr>
        <w:t>s</w:t>
      </w:r>
      <w:r w:rsidRPr="00EB1D84">
        <w:rPr>
          <w:rFonts w:ascii="Arial" w:hAnsi="Arial" w:cs="Arial"/>
          <w:bCs/>
          <w:sz w:val="24"/>
          <w:szCs w:val="24"/>
        </w:rPr>
        <w:t xml:space="preserve"> comprise </w:t>
      </w:r>
      <w:r w:rsidR="00673042">
        <w:rPr>
          <w:rFonts w:ascii="Arial" w:hAnsi="Arial" w:cs="Arial"/>
          <w:bCs/>
          <w:sz w:val="24"/>
          <w:szCs w:val="24"/>
        </w:rPr>
        <w:t>DEP’s</w:t>
      </w:r>
      <w:r w:rsidR="00673042" w:rsidRPr="00EB1D84">
        <w:rPr>
          <w:rFonts w:ascii="Arial" w:hAnsi="Arial" w:cs="Arial"/>
          <w:bCs/>
          <w:sz w:val="24"/>
          <w:szCs w:val="24"/>
        </w:rPr>
        <w:t xml:space="preserve"> </w:t>
      </w:r>
      <w:r w:rsidRPr="00EB1D84">
        <w:rPr>
          <w:rFonts w:ascii="Arial" w:hAnsi="Arial" w:cs="Arial"/>
          <w:bCs/>
          <w:sz w:val="24"/>
          <w:szCs w:val="24"/>
        </w:rPr>
        <w:t xml:space="preserve">Abandoned and Orphan </w:t>
      </w:r>
      <w:r w:rsidR="00673042">
        <w:rPr>
          <w:rFonts w:ascii="Arial" w:hAnsi="Arial" w:cs="Arial"/>
          <w:bCs/>
          <w:sz w:val="24"/>
          <w:szCs w:val="24"/>
        </w:rPr>
        <w:t>database</w:t>
      </w:r>
      <w:r w:rsidRPr="00EB1D84">
        <w:rPr>
          <w:rFonts w:ascii="Arial" w:hAnsi="Arial" w:cs="Arial"/>
          <w:bCs/>
          <w:sz w:val="24"/>
          <w:szCs w:val="24"/>
        </w:rPr>
        <w:t>.</w:t>
      </w:r>
      <w:r w:rsidR="00396835">
        <w:rPr>
          <w:rFonts w:ascii="Arial" w:hAnsi="Arial" w:cs="Arial"/>
          <w:bCs/>
          <w:sz w:val="24"/>
          <w:szCs w:val="24"/>
        </w:rPr>
        <w:t xml:space="preserve"> DEP continues to w</w:t>
      </w:r>
      <w:r w:rsidRPr="00EB1D84">
        <w:rPr>
          <w:rFonts w:ascii="Arial" w:hAnsi="Arial" w:cs="Arial"/>
          <w:bCs/>
          <w:sz w:val="24"/>
          <w:szCs w:val="24"/>
        </w:rPr>
        <w:t>ork</w:t>
      </w:r>
      <w:r w:rsidR="00396835">
        <w:rPr>
          <w:rFonts w:ascii="Arial" w:hAnsi="Arial" w:cs="Arial"/>
          <w:bCs/>
          <w:sz w:val="24"/>
          <w:szCs w:val="24"/>
        </w:rPr>
        <w:t xml:space="preserve"> </w:t>
      </w:r>
      <w:r w:rsidR="00673042">
        <w:rPr>
          <w:rFonts w:ascii="Arial" w:hAnsi="Arial" w:cs="Arial"/>
          <w:bCs/>
          <w:sz w:val="24"/>
          <w:szCs w:val="24"/>
        </w:rPr>
        <w:t>on identifying additional abandoned wells.</w:t>
      </w:r>
    </w:p>
    <w:p w14:paraId="28CA1608" w14:textId="77777777" w:rsidR="00EB1D84" w:rsidRPr="00EB1D84" w:rsidRDefault="00EB1D84" w:rsidP="002F0C11">
      <w:pPr>
        <w:rPr>
          <w:rFonts w:ascii="Arial" w:hAnsi="Arial" w:cs="Arial"/>
          <w:bCs/>
          <w:sz w:val="24"/>
          <w:szCs w:val="24"/>
        </w:rPr>
      </w:pPr>
    </w:p>
    <w:p w14:paraId="6BBC0306" w14:textId="369DBE2B" w:rsidR="00EB1D84" w:rsidRPr="00D85C19" w:rsidRDefault="00EB1D84" w:rsidP="00396835">
      <w:pPr>
        <w:pStyle w:val="ListParagraph"/>
        <w:numPr>
          <w:ilvl w:val="0"/>
          <w:numId w:val="4"/>
        </w:numPr>
        <w:ind w:left="0" w:firstLine="0"/>
        <w:rPr>
          <w:rFonts w:ascii="Arial" w:hAnsi="Arial" w:cs="Arial"/>
          <w:bCs/>
          <w:sz w:val="24"/>
          <w:szCs w:val="24"/>
        </w:rPr>
      </w:pPr>
      <w:r w:rsidRPr="00D85C19">
        <w:rPr>
          <w:rFonts w:ascii="Arial" w:hAnsi="Arial" w:cs="Arial"/>
          <w:bCs/>
          <w:sz w:val="24"/>
          <w:szCs w:val="24"/>
        </w:rPr>
        <w:t xml:space="preserve">What is DEP doing to identify or locate more of those </w:t>
      </w:r>
      <w:r w:rsidR="00244650">
        <w:rPr>
          <w:rFonts w:ascii="Arial" w:hAnsi="Arial" w:cs="Arial"/>
          <w:bCs/>
          <w:sz w:val="24"/>
          <w:szCs w:val="24"/>
        </w:rPr>
        <w:t>undocumented AO</w:t>
      </w:r>
      <w:r w:rsidRPr="00D85C19">
        <w:rPr>
          <w:rFonts w:ascii="Arial" w:hAnsi="Arial" w:cs="Arial"/>
          <w:bCs/>
          <w:sz w:val="24"/>
          <w:szCs w:val="24"/>
        </w:rPr>
        <w:t xml:space="preserve"> wells which DEP believes exist?</w:t>
      </w:r>
      <w:r w:rsidR="00782A7F">
        <w:rPr>
          <w:rFonts w:ascii="Arial" w:hAnsi="Arial" w:cs="Arial"/>
          <w:bCs/>
          <w:sz w:val="24"/>
          <w:szCs w:val="24"/>
        </w:rPr>
        <w:br/>
      </w:r>
    </w:p>
    <w:p w14:paraId="26CD0062" w14:textId="1A6C8067" w:rsidR="00EB1D84" w:rsidRPr="00EB1D84" w:rsidRDefault="00EB1D84" w:rsidP="00396835">
      <w:pPr>
        <w:ind w:left="270"/>
        <w:rPr>
          <w:rFonts w:ascii="Arial" w:hAnsi="Arial" w:cs="Arial"/>
          <w:bCs/>
          <w:sz w:val="24"/>
          <w:szCs w:val="24"/>
        </w:rPr>
      </w:pPr>
      <w:r w:rsidRPr="00EB1D84">
        <w:rPr>
          <w:rFonts w:ascii="Arial" w:hAnsi="Arial" w:cs="Arial"/>
          <w:bCs/>
          <w:sz w:val="24"/>
          <w:szCs w:val="24"/>
        </w:rPr>
        <w:t>•</w:t>
      </w:r>
      <w:r w:rsidRPr="00EB1D84">
        <w:rPr>
          <w:rFonts w:ascii="Arial" w:hAnsi="Arial" w:cs="Arial"/>
          <w:bCs/>
          <w:sz w:val="24"/>
          <w:szCs w:val="24"/>
        </w:rPr>
        <w:tab/>
        <w:t xml:space="preserve">DEP inspectors </w:t>
      </w:r>
      <w:r w:rsidR="00E05F97">
        <w:rPr>
          <w:rFonts w:ascii="Arial" w:hAnsi="Arial" w:cs="Arial"/>
          <w:bCs/>
          <w:sz w:val="24"/>
          <w:szCs w:val="24"/>
        </w:rPr>
        <w:t xml:space="preserve">identifying and inspecting undocumented AO wells is an enforcement priority and staff are </w:t>
      </w:r>
      <w:r w:rsidR="00244650">
        <w:rPr>
          <w:rFonts w:ascii="Arial" w:hAnsi="Arial" w:cs="Arial"/>
          <w:bCs/>
          <w:sz w:val="24"/>
          <w:szCs w:val="24"/>
        </w:rPr>
        <w:t xml:space="preserve">constantly working to update information in </w:t>
      </w:r>
      <w:r w:rsidR="00E21B89">
        <w:rPr>
          <w:rFonts w:ascii="Arial" w:hAnsi="Arial" w:cs="Arial"/>
          <w:bCs/>
          <w:sz w:val="24"/>
          <w:szCs w:val="24"/>
        </w:rPr>
        <w:t xml:space="preserve">the Department’s </w:t>
      </w:r>
      <w:r w:rsidR="00244650">
        <w:rPr>
          <w:rFonts w:ascii="Arial" w:hAnsi="Arial" w:cs="Arial"/>
          <w:bCs/>
          <w:sz w:val="24"/>
          <w:szCs w:val="24"/>
        </w:rPr>
        <w:t>AO well databases</w:t>
      </w:r>
      <w:r w:rsidRPr="00EB1D84">
        <w:rPr>
          <w:rFonts w:ascii="Arial" w:hAnsi="Arial" w:cs="Arial"/>
          <w:bCs/>
          <w:sz w:val="24"/>
          <w:szCs w:val="24"/>
        </w:rPr>
        <w:t xml:space="preserve">. DEP is also considering contracting for such </w:t>
      </w:r>
      <w:r w:rsidR="00244650">
        <w:rPr>
          <w:rFonts w:ascii="Arial" w:hAnsi="Arial" w:cs="Arial"/>
          <w:bCs/>
          <w:sz w:val="24"/>
          <w:szCs w:val="24"/>
        </w:rPr>
        <w:t xml:space="preserve">AO well location </w:t>
      </w:r>
      <w:r w:rsidRPr="00EB1D84">
        <w:rPr>
          <w:rFonts w:ascii="Arial" w:hAnsi="Arial" w:cs="Arial"/>
          <w:bCs/>
          <w:sz w:val="24"/>
          <w:szCs w:val="24"/>
        </w:rPr>
        <w:t>services</w:t>
      </w:r>
      <w:r w:rsidR="00396835">
        <w:rPr>
          <w:rFonts w:ascii="Arial" w:hAnsi="Arial" w:cs="Arial"/>
          <w:bCs/>
          <w:sz w:val="24"/>
          <w:szCs w:val="24"/>
        </w:rPr>
        <w:t>, as that is an allowable expense under the IIJA</w:t>
      </w:r>
      <w:r w:rsidRPr="00EB1D84">
        <w:rPr>
          <w:rFonts w:ascii="Arial" w:hAnsi="Arial" w:cs="Arial"/>
          <w:bCs/>
          <w:sz w:val="24"/>
          <w:szCs w:val="24"/>
        </w:rPr>
        <w:t>.</w:t>
      </w:r>
      <w:r w:rsidR="00244650">
        <w:rPr>
          <w:rFonts w:ascii="Arial" w:hAnsi="Arial" w:cs="Arial"/>
          <w:bCs/>
          <w:sz w:val="24"/>
          <w:szCs w:val="24"/>
        </w:rPr>
        <w:t xml:space="preserve"> Finally, DEP and other states are working under the IIJA with the U.S. Department of Energy and the Interstate Oil and Gas Compact Commission to develop effective and efficient methodologies for locating undocumented AO wells.</w:t>
      </w:r>
    </w:p>
    <w:p w14:paraId="2194652D" w14:textId="77777777" w:rsidR="00EB1D84" w:rsidRPr="00EB1D84" w:rsidRDefault="00EB1D84" w:rsidP="002F0C11">
      <w:pPr>
        <w:rPr>
          <w:rFonts w:ascii="Arial" w:hAnsi="Arial" w:cs="Arial"/>
          <w:bCs/>
          <w:sz w:val="24"/>
          <w:szCs w:val="24"/>
        </w:rPr>
      </w:pPr>
    </w:p>
    <w:p w14:paraId="54FA4451" w14:textId="3802D13B" w:rsidR="00EB1D84" w:rsidRDefault="00A969C7" w:rsidP="00244650">
      <w:pPr>
        <w:pStyle w:val="ListParagraph"/>
        <w:numPr>
          <w:ilvl w:val="0"/>
          <w:numId w:val="4"/>
        </w:numPr>
        <w:ind w:left="0" w:firstLine="0"/>
        <w:rPr>
          <w:rFonts w:ascii="Arial" w:hAnsi="Arial" w:cs="Arial"/>
          <w:bCs/>
          <w:sz w:val="24"/>
          <w:szCs w:val="24"/>
        </w:rPr>
      </w:pPr>
      <w:r>
        <w:rPr>
          <w:rFonts w:ascii="Arial" w:hAnsi="Arial" w:cs="Arial"/>
          <w:bCs/>
          <w:sz w:val="24"/>
          <w:szCs w:val="24"/>
        </w:rPr>
        <w:t xml:space="preserve"> What is the d</w:t>
      </w:r>
      <w:r w:rsidR="00EB1D84" w:rsidRPr="00A969C7">
        <w:rPr>
          <w:rFonts w:ascii="Arial" w:hAnsi="Arial" w:cs="Arial"/>
          <w:bCs/>
          <w:sz w:val="24"/>
          <w:szCs w:val="24"/>
        </w:rPr>
        <w:t>ifference between “abandoned well” and “orphan well”?</w:t>
      </w:r>
    </w:p>
    <w:p w14:paraId="5F218C37" w14:textId="77777777" w:rsidR="00782A7F" w:rsidRPr="00A969C7" w:rsidRDefault="00782A7F" w:rsidP="002F0C11">
      <w:pPr>
        <w:pStyle w:val="ListParagraph"/>
        <w:ind w:left="0"/>
        <w:rPr>
          <w:rFonts w:ascii="Arial" w:hAnsi="Arial" w:cs="Arial"/>
          <w:bCs/>
          <w:sz w:val="24"/>
          <w:szCs w:val="24"/>
        </w:rPr>
      </w:pPr>
    </w:p>
    <w:p w14:paraId="201BB085" w14:textId="21D05DFF" w:rsidR="00EB1D84" w:rsidRDefault="00EB1D84" w:rsidP="00244650">
      <w:pPr>
        <w:ind w:left="360"/>
        <w:rPr>
          <w:rFonts w:ascii="Arial" w:hAnsi="Arial" w:cs="Arial"/>
          <w:bCs/>
          <w:sz w:val="24"/>
          <w:szCs w:val="24"/>
        </w:rPr>
      </w:pPr>
      <w:r w:rsidRPr="00EB1D84">
        <w:rPr>
          <w:rFonts w:ascii="Arial" w:hAnsi="Arial" w:cs="Arial"/>
          <w:bCs/>
          <w:sz w:val="24"/>
          <w:szCs w:val="24"/>
        </w:rPr>
        <w:t>•</w:t>
      </w:r>
      <w:r w:rsidRPr="00EB1D84">
        <w:rPr>
          <w:rFonts w:ascii="Arial" w:hAnsi="Arial" w:cs="Arial"/>
          <w:bCs/>
          <w:sz w:val="24"/>
          <w:szCs w:val="24"/>
        </w:rPr>
        <w:tab/>
      </w:r>
      <w:r w:rsidR="00D703E3">
        <w:rPr>
          <w:rFonts w:ascii="Arial" w:hAnsi="Arial" w:cs="Arial"/>
          <w:bCs/>
          <w:sz w:val="24"/>
          <w:szCs w:val="24"/>
        </w:rPr>
        <w:t>All “orphan wells</w:t>
      </w:r>
      <w:r w:rsidR="00E05F97">
        <w:rPr>
          <w:rFonts w:ascii="Arial" w:hAnsi="Arial" w:cs="Arial"/>
          <w:bCs/>
          <w:sz w:val="24"/>
          <w:szCs w:val="24"/>
        </w:rPr>
        <w:t>”</w:t>
      </w:r>
      <w:r w:rsidR="00D703E3">
        <w:rPr>
          <w:rFonts w:ascii="Arial" w:hAnsi="Arial" w:cs="Arial"/>
          <w:bCs/>
          <w:sz w:val="24"/>
          <w:szCs w:val="24"/>
        </w:rPr>
        <w:t xml:space="preserve"> in Pennsylvania are also “abandoned wells,” but not all “abandoned wells” are “orphan wells.” </w:t>
      </w:r>
      <w:r w:rsidR="004F7E14">
        <w:rPr>
          <w:rFonts w:ascii="Arial" w:hAnsi="Arial" w:cs="Arial"/>
          <w:bCs/>
          <w:sz w:val="24"/>
          <w:szCs w:val="24"/>
        </w:rPr>
        <w:t xml:space="preserve">Section 3203 of </w:t>
      </w:r>
      <w:r w:rsidRPr="00EB1D84">
        <w:rPr>
          <w:rFonts w:ascii="Arial" w:hAnsi="Arial" w:cs="Arial"/>
          <w:bCs/>
          <w:sz w:val="24"/>
          <w:szCs w:val="24"/>
        </w:rPr>
        <w:t>A</w:t>
      </w:r>
      <w:r w:rsidR="004F7E14">
        <w:rPr>
          <w:rFonts w:ascii="Arial" w:hAnsi="Arial" w:cs="Arial"/>
          <w:bCs/>
          <w:sz w:val="24"/>
          <w:szCs w:val="24"/>
        </w:rPr>
        <w:t>ct 13</w:t>
      </w:r>
      <w:r w:rsidR="004F7E14" w:rsidRPr="00EB1D84">
        <w:rPr>
          <w:rFonts w:ascii="Arial" w:hAnsi="Arial" w:cs="Arial"/>
          <w:bCs/>
          <w:sz w:val="24"/>
          <w:szCs w:val="24"/>
        </w:rPr>
        <w:t xml:space="preserve"> (58 Pa.C.S.A. §</w:t>
      </w:r>
      <w:r w:rsidR="004F7E14">
        <w:rPr>
          <w:rFonts w:ascii="Arial" w:hAnsi="Arial" w:cs="Arial"/>
          <w:bCs/>
          <w:sz w:val="24"/>
          <w:szCs w:val="24"/>
        </w:rPr>
        <w:t> </w:t>
      </w:r>
      <w:r w:rsidR="004F7E14" w:rsidRPr="00EB1D84">
        <w:rPr>
          <w:rFonts w:ascii="Arial" w:hAnsi="Arial" w:cs="Arial"/>
          <w:bCs/>
          <w:sz w:val="24"/>
          <w:szCs w:val="24"/>
        </w:rPr>
        <w:t>3203)</w:t>
      </w:r>
      <w:r w:rsidRPr="00EB1D84">
        <w:rPr>
          <w:rFonts w:ascii="Arial" w:hAnsi="Arial" w:cs="Arial"/>
          <w:bCs/>
          <w:sz w:val="24"/>
          <w:szCs w:val="24"/>
        </w:rPr>
        <w:t xml:space="preserve"> </w:t>
      </w:r>
      <w:r w:rsidR="004F7E14">
        <w:rPr>
          <w:rFonts w:ascii="Arial" w:hAnsi="Arial" w:cs="Arial"/>
          <w:bCs/>
          <w:sz w:val="24"/>
          <w:szCs w:val="24"/>
        </w:rPr>
        <w:t xml:space="preserve">defines </w:t>
      </w:r>
      <w:r w:rsidR="00244650">
        <w:rPr>
          <w:rFonts w:ascii="Arial" w:hAnsi="Arial" w:cs="Arial"/>
          <w:bCs/>
          <w:sz w:val="24"/>
          <w:szCs w:val="24"/>
        </w:rPr>
        <w:t>“</w:t>
      </w:r>
      <w:r w:rsidRPr="00EB1D84">
        <w:rPr>
          <w:rFonts w:ascii="Arial" w:hAnsi="Arial" w:cs="Arial"/>
          <w:bCs/>
          <w:sz w:val="24"/>
          <w:szCs w:val="24"/>
        </w:rPr>
        <w:t>abandoned well</w:t>
      </w:r>
      <w:r w:rsidR="00244650">
        <w:rPr>
          <w:rFonts w:ascii="Arial" w:hAnsi="Arial" w:cs="Arial"/>
          <w:bCs/>
          <w:sz w:val="24"/>
          <w:szCs w:val="24"/>
        </w:rPr>
        <w:t>”</w:t>
      </w:r>
      <w:r w:rsidRPr="00EB1D84">
        <w:rPr>
          <w:rFonts w:ascii="Arial" w:hAnsi="Arial" w:cs="Arial"/>
          <w:bCs/>
          <w:sz w:val="24"/>
          <w:szCs w:val="24"/>
        </w:rPr>
        <w:t xml:space="preserve"> as:</w:t>
      </w:r>
    </w:p>
    <w:p w14:paraId="429FFF4E" w14:textId="77777777" w:rsidR="004F7E14" w:rsidRPr="00EB1D84" w:rsidRDefault="004F7E14" w:rsidP="00244650">
      <w:pPr>
        <w:ind w:left="360"/>
        <w:rPr>
          <w:rFonts w:ascii="Arial" w:hAnsi="Arial" w:cs="Arial"/>
          <w:bCs/>
          <w:sz w:val="24"/>
          <w:szCs w:val="24"/>
        </w:rPr>
      </w:pPr>
    </w:p>
    <w:p w14:paraId="614F90AB" w14:textId="5D6D4ABA" w:rsidR="00EB1D84" w:rsidRPr="004F7E14" w:rsidRDefault="00EB1D84" w:rsidP="004F7E14">
      <w:pPr>
        <w:pStyle w:val="ListParagraph"/>
        <w:numPr>
          <w:ilvl w:val="0"/>
          <w:numId w:val="12"/>
        </w:numPr>
        <w:rPr>
          <w:rFonts w:ascii="Arial" w:hAnsi="Arial" w:cs="Arial"/>
          <w:bCs/>
          <w:sz w:val="24"/>
          <w:szCs w:val="24"/>
        </w:rPr>
      </w:pPr>
      <w:r w:rsidRPr="004F7E14">
        <w:rPr>
          <w:rFonts w:ascii="Arial" w:hAnsi="Arial" w:cs="Arial"/>
          <w:bCs/>
          <w:sz w:val="24"/>
          <w:szCs w:val="24"/>
        </w:rPr>
        <w:t>Any well that has not been used to produce, extract, or inject any gas, petroleum, or other liquid within the preceding 12 months, or</w:t>
      </w:r>
    </w:p>
    <w:p w14:paraId="446DCC5C" w14:textId="48E8C590" w:rsidR="00EB1D84" w:rsidRPr="004F7E14" w:rsidRDefault="00EB1D84" w:rsidP="004F7E14">
      <w:pPr>
        <w:pStyle w:val="ListParagraph"/>
        <w:numPr>
          <w:ilvl w:val="0"/>
          <w:numId w:val="12"/>
        </w:numPr>
        <w:rPr>
          <w:rFonts w:ascii="Arial" w:hAnsi="Arial" w:cs="Arial"/>
          <w:bCs/>
          <w:sz w:val="24"/>
          <w:szCs w:val="24"/>
        </w:rPr>
      </w:pPr>
      <w:r w:rsidRPr="004F7E14">
        <w:rPr>
          <w:rFonts w:ascii="Arial" w:hAnsi="Arial" w:cs="Arial"/>
          <w:bCs/>
          <w:sz w:val="24"/>
          <w:szCs w:val="24"/>
        </w:rPr>
        <w:t>Any well for which the equipment necessary for production, extraction, or injection has been removed, or</w:t>
      </w:r>
    </w:p>
    <w:p w14:paraId="4345AFE7" w14:textId="246D203E" w:rsidR="00EB1D84" w:rsidRPr="004F7E14" w:rsidRDefault="00EB1D84" w:rsidP="004F7E14">
      <w:pPr>
        <w:pStyle w:val="ListParagraph"/>
        <w:numPr>
          <w:ilvl w:val="0"/>
          <w:numId w:val="12"/>
        </w:numPr>
        <w:rPr>
          <w:rFonts w:ascii="Arial" w:hAnsi="Arial" w:cs="Arial"/>
          <w:bCs/>
          <w:sz w:val="24"/>
          <w:szCs w:val="24"/>
        </w:rPr>
      </w:pPr>
      <w:r w:rsidRPr="004F7E14">
        <w:rPr>
          <w:rFonts w:ascii="Arial" w:hAnsi="Arial" w:cs="Arial"/>
          <w:bCs/>
          <w:sz w:val="24"/>
          <w:szCs w:val="24"/>
        </w:rPr>
        <w:t>Any well, considered dry, not equipped for production within 60 days after drilling, re-drilling, or deepening.</w:t>
      </w:r>
    </w:p>
    <w:p w14:paraId="45D0AAC4" w14:textId="77777777" w:rsidR="004F7E14" w:rsidRPr="00EB1D84" w:rsidRDefault="004F7E14" w:rsidP="00244650">
      <w:pPr>
        <w:ind w:left="720"/>
        <w:rPr>
          <w:rFonts w:ascii="Arial" w:hAnsi="Arial" w:cs="Arial"/>
          <w:bCs/>
          <w:sz w:val="24"/>
          <w:szCs w:val="24"/>
        </w:rPr>
      </w:pPr>
    </w:p>
    <w:p w14:paraId="47081B63" w14:textId="139BD239" w:rsidR="004F7E14" w:rsidRDefault="00EB1D84" w:rsidP="00244650">
      <w:pPr>
        <w:ind w:left="360"/>
        <w:rPr>
          <w:rFonts w:ascii="Arial" w:hAnsi="Arial" w:cs="Arial"/>
          <w:bCs/>
          <w:sz w:val="24"/>
          <w:szCs w:val="24"/>
        </w:rPr>
      </w:pPr>
      <w:r w:rsidRPr="00EB1D84">
        <w:rPr>
          <w:rFonts w:ascii="Arial" w:hAnsi="Arial" w:cs="Arial"/>
          <w:bCs/>
          <w:sz w:val="24"/>
          <w:szCs w:val="24"/>
        </w:rPr>
        <w:t>•</w:t>
      </w:r>
      <w:r w:rsidRPr="00EB1D84">
        <w:rPr>
          <w:rFonts w:ascii="Arial" w:hAnsi="Arial" w:cs="Arial"/>
          <w:bCs/>
          <w:sz w:val="24"/>
          <w:szCs w:val="24"/>
        </w:rPr>
        <w:tab/>
      </w:r>
      <w:r w:rsidR="004F7E14">
        <w:rPr>
          <w:rFonts w:ascii="Arial" w:hAnsi="Arial" w:cs="Arial"/>
          <w:bCs/>
          <w:sz w:val="24"/>
          <w:szCs w:val="24"/>
        </w:rPr>
        <w:t xml:space="preserve">Section 3203 of </w:t>
      </w:r>
      <w:r w:rsidR="004F7E14" w:rsidRPr="00EB1D84">
        <w:rPr>
          <w:rFonts w:ascii="Arial" w:hAnsi="Arial" w:cs="Arial"/>
          <w:bCs/>
          <w:sz w:val="24"/>
          <w:szCs w:val="24"/>
        </w:rPr>
        <w:t>A</w:t>
      </w:r>
      <w:r w:rsidR="004F7E14">
        <w:rPr>
          <w:rFonts w:ascii="Arial" w:hAnsi="Arial" w:cs="Arial"/>
          <w:bCs/>
          <w:sz w:val="24"/>
          <w:szCs w:val="24"/>
        </w:rPr>
        <w:t>ct 13</w:t>
      </w:r>
      <w:r w:rsidR="004F7E14" w:rsidRPr="00EB1D84">
        <w:rPr>
          <w:rFonts w:ascii="Arial" w:hAnsi="Arial" w:cs="Arial"/>
          <w:bCs/>
          <w:sz w:val="24"/>
          <w:szCs w:val="24"/>
        </w:rPr>
        <w:t xml:space="preserve"> (58 Pa.C.S.A. §</w:t>
      </w:r>
      <w:r w:rsidR="004F7E14">
        <w:rPr>
          <w:rFonts w:ascii="Arial" w:hAnsi="Arial" w:cs="Arial"/>
          <w:bCs/>
          <w:sz w:val="24"/>
          <w:szCs w:val="24"/>
        </w:rPr>
        <w:t> </w:t>
      </w:r>
      <w:r w:rsidR="004F7E14" w:rsidRPr="00EB1D84">
        <w:rPr>
          <w:rFonts w:ascii="Arial" w:hAnsi="Arial" w:cs="Arial"/>
          <w:bCs/>
          <w:sz w:val="24"/>
          <w:szCs w:val="24"/>
        </w:rPr>
        <w:t xml:space="preserve">3203) </w:t>
      </w:r>
      <w:r w:rsidR="004F7E14">
        <w:rPr>
          <w:rFonts w:ascii="Arial" w:hAnsi="Arial" w:cs="Arial"/>
          <w:bCs/>
          <w:sz w:val="24"/>
          <w:szCs w:val="24"/>
        </w:rPr>
        <w:t>defines</w:t>
      </w:r>
      <w:r w:rsidRPr="00EB1D84">
        <w:rPr>
          <w:rFonts w:ascii="Arial" w:hAnsi="Arial" w:cs="Arial"/>
          <w:bCs/>
          <w:sz w:val="24"/>
          <w:szCs w:val="24"/>
        </w:rPr>
        <w:t xml:space="preserve"> </w:t>
      </w:r>
      <w:r w:rsidR="00F52226">
        <w:rPr>
          <w:rFonts w:ascii="Arial" w:hAnsi="Arial" w:cs="Arial"/>
          <w:bCs/>
          <w:sz w:val="24"/>
          <w:szCs w:val="24"/>
        </w:rPr>
        <w:t>“</w:t>
      </w:r>
      <w:r w:rsidRPr="00EB1D84">
        <w:rPr>
          <w:rFonts w:ascii="Arial" w:hAnsi="Arial" w:cs="Arial"/>
          <w:bCs/>
          <w:sz w:val="24"/>
          <w:szCs w:val="24"/>
        </w:rPr>
        <w:t>orphan well</w:t>
      </w:r>
      <w:r w:rsidR="00F52226">
        <w:rPr>
          <w:rFonts w:ascii="Arial" w:hAnsi="Arial" w:cs="Arial"/>
          <w:bCs/>
          <w:sz w:val="24"/>
          <w:szCs w:val="24"/>
        </w:rPr>
        <w:t>”</w:t>
      </w:r>
      <w:r w:rsidRPr="00EB1D84">
        <w:rPr>
          <w:rFonts w:ascii="Arial" w:hAnsi="Arial" w:cs="Arial"/>
          <w:bCs/>
          <w:sz w:val="24"/>
          <w:szCs w:val="24"/>
        </w:rPr>
        <w:t xml:space="preserve"> as</w:t>
      </w:r>
      <w:r w:rsidR="004F7E14">
        <w:rPr>
          <w:rFonts w:ascii="Arial" w:hAnsi="Arial" w:cs="Arial"/>
          <w:bCs/>
          <w:sz w:val="24"/>
          <w:szCs w:val="24"/>
        </w:rPr>
        <w:t>:</w:t>
      </w:r>
    </w:p>
    <w:p w14:paraId="76161B4A" w14:textId="77777777" w:rsidR="004F7E14" w:rsidRDefault="004F7E14" w:rsidP="00244650">
      <w:pPr>
        <w:ind w:left="360"/>
        <w:rPr>
          <w:rFonts w:ascii="Arial" w:hAnsi="Arial" w:cs="Arial"/>
          <w:bCs/>
          <w:sz w:val="24"/>
          <w:szCs w:val="24"/>
        </w:rPr>
      </w:pPr>
    </w:p>
    <w:p w14:paraId="70DF8E9D" w14:textId="6B785B9E" w:rsidR="004F7E14" w:rsidRDefault="00EB1D84" w:rsidP="00AB401B">
      <w:pPr>
        <w:pStyle w:val="ListParagraph"/>
        <w:numPr>
          <w:ilvl w:val="0"/>
          <w:numId w:val="11"/>
        </w:numPr>
        <w:rPr>
          <w:rFonts w:ascii="Arial" w:hAnsi="Arial" w:cs="Arial"/>
          <w:bCs/>
          <w:sz w:val="24"/>
          <w:szCs w:val="24"/>
        </w:rPr>
      </w:pPr>
      <w:r w:rsidRPr="004F7E14">
        <w:rPr>
          <w:rFonts w:ascii="Arial" w:hAnsi="Arial" w:cs="Arial"/>
          <w:bCs/>
          <w:sz w:val="24"/>
          <w:szCs w:val="24"/>
        </w:rPr>
        <w:t>A well abandoned prior to April 18, 1985, that has not been affected or operated by the present owner or operator and from which the present owner, operator, or lessee has received no economic benefit other than as a landowner or recipient of a royalty interest from the well.</w:t>
      </w:r>
    </w:p>
    <w:p w14:paraId="035FBF4D" w14:textId="77777777" w:rsidR="00977C1C" w:rsidRDefault="00977C1C" w:rsidP="00977C1C">
      <w:pPr>
        <w:pStyle w:val="ListParagraph"/>
        <w:ind w:left="1080"/>
        <w:rPr>
          <w:rFonts w:ascii="Arial" w:hAnsi="Arial" w:cs="Arial"/>
          <w:bCs/>
          <w:sz w:val="24"/>
          <w:szCs w:val="24"/>
        </w:rPr>
      </w:pPr>
    </w:p>
    <w:p w14:paraId="596663E4" w14:textId="77777777" w:rsidR="00EB1D84" w:rsidRPr="00EB1D84" w:rsidRDefault="00EB1D84" w:rsidP="002F0C11">
      <w:pPr>
        <w:rPr>
          <w:rFonts w:ascii="Arial" w:hAnsi="Arial" w:cs="Arial"/>
          <w:bCs/>
          <w:sz w:val="24"/>
          <w:szCs w:val="24"/>
        </w:rPr>
      </w:pPr>
    </w:p>
    <w:p w14:paraId="74D43874" w14:textId="373CE08A" w:rsidR="00782A7F" w:rsidRPr="00782A7F" w:rsidRDefault="00560FC9" w:rsidP="002F0C11">
      <w:pPr>
        <w:rPr>
          <w:rFonts w:ascii="Arial" w:hAnsi="Arial" w:cs="Arial"/>
          <w:b/>
          <w:sz w:val="24"/>
          <w:szCs w:val="24"/>
        </w:rPr>
      </w:pPr>
      <w:r>
        <w:rPr>
          <w:rFonts w:ascii="Arial" w:hAnsi="Arial" w:cs="Arial"/>
          <w:b/>
          <w:sz w:val="24"/>
          <w:szCs w:val="24"/>
        </w:rPr>
        <w:t xml:space="preserve">B.  </w:t>
      </w:r>
      <w:r w:rsidR="00782A7F" w:rsidRPr="00782A7F">
        <w:rPr>
          <w:rFonts w:ascii="Arial" w:hAnsi="Arial" w:cs="Arial"/>
          <w:b/>
          <w:sz w:val="24"/>
          <w:szCs w:val="24"/>
        </w:rPr>
        <w:t>Well Prioritization</w:t>
      </w:r>
    </w:p>
    <w:p w14:paraId="0C86A01F" w14:textId="77777777" w:rsidR="00782A7F" w:rsidRPr="00782A7F" w:rsidRDefault="00782A7F" w:rsidP="002F0C11">
      <w:pPr>
        <w:rPr>
          <w:rFonts w:ascii="Arial" w:hAnsi="Arial" w:cs="Arial"/>
          <w:bCs/>
          <w:sz w:val="24"/>
          <w:szCs w:val="24"/>
        </w:rPr>
      </w:pPr>
    </w:p>
    <w:p w14:paraId="23B980FB" w14:textId="15CFE0CD" w:rsidR="00782A7F" w:rsidRPr="00560FC9" w:rsidRDefault="00560FC9" w:rsidP="00977C1C">
      <w:pPr>
        <w:pStyle w:val="ListParagraph"/>
        <w:numPr>
          <w:ilvl w:val="0"/>
          <w:numId w:val="5"/>
        </w:numPr>
        <w:ind w:left="0" w:firstLine="0"/>
        <w:rPr>
          <w:rFonts w:ascii="Arial" w:hAnsi="Arial" w:cs="Arial"/>
          <w:bCs/>
          <w:sz w:val="24"/>
          <w:szCs w:val="24"/>
        </w:rPr>
      </w:pPr>
      <w:r>
        <w:rPr>
          <w:rFonts w:ascii="Arial" w:hAnsi="Arial" w:cs="Arial"/>
          <w:bCs/>
          <w:sz w:val="24"/>
          <w:szCs w:val="24"/>
        </w:rPr>
        <w:t xml:space="preserve"> </w:t>
      </w:r>
      <w:r w:rsidR="00782A7F" w:rsidRPr="00560FC9">
        <w:rPr>
          <w:rFonts w:ascii="Arial" w:hAnsi="Arial" w:cs="Arial"/>
          <w:bCs/>
          <w:sz w:val="24"/>
          <w:szCs w:val="24"/>
        </w:rPr>
        <w:t>Have the known abandoned wells been prioritized so that the highest emitters of methane, or other significant environmental issue, are addressed first? How many wells are in this category?</w:t>
      </w:r>
      <w:r>
        <w:rPr>
          <w:rFonts w:ascii="Arial" w:hAnsi="Arial" w:cs="Arial"/>
          <w:bCs/>
          <w:sz w:val="24"/>
          <w:szCs w:val="24"/>
        </w:rPr>
        <w:br/>
      </w:r>
    </w:p>
    <w:p w14:paraId="1E95EE1C" w14:textId="1CF67178" w:rsidR="00782A7F" w:rsidRDefault="00782A7F" w:rsidP="00977C1C">
      <w:pPr>
        <w:ind w:left="360"/>
        <w:rPr>
          <w:rFonts w:ascii="Arial" w:hAnsi="Arial" w:cs="Arial"/>
          <w:bCs/>
          <w:sz w:val="24"/>
          <w:szCs w:val="24"/>
        </w:rPr>
      </w:pPr>
      <w:r w:rsidRPr="00782A7F">
        <w:rPr>
          <w:rFonts w:ascii="Arial" w:hAnsi="Arial" w:cs="Arial"/>
          <w:bCs/>
          <w:sz w:val="24"/>
          <w:szCs w:val="24"/>
        </w:rPr>
        <w:lastRenderedPageBreak/>
        <w:t>•</w:t>
      </w:r>
      <w:r w:rsidRPr="00782A7F">
        <w:rPr>
          <w:rFonts w:ascii="Arial" w:hAnsi="Arial" w:cs="Arial"/>
          <w:bCs/>
          <w:sz w:val="24"/>
          <w:szCs w:val="24"/>
        </w:rPr>
        <w:tab/>
        <w:t>DEP has scored the risk factors</w:t>
      </w:r>
      <w:r w:rsidR="00FE5B64">
        <w:rPr>
          <w:rFonts w:ascii="Arial" w:hAnsi="Arial" w:cs="Arial"/>
          <w:bCs/>
          <w:sz w:val="24"/>
          <w:szCs w:val="24"/>
        </w:rPr>
        <w:t xml:space="preserve"> for </w:t>
      </w:r>
      <w:r w:rsidR="00ED68F0">
        <w:rPr>
          <w:rFonts w:ascii="Arial" w:hAnsi="Arial" w:cs="Arial"/>
          <w:bCs/>
          <w:sz w:val="24"/>
          <w:szCs w:val="24"/>
        </w:rPr>
        <w:t>the</w:t>
      </w:r>
      <w:r w:rsidRPr="00782A7F">
        <w:rPr>
          <w:rFonts w:ascii="Arial" w:hAnsi="Arial" w:cs="Arial"/>
          <w:bCs/>
          <w:sz w:val="24"/>
          <w:szCs w:val="24"/>
        </w:rPr>
        <w:t xml:space="preserve"> approximately 8,900 </w:t>
      </w:r>
      <w:r w:rsidR="00FE5B64">
        <w:rPr>
          <w:rFonts w:ascii="Arial" w:hAnsi="Arial" w:cs="Arial"/>
          <w:bCs/>
          <w:sz w:val="24"/>
          <w:szCs w:val="24"/>
        </w:rPr>
        <w:t xml:space="preserve">AO wells in </w:t>
      </w:r>
      <w:r w:rsidR="00FE5B64" w:rsidRPr="00FE5B64">
        <w:rPr>
          <w:rFonts w:ascii="Arial" w:hAnsi="Arial" w:cs="Arial"/>
          <w:bCs/>
          <w:sz w:val="24"/>
          <w:szCs w:val="24"/>
        </w:rPr>
        <w:t>DEP’s Abandoned and Orphan database</w:t>
      </w:r>
      <w:r w:rsidRPr="00782A7F">
        <w:rPr>
          <w:rFonts w:ascii="Arial" w:hAnsi="Arial" w:cs="Arial"/>
          <w:bCs/>
          <w:sz w:val="24"/>
          <w:szCs w:val="24"/>
        </w:rPr>
        <w:t>. Highest priority is assigned to wells that pose imminent threats to public safety, then to wells that are actively harming the environment</w:t>
      </w:r>
      <w:r w:rsidR="005B7CE7">
        <w:rPr>
          <w:rFonts w:ascii="Arial" w:hAnsi="Arial" w:cs="Arial"/>
          <w:bCs/>
          <w:sz w:val="24"/>
          <w:szCs w:val="24"/>
        </w:rPr>
        <w:t>.</w:t>
      </w:r>
      <w:r w:rsidRPr="00782A7F">
        <w:rPr>
          <w:rFonts w:ascii="Arial" w:hAnsi="Arial" w:cs="Arial"/>
          <w:bCs/>
          <w:sz w:val="24"/>
          <w:szCs w:val="24"/>
        </w:rPr>
        <w:t xml:space="preserve"> (</w:t>
      </w:r>
      <w:r w:rsidR="005B7CE7">
        <w:rPr>
          <w:rFonts w:ascii="Arial" w:hAnsi="Arial" w:cs="Arial"/>
          <w:bCs/>
          <w:sz w:val="24"/>
          <w:szCs w:val="24"/>
        </w:rPr>
        <w:t>F</w:t>
      </w:r>
      <w:r w:rsidR="00B112B8">
        <w:rPr>
          <w:rFonts w:ascii="Arial" w:hAnsi="Arial" w:cs="Arial"/>
          <w:bCs/>
          <w:sz w:val="24"/>
          <w:szCs w:val="24"/>
        </w:rPr>
        <w:t>or example</w:t>
      </w:r>
      <w:r w:rsidRPr="00782A7F">
        <w:rPr>
          <w:rFonts w:ascii="Arial" w:hAnsi="Arial" w:cs="Arial"/>
          <w:bCs/>
          <w:sz w:val="24"/>
          <w:szCs w:val="24"/>
        </w:rPr>
        <w:t xml:space="preserve">, </w:t>
      </w:r>
      <w:r w:rsidR="005B7CE7">
        <w:rPr>
          <w:rFonts w:ascii="Arial" w:hAnsi="Arial" w:cs="Arial"/>
          <w:bCs/>
          <w:sz w:val="24"/>
          <w:szCs w:val="24"/>
        </w:rPr>
        <w:t xml:space="preserve">wells that are </w:t>
      </w:r>
      <w:r w:rsidRPr="00782A7F">
        <w:rPr>
          <w:rFonts w:ascii="Arial" w:hAnsi="Arial" w:cs="Arial"/>
          <w:bCs/>
          <w:sz w:val="24"/>
          <w:szCs w:val="24"/>
        </w:rPr>
        <w:t>discharging brine or oil to the ground or to surface waters). Finally, consideration is given to the proximity of the well to certain features like water supplies or homes and the general hazards posed by features of the well site</w:t>
      </w:r>
      <w:r w:rsidR="005B7CE7">
        <w:rPr>
          <w:rFonts w:ascii="Arial" w:hAnsi="Arial" w:cs="Arial"/>
          <w:bCs/>
          <w:sz w:val="24"/>
          <w:szCs w:val="24"/>
        </w:rPr>
        <w:t>,</w:t>
      </w:r>
      <w:r w:rsidRPr="00782A7F">
        <w:rPr>
          <w:rFonts w:ascii="Arial" w:hAnsi="Arial" w:cs="Arial"/>
          <w:bCs/>
          <w:sz w:val="24"/>
          <w:szCs w:val="24"/>
        </w:rPr>
        <w:t xml:space="preserve"> such as open tanks located on a well site.</w:t>
      </w:r>
      <w:r w:rsidR="007B3ADC">
        <w:rPr>
          <w:rFonts w:ascii="Arial" w:hAnsi="Arial" w:cs="Arial"/>
          <w:bCs/>
          <w:sz w:val="24"/>
          <w:szCs w:val="24"/>
        </w:rPr>
        <w:t xml:space="preserve"> </w:t>
      </w:r>
      <w:r w:rsidR="00D703E3">
        <w:rPr>
          <w:rFonts w:ascii="Arial" w:hAnsi="Arial" w:cs="Arial"/>
          <w:bCs/>
          <w:sz w:val="24"/>
          <w:szCs w:val="24"/>
        </w:rPr>
        <w:t>The current prioritization process considers the presence or absence of methane emissions but does not require quantification of those emissions.</w:t>
      </w:r>
    </w:p>
    <w:p w14:paraId="7A29C5F4" w14:textId="2F9C1495" w:rsidR="007B3ADC" w:rsidRDefault="007B3ADC" w:rsidP="00977C1C">
      <w:pPr>
        <w:ind w:left="360"/>
        <w:rPr>
          <w:rFonts w:ascii="Arial" w:hAnsi="Arial" w:cs="Arial"/>
          <w:bCs/>
          <w:sz w:val="24"/>
          <w:szCs w:val="24"/>
        </w:rPr>
      </w:pPr>
    </w:p>
    <w:p w14:paraId="719076BC" w14:textId="640BB1B8" w:rsidR="00782A7F" w:rsidRPr="00560FC9" w:rsidRDefault="00560FC9" w:rsidP="008E592D">
      <w:pPr>
        <w:pStyle w:val="ListParagraph"/>
        <w:numPr>
          <w:ilvl w:val="0"/>
          <w:numId w:val="5"/>
        </w:numPr>
        <w:ind w:left="0" w:firstLine="0"/>
        <w:rPr>
          <w:rFonts w:ascii="Arial" w:hAnsi="Arial" w:cs="Arial"/>
          <w:bCs/>
          <w:sz w:val="24"/>
          <w:szCs w:val="24"/>
        </w:rPr>
      </w:pPr>
      <w:r>
        <w:rPr>
          <w:rFonts w:ascii="Arial" w:hAnsi="Arial" w:cs="Arial"/>
          <w:bCs/>
          <w:sz w:val="24"/>
          <w:szCs w:val="24"/>
        </w:rPr>
        <w:t xml:space="preserve"> </w:t>
      </w:r>
      <w:r w:rsidR="00782A7F" w:rsidRPr="00560FC9">
        <w:rPr>
          <w:rFonts w:ascii="Arial" w:hAnsi="Arial" w:cs="Arial"/>
          <w:bCs/>
          <w:sz w:val="24"/>
          <w:szCs w:val="24"/>
        </w:rPr>
        <w:t xml:space="preserve">What is the process to determine which </w:t>
      </w:r>
      <w:r w:rsidR="00DC549E">
        <w:rPr>
          <w:rFonts w:ascii="Arial" w:hAnsi="Arial" w:cs="Arial"/>
          <w:bCs/>
          <w:sz w:val="24"/>
          <w:szCs w:val="24"/>
        </w:rPr>
        <w:t xml:space="preserve">will be plugged </w:t>
      </w:r>
      <w:r w:rsidR="00782A7F" w:rsidRPr="00560FC9">
        <w:rPr>
          <w:rFonts w:ascii="Arial" w:hAnsi="Arial" w:cs="Arial"/>
          <w:bCs/>
          <w:sz w:val="24"/>
          <w:szCs w:val="24"/>
        </w:rPr>
        <w:t xml:space="preserve">first? </w:t>
      </w:r>
      <w:r>
        <w:rPr>
          <w:rFonts w:ascii="Arial" w:hAnsi="Arial" w:cs="Arial"/>
          <w:bCs/>
          <w:sz w:val="24"/>
          <w:szCs w:val="24"/>
        </w:rPr>
        <w:br/>
      </w:r>
    </w:p>
    <w:p w14:paraId="4E28076D" w14:textId="2FADC36D" w:rsidR="00782A7F" w:rsidRPr="00782A7F" w:rsidRDefault="00782A7F" w:rsidP="008E592D">
      <w:pPr>
        <w:ind w:left="360"/>
        <w:rPr>
          <w:rFonts w:ascii="Arial" w:hAnsi="Arial" w:cs="Arial"/>
          <w:bCs/>
          <w:sz w:val="24"/>
          <w:szCs w:val="24"/>
        </w:rPr>
      </w:pPr>
      <w:r w:rsidRPr="00782A7F">
        <w:rPr>
          <w:rFonts w:ascii="Arial" w:hAnsi="Arial" w:cs="Arial"/>
          <w:bCs/>
          <w:sz w:val="24"/>
          <w:szCs w:val="24"/>
        </w:rPr>
        <w:t>•</w:t>
      </w:r>
      <w:r w:rsidRPr="00782A7F">
        <w:rPr>
          <w:rFonts w:ascii="Arial" w:hAnsi="Arial" w:cs="Arial"/>
          <w:bCs/>
          <w:sz w:val="24"/>
          <w:szCs w:val="24"/>
        </w:rPr>
        <w:tab/>
      </w:r>
      <w:r w:rsidR="00FE5B64">
        <w:rPr>
          <w:rFonts w:ascii="Arial" w:hAnsi="Arial" w:cs="Arial"/>
          <w:bCs/>
          <w:sz w:val="24"/>
          <w:szCs w:val="24"/>
        </w:rPr>
        <w:t>DEP</w:t>
      </w:r>
      <w:r w:rsidR="008F35EB">
        <w:rPr>
          <w:rFonts w:ascii="Arial" w:hAnsi="Arial" w:cs="Arial"/>
          <w:bCs/>
          <w:sz w:val="24"/>
          <w:szCs w:val="24"/>
        </w:rPr>
        <w:t xml:space="preserve"> is </w:t>
      </w:r>
      <w:r w:rsidRPr="00782A7F">
        <w:rPr>
          <w:rFonts w:ascii="Arial" w:hAnsi="Arial" w:cs="Arial"/>
          <w:bCs/>
          <w:sz w:val="24"/>
          <w:szCs w:val="24"/>
        </w:rPr>
        <w:t>focusing initial contracts on</w:t>
      </w:r>
      <w:r w:rsidR="00ED68F0">
        <w:rPr>
          <w:rFonts w:ascii="Arial" w:hAnsi="Arial" w:cs="Arial"/>
          <w:bCs/>
          <w:sz w:val="24"/>
          <w:szCs w:val="24"/>
        </w:rPr>
        <w:t>: (1)</w:t>
      </w:r>
      <w:r w:rsidRPr="00782A7F">
        <w:rPr>
          <w:rFonts w:ascii="Arial" w:hAnsi="Arial" w:cs="Arial"/>
          <w:bCs/>
          <w:sz w:val="24"/>
          <w:szCs w:val="24"/>
        </w:rPr>
        <w:t xml:space="preserve"> highest scoring </w:t>
      </w:r>
      <w:r w:rsidR="00D703E3">
        <w:rPr>
          <w:rFonts w:ascii="Arial" w:hAnsi="Arial" w:cs="Arial"/>
          <w:bCs/>
          <w:sz w:val="24"/>
          <w:szCs w:val="24"/>
        </w:rPr>
        <w:t xml:space="preserve">AO </w:t>
      </w:r>
      <w:r w:rsidRPr="00782A7F">
        <w:rPr>
          <w:rFonts w:ascii="Arial" w:hAnsi="Arial" w:cs="Arial"/>
          <w:bCs/>
          <w:sz w:val="24"/>
          <w:szCs w:val="24"/>
        </w:rPr>
        <w:t xml:space="preserve">wells and </w:t>
      </w:r>
      <w:r w:rsidR="008F35EB">
        <w:rPr>
          <w:rFonts w:ascii="Arial" w:hAnsi="Arial" w:cs="Arial"/>
          <w:bCs/>
          <w:sz w:val="24"/>
          <w:szCs w:val="24"/>
        </w:rPr>
        <w:t xml:space="preserve">other AO </w:t>
      </w:r>
      <w:r w:rsidRPr="00782A7F">
        <w:rPr>
          <w:rFonts w:ascii="Arial" w:hAnsi="Arial" w:cs="Arial"/>
          <w:bCs/>
          <w:sz w:val="24"/>
          <w:szCs w:val="24"/>
        </w:rPr>
        <w:t>wells</w:t>
      </w:r>
      <w:r w:rsidR="008F35EB">
        <w:rPr>
          <w:rFonts w:ascii="Arial" w:hAnsi="Arial" w:cs="Arial"/>
          <w:bCs/>
          <w:sz w:val="24"/>
          <w:szCs w:val="24"/>
        </w:rPr>
        <w:t xml:space="preserve"> in close proximity to the high scoring AO wells</w:t>
      </w:r>
      <w:r w:rsidRPr="00782A7F">
        <w:rPr>
          <w:rFonts w:ascii="Arial" w:hAnsi="Arial" w:cs="Arial"/>
          <w:bCs/>
          <w:sz w:val="24"/>
          <w:szCs w:val="24"/>
        </w:rPr>
        <w:t xml:space="preserve">; </w:t>
      </w:r>
      <w:r w:rsidR="00ED68F0">
        <w:rPr>
          <w:rFonts w:ascii="Arial" w:hAnsi="Arial" w:cs="Arial"/>
          <w:bCs/>
          <w:sz w:val="24"/>
          <w:szCs w:val="24"/>
        </w:rPr>
        <w:t xml:space="preserve">(2) </w:t>
      </w:r>
      <w:r w:rsidR="008F35EB">
        <w:rPr>
          <w:rFonts w:ascii="Arial" w:hAnsi="Arial" w:cs="Arial"/>
          <w:bCs/>
          <w:sz w:val="24"/>
          <w:szCs w:val="24"/>
        </w:rPr>
        <w:t xml:space="preserve">AO </w:t>
      </w:r>
      <w:r w:rsidRPr="00782A7F">
        <w:rPr>
          <w:rFonts w:ascii="Arial" w:hAnsi="Arial" w:cs="Arial"/>
          <w:bCs/>
          <w:sz w:val="24"/>
          <w:szCs w:val="24"/>
        </w:rPr>
        <w:t xml:space="preserve">wells associated with stray gas </w:t>
      </w:r>
      <w:r w:rsidR="008F35EB">
        <w:rPr>
          <w:rFonts w:ascii="Arial" w:hAnsi="Arial" w:cs="Arial"/>
          <w:bCs/>
          <w:sz w:val="24"/>
          <w:szCs w:val="24"/>
        </w:rPr>
        <w:t xml:space="preserve">migration </w:t>
      </w:r>
      <w:r w:rsidRPr="00782A7F">
        <w:rPr>
          <w:rFonts w:ascii="Arial" w:hAnsi="Arial" w:cs="Arial"/>
          <w:bCs/>
          <w:sz w:val="24"/>
          <w:szCs w:val="24"/>
        </w:rPr>
        <w:t xml:space="preserve">cases and </w:t>
      </w:r>
      <w:r w:rsidR="008F35EB">
        <w:rPr>
          <w:rFonts w:ascii="Arial" w:hAnsi="Arial" w:cs="Arial"/>
          <w:bCs/>
          <w:sz w:val="24"/>
          <w:szCs w:val="24"/>
        </w:rPr>
        <w:t xml:space="preserve">other AO </w:t>
      </w:r>
      <w:r w:rsidR="008F35EB" w:rsidRPr="00782A7F">
        <w:rPr>
          <w:rFonts w:ascii="Arial" w:hAnsi="Arial" w:cs="Arial"/>
          <w:bCs/>
          <w:sz w:val="24"/>
          <w:szCs w:val="24"/>
        </w:rPr>
        <w:t>wells</w:t>
      </w:r>
      <w:r w:rsidR="008F35EB">
        <w:rPr>
          <w:rFonts w:ascii="Arial" w:hAnsi="Arial" w:cs="Arial"/>
          <w:bCs/>
          <w:sz w:val="24"/>
          <w:szCs w:val="24"/>
        </w:rPr>
        <w:t xml:space="preserve"> in close proximity to</w:t>
      </w:r>
      <w:r w:rsidR="008F35EB" w:rsidRPr="00782A7F">
        <w:rPr>
          <w:rFonts w:ascii="Arial" w:hAnsi="Arial" w:cs="Arial"/>
          <w:bCs/>
          <w:sz w:val="24"/>
          <w:szCs w:val="24"/>
        </w:rPr>
        <w:t xml:space="preserve"> </w:t>
      </w:r>
      <w:r w:rsidR="008F35EB">
        <w:rPr>
          <w:rFonts w:ascii="Arial" w:hAnsi="Arial" w:cs="Arial"/>
          <w:bCs/>
          <w:sz w:val="24"/>
          <w:szCs w:val="24"/>
        </w:rPr>
        <w:t>those wells</w:t>
      </w:r>
      <w:r w:rsidRPr="00782A7F">
        <w:rPr>
          <w:rFonts w:ascii="Arial" w:hAnsi="Arial" w:cs="Arial"/>
          <w:bCs/>
          <w:sz w:val="24"/>
          <w:szCs w:val="24"/>
        </w:rPr>
        <w:t xml:space="preserve">; and </w:t>
      </w:r>
      <w:r w:rsidR="00ED68F0">
        <w:rPr>
          <w:rFonts w:ascii="Arial" w:hAnsi="Arial" w:cs="Arial"/>
          <w:bCs/>
          <w:sz w:val="24"/>
          <w:szCs w:val="24"/>
        </w:rPr>
        <w:t xml:space="preserve">(3) </w:t>
      </w:r>
      <w:r w:rsidRPr="00782A7F">
        <w:rPr>
          <w:rFonts w:ascii="Arial" w:hAnsi="Arial" w:cs="Arial"/>
          <w:bCs/>
          <w:sz w:val="24"/>
          <w:szCs w:val="24"/>
        </w:rPr>
        <w:t xml:space="preserve">wells on </w:t>
      </w:r>
      <w:r w:rsidR="00DC549E">
        <w:rPr>
          <w:rFonts w:ascii="Arial" w:hAnsi="Arial" w:cs="Arial"/>
          <w:bCs/>
          <w:sz w:val="24"/>
          <w:szCs w:val="24"/>
        </w:rPr>
        <w:t>c</w:t>
      </w:r>
      <w:r w:rsidRPr="00782A7F">
        <w:rPr>
          <w:rFonts w:ascii="Arial" w:hAnsi="Arial" w:cs="Arial"/>
          <w:bCs/>
          <w:sz w:val="24"/>
          <w:szCs w:val="24"/>
        </w:rPr>
        <w:t>ommonwealth property</w:t>
      </w:r>
      <w:r w:rsidR="008F35EB">
        <w:rPr>
          <w:rFonts w:ascii="Arial" w:hAnsi="Arial" w:cs="Arial"/>
          <w:bCs/>
          <w:sz w:val="24"/>
          <w:szCs w:val="24"/>
        </w:rPr>
        <w:t xml:space="preserve"> (for public resource protection and ease of access)</w:t>
      </w:r>
      <w:r w:rsidRPr="00782A7F">
        <w:rPr>
          <w:rFonts w:ascii="Arial" w:hAnsi="Arial" w:cs="Arial"/>
          <w:bCs/>
          <w:sz w:val="24"/>
          <w:szCs w:val="24"/>
        </w:rPr>
        <w:t>.</w:t>
      </w:r>
      <w:r w:rsidR="008F35EB">
        <w:rPr>
          <w:rFonts w:ascii="Arial" w:hAnsi="Arial" w:cs="Arial"/>
          <w:bCs/>
          <w:sz w:val="24"/>
          <w:szCs w:val="24"/>
        </w:rPr>
        <w:t xml:space="preserve"> In addition, </w:t>
      </w:r>
      <w:r w:rsidR="00B4523A">
        <w:rPr>
          <w:rFonts w:ascii="Arial" w:hAnsi="Arial" w:cs="Arial"/>
          <w:bCs/>
          <w:sz w:val="24"/>
          <w:szCs w:val="24"/>
        </w:rPr>
        <w:t xml:space="preserve">although the majority of projects will be located in the DEP Northwest District territory given the sheer number of AO wells in that area, </w:t>
      </w:r>
      <w:r w:rsidR="008F35EB">
        <w:rPr>
          <w:rFonts w:ascii="Arial" w:hAnsi="Arial" w:cs="Arial"/>
          <w:bCs/>
          <w:sz w:val="24"/>
          <w:szCs w:val="24"/>
        </w:rPr>
        <w:t>the Department will be generating projects in all three Oil and Gas Districts</w:t>
      </w:r>
      <w:r w:rsidR="00B4523A">
        <w:rPr>
          <w:rFonts w:ascii="Arial" w:hAnsi="Arial" w:cs="Arial"/>
          <w:bCs/>
          <w:sz w:val="24"/>
          <w:szCs w:val="24"/>
        </w:rPr>
        <w:t xml:space="preserve"> in order to maximize economic development opportunities. </w:t>
      </w:r>
    </w:p>
    <w:p w14:paraId="2CECE50F" w14:textId="77777777" w:rsidR="003736B7" w:rsidRDefault="003736B7" w:rsidP="002F0C11">
      <w:pPr>
        <w:rPr>
          <w:rFonts w:ascii="Arial" w:hAnsi="Arial" w:cs="Arial"/>
          <w:bCs/>
          <w:sz w:val="24"/>
          <w:szCs w:val="24"/>
        </w:rPr>
      </w:pPr>
    </w:p>
    <w:p w14:paraId="149458BC" w14:textId="759D41A9" w:rsidR="00782A7F" w:rsidRPr="00782A7F" w:rsidRDefault="003736B7" w:rsidP="002F0C11">
      <w:pPr>
        <w:rPr>
          <w:rFonts w:ascii="Arial" w:hAnsi="Arial" w:cs="Arial"/>
          <w:bCs/>
          <w:sz w:val="24"/>
          <w:szCs w:val="24"/>
        </w:rPr>
      </w:pPr>
      <w:r w:rsidRPr="008E592D">
        <w:rPr>
          <w:rFonts w:ascii="Arial" w:hAnsi="Arial" w:cs="Arial"/>
          <w:b/>
          <w:sz w:val="24"/>
          <w:szCs w:val="24"/>
        </w:rPr>
        <w:t>C.</w:t>
      </w:r>
      <w:r>
        <w:rPr>
          <w:rFonts w:ascii="Arial" w:hAnsi="Arial" w:cs="Arial"/>
          <w:bCs/>
          <w:sz w:val="24"/>
          <w:szCs w:val="24"/>
        </w:rPr>
        <w:t xml:space="preserve">  </w:t>
      </w:r>
      <w:r w:rsidR="00782A7F" w:rsidRPr="003736B7">
        <w:rPr>
          <w:rFonts w:ascii="Arial" w:hAnsi="Arial" w:cs="Arial"/>
          <w:b/>
          <w:sz w:val="24"/>
          <w:szCs w:val="24"/>
        </w:rPr>
        <w:t>Well Records</w:t>
      </w:r>
    </w:p>
    <w:p w14:paraId="1A1CD886" w14:textId="77777777" w:rsidR="00782A7F" w:rsidRPr="00782A7F" w:rsidRDefault="00782A7F" w:rsidP="002F0C11">
      <w:pPr>
        <w:rPr>
          <w:rFonts w:ascii="Arial" w:hAnsi="Arial" w:cs="Arial"/>
          <w:bCs/>
          <w:sz w:val="24"/>
          <w:szCs w:val="24"/>
        </w:rPr>
      </w:pPr>
    </w:p>
    <w:p w14:paraId="5FAB574F" w14:textId="71491FE0" w:rsidR="00782A7F" w:rsidRPr="008E592D" w:rsidRDefault="00152129" w:rsidP="008E592D">
      <w:pPr>
        <w:pStyle w:val="ListParagraph"/>
        <w:numPr>
          <w:ilvl w:val="0"/>
          <w:numId w:val="13"/>
        </w:numPr>
        <w:ind w:left="0" w:firstLine="0"/>
        <w:rPr>
          <w:rFonts w:ascii="Arial" w:hAnsi="Arial" w:cs="Arial"/>
          <w:bCs/>
          <w:sz w:val="24"/>
          <w:szCs w:val="24"/>
        </w:rPr>
      </w:pPr>
      <w:r w:rsidRPr="008E592D">
        <w:rPr>
          <w:rFonts w:ascii="Arial" w:hAnsi="Arial" w:cs="Arial"/>
          <w:bCs/>
          <w:sz w:val="24"/>
          <w:szCs w:val="24"/>
        </w:rPr>
        <w:t>Regarding</w:t>
      </w:r>
      <w:r w:rsidR="00782A7F" w:rsidRPr="008E592D">
        <w:rPr>
          <w:rFonts w:ascii="Arial" w:hAnsi="Arial" w:cs="Arial"/>
          <w:bCs/>
          <w:sz w:val="24"/>
          <w:szCs w:val="24"/>
        </w:rPr>
        <w:t xml:space="preserve"> wells which are plugged, what information does the Department</w:t>
      </w:r>
    </w:p>
    <w:p w14:paraId="4B41483E" w14:textId="2FCEF04E" w:rsidR="00782A7F" w:rsidRPr="00782A7F" w:rsidRDefault="00782A7F" w:rsidP="008E592D">
      <w:pPr>
        <w:ind w:left="360"/>
        <w:rPr>
          <w:rFonts w:ascii="Arial" w:hAnsi="Arial" w:cs="Arial"/>
          <w:bCs/>
          <w:sz w:val="24"/>
          <w:szCs w:val="24"/>
        </w:rPr>
      </w:pPr>
      <w:r w:rsidRPr="00782A7F">
        <w:rPr>
          <w:rFonts w:ascii="Arial" w:hAnsi="Arial" w:cs="Arial"/>
          <w:bCs/>
          <w:sz w:val="24"/>
          <w:szCs w:val="24"/>
        </w:rPr>
        <w:t>maintain (</w:t>
      </w:r>
      <w:r w:rsidR="00B4523A">
        <w:rPr>
          <w:rFonts w:ascii="Arial" w:hAnsi="Arial" w:cs="Arial"/>
          <w:bCs/>
          <w:sz w:val="24"/>
          <w:szCs w:val="24"/>
        </w:rPr>
        <w:t xml:space="preserve">for example, </w:t>
      </w:r>
      <w:r w:rsidRPr="00782A7F">
        <w:rPr>
          <w:rFonts w:ascii="Arial" w:hAnsi="Arial" w:cs="Arial"/>
          <w:bCs/>
          <w:sz w:val="24"/>
          <w:szCs w:val="24"/>
        </w:rPr>
        <w:t>depth, plugging material, name of contactor, etc.)?</w:t>
      </w:r>
      <w:r w:rsidR="003E60BC">
        <w:rPr>
          <w:rFonts w:ascii="Arial" w:hAnsi="Arial" w:cs="Arial"/>
          <w:bCs/>
          <w:sz w:val="24"/>
          <w:szCs w:val="24"/>
        </w:rPr>
        <w:br/>
      </w:r>
    </w:p>
    <w:p w14:paraId="227D447F" w14:textId="246B1715" w:rsidR="00782A7F" w:rsidRPr="00782A7F" w:rsidRDefault="00782A7F" w:rsidP="008E592D">
      <w:pPr>
        <w:ind w:left="360"/>
        <w:rPr>
          <w:rFonts w:ascii="Arial" w:hAnsi="Arial" w:cs="Arial"/>
          <w:bCs/>
          <w:sz w:val="24"/>
          <w:szCs w:val="24"/>
        </w:rPr>
      </w:pPr>
      <w:r w:rsidRPr="00782A7F">
        <w:rPr>
          <w:rFonts w:ascii="Arial" w:hAnsi="Arial" w:cs="Arial"/>
          <w:bCs/>
          <w:sz w:val="24"/>
          <w:szCs w:val="24"/>
        </w:rPr>
        <w:t>•</w:t>
      </w:r>
      <w:r w:rsidRPr="00782A7F">
        <w:rPr>
          <w:rFonts w:ascii="Arial" w:hAnsi="Arial" w:cs="Arial"/>
          <w:bCs/>
          <w:sz w:val="24"/>
          <w:szCs w:val="24"/>
        </w:rPr>
        <w:tab/>
        <w:t xml:space="preserve">The well plugging certificate includes the operator and well plugging contractor’s information as well as the materials used to plug the well, the location of the various plug set depths, the casing that was pulled from the well, and the ultimate depth at which the well was plugged (either its true vertical depth or an approved alternative attainable bottom). Please see </w:t>
      </w:r>
      <w:r w:rsidR="00276B40">
        <w:rPr>
          <w:rFonts w:ascii="Arial" w:hAnsi="Arial" w:cs="Arial"/>
          <w:bCs/>
          <w:sz w:val="24"/>
          <w:szCs w:val="24"/>
        </w:rPr>
        <w:t xml:space="preserve">the Department’s </w:t>
      </w:r>
      <w:hyperlink r:id="rId9" w:history="1">
        <w:r w:rsidR="00276B40">
          <w:rPr>
            <w:rStyle w:val="Hyperlink"/>
            <w:rFonts w:ascii="Arial" w:hAnsi="Arial" w:cs="Arial"/>
            <w:bCs/>
            <w:sz w:val="24"/>
            <w:szCs w:val="24"/>
          </w:rPr>
          <w:t>C</w:t>
        </w:r>
        <w:r w:rsidRPr="00276B40">
          <w:rPr>
            <w:rStyle w:val="Hyperlink"/>
            <w:rFonts w:ascii="Arial" w:hAnsi="Arial" w:cs="Arial"/>
            <w:bCs/>
            <w:sz w:val="24"/>
            <w:szCs w:val="24"/>
          </w:rPr>
          <w:t xml:space="preserve">ertificate </w:t>
        </w:r>
        <w:r w:rsidR="00276B40">
          <w:rPr>
            <w:rStyle w:val="Hyperlink"/>
            <w:rFonts w:ascii="Arial" w:hAnsi="Arial" w:cs="Arial"/>
            <w:bCs/>
            <w:sz w:val="24"/>
            <w:szCs w:val="24"/>
          </w:rPr>
          <w:t xml:space="preserve">of Well Plugging </w:t>
        </w:r>
        <w:r w:rsidRPr="00276B40">
          <w:rPr>
            <w:rStyle w:val="Hyperlink"/>
            <w:rFonts w:ascii="Arial" w:hAnsi="Arial" w:cs="Arial"/>
            <w:bCs/>
            <w:sz w:val="24"/>
            <w:szCs w:val="24"/>
          </w:rPr>
          <w:t>form (8000-FM-OOGM0005)</w:t>
        </w:r>
      </w:hyperlink>
      <w:r w:rsidRPr="00782A7F">
        <w:rPr>
          <w:rFonts w:ascii="Arial" w:hAnsi="Arial" w:cs="Arial"/>
          <w:bCs/>
          <w:sz w:val="24"/>
          <w:szCs w:val="24"/>
        </w:rPr>
        <w:t>.</w:t>
      </w:r>
    </w:p>
    <w:p w14:paraId="3AB98B09" w14:textId="77777777" w:rsidR="00782A7F" w:rsidRPr="00782A7F" w:rsidRDefault="00782A7F" w:rsidP="002F0C11">
      <w:pPr>
        <w:rPr>
          <w:rFonts w:ascii="Arial" w:hAnsi="Arial" w:cs="Arial"/>
          <w:bCs/>
          <w:sz w:val="24"/>
          <w:szCs w:val="24"/>
        </w:rPr>
      </w:pPr>
    </w:p>
    <w:p w14:paraId="7B17BC5F" w14:textId="522ABCEB" w:rsidR="00782A7F" w:rsidRPr="00782A7F" w:rsidRDefault="003E60BC" w:rsidP="002F0C11">
      <w:pPr>
        <w:rPr>
          <w:rFonts w:ascii="Arial" w:hAnsi="Arial" w:cs="Arial"/>
          <w:bCs/>
          <w:sz w:val="24"/>
          <w:szCs w:val="24"/>
        </w:rPr>
      </w:pPr>
      <w:r w:rsidRPr="00CD711E">
        <w:rPr>
          <w:rFonts w:ascii="Arial" w:hAnsi="Arial" w:cs="Arial"/>
          <w:b/>
          <w:sz w:val="24"/>
          <w:szCs w:val="24"/>
        </w:rPr>
        <w:t xml:space="preserve">D.  </w:t>
      </w:r>
      <w:r w:rsidR="00782A7F" w:rsidRPr="00907F07">
        <w:rPr>
          <w:rFonts w:ascii="Arial" w:hAnsi="Arial" w:cs="Arial"/>
          <w:b/>
          <w:sz w:val="24"/>
          <w:szCs w:val="24"/>
        </w:rPr>
        <w:t>Bidding Process</w:t>
      </w:r>
    </w:p>
    <w:p w14:paraId="58A27C20" w14:textId="77777777" w:rsidR="00782A7F" w:rsidRPr="00782A7F" w:rsidRDefault="00782A7F" w:rsidP="002F0C11">
      <w:pPr>
        <w:rPr>
          <w:rFonts w:ascii="Arial" w:hAnsi="Arial" w:cs="Arial"/>
          <w:bCs/>
          <w:sz w:val="24"/>
          <w:szCs w:val="24"/>
        </w:rPr>
      </w:pPr>
    </w:p>
    <w:p w14:paraId="6C80BBF4" w14:textId="21F19CED" w:rsidR="00782A7F" w:rsidRPr="00445736" w:rsidRDefault="00782A7F" w:rsidP="008E592D">
      <w:pPr>
        <w:pStyle w:val="ListParagraph"/>
        <w:numPr>
          <w:ilvl w:val="0"/>
          <w:numId w:val="7"/>
        </w:numPr>
        <w:ind w:left="0" w:firstLine="0"/>
        <w:rPr>
          <w:rFonts w:ascii="Arial" w:hAnsi="Arial" w:cs="Arial"/>
          <w:bCs/>
          <w:sz w:val="24"/>
          <w:szCs w:val="24"/>
        </w:rPr>
      </w:pPr>
      <w:r w:rsidRPr="00445736">
        <w:rPr>
          <w:rFonts w:ascii="Arial" w:hAnsi="Arial" w:cs="Arial"/>
          <w:bCs/>
          <w:sz w:val="24"/>
          <w:szCs w:val="24"/>
        </w:rPr>
        <w:t>Does DEP publicly bid well plugging projects?</w:t>
      </w:r>
      <w:r w:rsidR="00907F07" w:rsidRPr="00445736">
        <w:rPr>
          <w:rFonts w:ascii="Arial" w:hAnsi="Arial" w:cs="Arial"/>
          <w:bCs/>
          <w:sz w:val="24"/>
          <w:szCs w:val="24"/>
        </w:rPr>
        <w:br/>
      </w:r>
    </w:p>
    <w:p w14:paraId="3C93B4ED" w14:textId="06B7EFE6" w:rsidR="00EB1D84" w:rsidRPr="00782A7F" w:rsidRDefault="00782A7F" w:rsidP="008E592D">
      <w:pPr>
        <w:ind w:left="360"/>
        <w:rPr>
          <w:rFonts w:ascii="Arial" w:hAnsi="Arial" w:cs="Arial"/>
          <w:bCs/>
          <w:sz w:val="24"/>
          <w:szCs w:val="24"/>
        </w:rPr>
      </w:pPr>
      <w:r w:rsidRPr="00782A7F">
        <w:rPr>
          <w:rFonts w:ascii="Arial" w:hAnsi="Arial" w:cs="Arial"/>
          <w:bCs/>
          <w:sz w:val="24"/>
          <w:szCs w:val="24"/>
        </w:rPr>
        <w:t>•</w:t>
      </w:r>
      <w:r w:rsidRPr="00782A7F">
        <w:rPr>
          <w:rFonts w:ascii="Arial" w:hAnsi="Arial" w:cs="Arial"/>
          <w:bCs/>
          <w:sz w:val="24"/>
          <w:szCs w:val="24"/>
        </w:rPr>
        <w:tab/>
        <w:t>Unless an emergency contract is issued, all plugging jobs are publicly bid via Bid Express (</w:t>
      </w:r>
      <w:hyperlink r:id="rId10" w:history="1">
        <w:r w:rsidR="00276B40" w:rsidRPr="00190019">
          <w:rPr>
            <w:rStyle w:val="Hyperlink"/>
            <w:rFonts w:ascii="Arial" w:hAnsi="Arial" w:cs="Arial"/>
            <w:bCs/>
            <w:sz w:val="24"/>
            <w:szCs w:val="24"/>
          </w:rPr>
          <w:t>https://www.bidexpress.com</w:t>
        </w:r>
      </w:hyperlink>
      <w:r w:rsidRPr="00782A7F">
        <w:rPr>
          <w:rFonts w:ascii="Arial" w:hAnsi="Arial" w:cs="Arial"/>
          <w:bCs/>
          <w:sz w:val="24"/>
          <w:szCs w:val="24"/>
        </w:rPr>
        <w:t>).</w:t>
      </w:r>
    </w:p>
    <w:p w14:paraId="1D3BAE0B" w14:textId="77777777" w:rsidR="008A34DD" w:rsidRPr="00445736" w:rsidRDefault="008A34DD" w:rsidP="002F0C11">
      <w:pPr>
        <w:rPr>
          <w:rFonts w:ascii="Arial" w:hAnsi="Arial" w:cs="Arial"/>
          <w:bCs/>
          <w:sz w:val="24"/>
          <w:szCs w:val="24"/>
        </w:rPr>
      </w:pPr>
    </w:p>
    <w:p w14:paraId="1590A07C" w14:textId="5FBDE979" w:rsidR="008A34DD" w:rsidRPr="00445736" w:rsidRDefault="00CD711E" w:rsidP="00104E8C">
      <w:pPr>
        <w:pStyle w:val="ListParagraph"/>
        <w:numPr>
          <w:ilvl w:val="0"/>
          <w:numId w:val="7"/>
        </w:numPr>
        <w:ind w:left="0" w:firstLine="0"/>
        <w:rPr>
          <w:rFonts w:ascii="Arial" w:hAnsi="Arial" w:cs="Arial"/>
          <w:bCs/>
          <w:sz w:val="24"/>
          <w:szCs w:val="24"/>
        </w:rPr>
      </w:pPr>
      <w:r>
        <w:rPr>
          <w:rFonts w:ascii="Arial" w:hAnsi="Arial" w:cs="Arial"/>
          <w:bCs/>
          <w:sz w:val="24"/>
          <w:szCs w:val="24"/>
        </w:rPr>
        <w:t>W</w:t>
      </w:r>
      <w:r w:rsidR="008A34DD" w:rsidRPr="00445736">
        <w:rPr>
          <w:rFonts w:ascii="Arial" w:hAnsi="Arial" w:cs="Arial"/>
          <w:bCs/>
          <w:sz w:val="24"/>
          <w:szCs w:val="24"/>
        </w:rPr>
        <w:t xml:space="preserve">ill </w:t>
      </w:r>
      <w:r>
        <w:rPr>
          <w:rFonts w:ascii="Arial" w:hAnsi="Arial" w:cs="Arial"/>
          <w:bCs/>
          <w:sz w:val="24"/>
          <w:szCs w:val="24"/>
        </w:rPr>
        <w:t xml:space="preserve">entities </w:t>
      </w:r>
      <w:r w:rsidR="008A34DD" w:rsidRPr="00445736">
        <w:rPr>
          <w:rFonts w:ascii="Arial" w:hAnsi="Arial" w:cs="Arial"/>
          <w:bCs/>
          <w:sz w:val="24"/>
          <w:szCs w:val="24"/>
        </w:rPr>
        <w:t xml:space="preserve">awarded plugging contracts </w:t>
      </w:r>
      <w:r>
        <w:rPr>
          <w:rFonts w:ascii="Arial" w:hAnsi="Arial" w:cs="Arial"/>
          <w:bCs/>
          <w:sz w:val="24"/>
          <w:szCs w:val="24"/>
        </w:rPr>
        <w:t xml:space="preserve">under the IIJA </w:t>
      </w:r>
      <w:r w:rsidR="008A34DD" w:rsidRPr="00445736">
        <w:rPr>
          <w:rFonts w:ascii="Arial" w:hAnsi="Arial" w:cs="Arial"/>
          <w:bCs/>
          <w:sz w:val="24"/>
          <w:szCs w:val="24"/>
        </w:rPr>
        <w:t>still need to go through the small business procurement process or will there be additional opportunities for others to secure these contracts?</w:t>
      </w:r>
      <w:r w:rsidR="00445736">
        <w:rPr>
          <w:rFonts w:ascii="Arial" w:hAnsi="Arial" w:cs="Arial"/>
          <w:bCs/>
          <w:sz w:val="24"/>
          <w:szCs w:val="24"/>
        </w:rPr>
        <w:br/>
      </w:r>
    </w:p>
    <w:p w14:paraId="7A96857E" w14:textId="7BA4500F" w:rsidR="00777BC8" w:rsidRDefault="008A34DD" w:rsidP="004E0610">
      <w:pPr>
        <w:ind w:left="360"/>
        <w:rPr>
          <w:rFonts w:ascii="Arial" w:hAnsi="Arial" w:cs="Arial"/>
          <w:bCs/>
          <w:sz w:val="24"/>
          <w:szCs w:val="24"/>
        </w:rPr>
      </w:pPr>
      <w:bookmarkStart w:id="0" w:name="_Hlk98856292"/>
      <w:r w:rsidRPr="00445736">
        <w:rPr>
          <w:rFonts w:ascii="Arial" w:hAnsi="Arial" w:cs="Arial"/>
          <w:bCs/>
          <w:sz w:val="24"/>
          <w:szCs w:val="24"/>
        </w:rPr>
        <w:t>•</w:t>
      </w:r>
      <w:r w:rsidRPr="00445736">
        <w:rPr>
          <w:rFonts w:ascii="Arial" w:hAnsi="Arial" w:cs="Arial"/>
          <w:bCs/>
          <w:sz w:val="24"/>
          <w:szCs w:val="24"/>
        </w:rPr>
        <w:tab/>
      </w:r>
      <w:r w:rsidR="00DC549E">
        <w:rPr>
          <w:rFonts w:ascii="Arial" w:hAnsi="Arial" w:cs="Arial"/>
          <w:bCs/>
          <w:sz w:val="24"/>
          <w:szCs w:val="24"/>
        </w:rPr>
        <w:t>The Department’s</w:t>
      </w:r>
      <w:r w:rsidRPr="00445736">
        <w:rPr>
          <w:rFonts w:ascii="Arial" w:hAnsi="Arial" w:cs="Arial"/>
          <w:bCs/>
          <w:sz w:val="24"/>
          <w:szCs w:val="24"/>
        </w:rPr>
        <w:t xml:space="preserve"> intent is to have a mix grouping of contracts. </w:t>
      </w:r>
      <w:r w:rsidR="00CD711E">
        <w:rPr>
          <w:rFonts w:ascii="Arial" w:hAnsi="Arial" w:cs="Arial"/>
          <w:bCs/>
          <w:sz w:val="24"/>
          <w:szCs w:val="24"/>
        </w:rPr>
        <w:t>The Department is required to comply with</w:t>
      </w:r>
      <w:r w:rsidR="005D71DA">
        <w:rPr>
          <w:rFonts w:ascii="Arial" w:hAnsi="Arial" w:cs="Arial"/>
          <w:bCs/>
          <w:sz w:val="24"/>
          <w:szCs w:val="24"/>
        </w:rPr>
        <w:t xml:space="preserve"> the Procurement Code and implementing policies and </w:t>
      </w:r>
      <w:r w:rsidR="005D71DA">
        <w:rPr>
          <w:rFonts w:ascii="Arial" w:hAnsi="Arial" w:cs="Arial"/>
          <w:bCs/>
          <w:sz w:val="24"/>
          <w:szCs w:val="24"/>
        </w:rPr>
        <w:lastRenderedPageBreak/>
        <w:t>orders. Examples include</w:t>
      </w:r>
      <w:r w:rsidR="00CD711E">
        <w:rPr>
          <w:rFonts w:ascii="Arial" w:hAnsi="Arial" w:cs="Arial"/>
          <w:bCs/>
          <w:sz w:val="24"/>
          <w:szCs w:val="24"/>
        </w:rPr>
        <w:t xml:space="preserve"> </w:t>
      </w:r>
      <w:hyperlink r:id="rId11" w:history="1">
        <w:r w:rsidR="00CD711E" w:rsidRPr="00293638">
          <w:rPr>
            <w:rStyle w:val="Hyperlink"/>
            <w:rFonts w:ascii="Arial" w:hAnsi="Arial" w:cs="Arial"/>
            <w:bCs/>
            <w:sz w:val="24"/>
            <w:szCs w:val="24"/>
          </w:rPr>
          <w:t xml:space="preserve">Executive Order 2011-09, </w:t>
        </w:r>
        <w:r w:rsidR="00293638" w:rsidRPr="00293638">
          <w:rPr>
            <w:rStyle w:val="Hyperlink"/>
            <w:rFonts w:ascii="Arial" w:hAnsi="Arial" w:cs="Arial"/>
            <w:bCs/>
            <w:sz w:val="24"/>
            <w:szCs w:val="24"/>
          </w:rPr>
          <w:t>Small Business Procurement Initiative</w:t>
        </w:r>
      </w:hyperlink>
      <w:r w:rsidR="00293638">
        <w:rPr>
          <w:rFonts w:ascii="Arial" w:hAnsi="Arial" w:cs="Arial"/>
          <w:bCs/>
          <w:sz w:val="24"/>
          <w:szCs w:val="24"/>
        </w:rPr>
        <w:t>, issued by Governor Corbett on November 21, 2011</w:t>
      </w:r>
      <w:r w:rsidR="005D71DA">
        <w:rPr>
          <w:rFonts w:ascii="Arial" w:hAnsi="Arial" w:cs="Arial"/>
          <w:bCs/>
          <w:sz w:val="24"/>
          <w:szCs w:val="24"/>
        </w:rPr>
        <w:t xml:space="preserve">; </w:t>
      </w:r>
      <w:hyperlink r:id="rId12" w:history="1">
        <w:r w:rsidR="00874D3A" w:rsidRPr="00DE678F">
          <w:rPr>
            <w:rStyle w:val="Hyperlink"/>
            <w:rFonts w:ascii="Arial" w:hAnsi="Arial" w:cs="Arial"/>
            <w:bCs/>
            <w:sz w:val="24"/>
            <w:szCs w:val="24"/>
          </w:rPr>
          <w:t>Executive Order 2015-11, Diversity, Inclusion and Small Business Opportunities in Commonwealth Procurement</w:t>
        </w:r>
      </w:hyperlink>
      <w:r w:rsidR="00DE678F">
        <w:rPr>
          <w:rFonts w:ascii="Arial" w:hAnsi="Arial" w:cs="Arial"/>
          <w:bCs/>
          <w:sz w:val="24"/>
          <w:szCs w:val="24"/>
        </w:rPr>
        <w:t>, issued by Governor Wolf on September 23, 2015</w:t>
      </w:r>
      <w:r w:rsidR="004E0610">
        <w:rPr>
          <w:rFonts w:ascii="Arial" w:hAnsi="Arial" w:cs="Arial"/>
          <w:bCs/>
          <w:sz w:val="24"/>
          <w:szCs w:val="24"/>
        </w:rPr>
        <w:t xml:space="preserve">; and the </w:t>
      </w:r>
      <w:hyperlink r:id="rId13" w:history="1">
        <w:r w:rsidR="004E0610" w:rsidRPr="004E0610">
          <w:rPr>
            <w:rStyle w:val="Hyperlink"/>
            <w:rFonts w:ascii="Arial" w:hAnsi="Arial" w:cs="Arial"/>
            <w:bCs/>
            <w:sz w:val="24"/>
            <w:szCs w:val="24"/>
          </w:rPr>
          <w:t>B</w:t>
        </w:r>
        <w:r w:rsidR="004E0610">
          <w:rPr>
            <w:rStyle w:val="Hyperlink"/>
            <w:rFonts w:ascii="Arial" w:hAnsi="Arial" w:cs="Arial"/>
            <w:bCs/>
            <w:sz w:val="24"/>
            <w:szCs w:val="24"/>
          </w:rPr>
          <w:t xml:space="preserve">ureau of Procurement </w:t>
        </w:r>
        <w:r w:rsidR="004E0610" w:rsidRPr="004E0610">
          <w:rPr>
            <w:rStyle w:val="Hyperlink"/>
            <w:rFonts w:ascii="Arial" w:hAnsi="Arial" w:cs="Arial"/>
            <w:bCs/>
            <w:sz w:val="24"/>
            <w:szCs w:val="24"/>
          </w:rPr>
          <w:t>Policy Directive 2020-1 and BDISBO Policy</w:t>
        </w:r>
      </w:hyperlink>
      <w:r w:rsidR="004E0610">
        <w:rPr>
          <w:rFonts w:ascii="Arial" w:hAnsi="Arial" w:cs="Arial"/>
          <w:bCs/>
          <w:sz w:val="24"/>
          <w:szCs w:val="24"/>
        </w:rPr>
        <w:t>, dated June 15, 2020. F</w:t>
      </w:r>
      <w:r w:rsidR="004E0610" w:rsidRPr="004E0610">
        <w:rPr>
          <w:rFonts w:ascii="Arial" w:hAnsi="Arial" w:cs="Arial"/>
          <w:bCs/>
          <w:sz w:val="24"/>
          <w:szCs w:val="24"/>
        </w:rPr>
        <w:t xml:space="preserve">or a website </w:t>
      </w:r>
      <w:r w:rsidR="004E0610">
        <w:rPr>
          <w:rFonts w:ascii="Arial" w:hAnsi="Arial" w:cs="Arial"/>
          <w:bCs/>
          <w:sz w:val="24"/>
          <w:szCs w:val="24"/>
        </w:rPr>
        <w:t xml:space="preserve">with more details about small businesses and procurement, the Department recommends </w:t>
      </w:r>
      <w:hyperlink r:id="rId14" w:history="1">
        <w:r w:rsidR="004E0610" w:rsidRPr="004E0610">
          <w:rPr>
            <w:rStyle w:val="Hyperlink"/>
            <w:rFonts w:ascii="Arial" w:hAnsi="Arial" w:cs="Arial"/>
            <w:bCs/>
            <w:sz w:val="24"/>
            <w:szCs w:val="24"/>
          </w:rPr>
          <w:t>Small Diverse Business Verification | Department of General Services | Commonwealth of Pennsylvania</w:t>
        </w:r>
      </w:hyperlink>
      <w:r w:rsidR="00293638">
        <w:rPr>
          <w:rFonts w:ascii="Arial" w:hAnsi="Arial" w:cs="Arial"/>
          <w:bCs/>
          <w:sz w:val="24"/>
          <w:szCs w:val="24"/>
        </w:rPr>
        <w:t xml:space="preserve">. </w:t>
      </w:r>
    </w:p>
    <w:p w14:paraId="4DB1A560" w14:textId="77777777" w:rsidR="00777BC8" w:rsidRDefault="00777BC8" w:rsidP="00874D3A">
      <w:pPr>
        <w:ind w:left="360"/>
        <w:rPr>
          <w:rFonts w:ascii="Arial" w:hAnsi="Arial" w:cs="Arial"/>
          <w:bCs/>
          <w:sz w:val="24"/>
          <w:szCs w:val="24"/>
        </w:rPr>
      </w:pPr>
    </w:p>
    <w:p w14:paraId="68696945" w14:textId="69A04E60" w:rsidR="008A34DD" w:rsidRPr="00445736" w:rsidRDefault="00777BC8" w:rsidP="00874D3A">
      <w:pPr>
        <w:ind w:left="360"/>
        <w:rPr>
          <w:rFonts w:ascii="Arial" w:hAnsi="Arial" w:cs="Arial"/>
          <w:bCs/>
          <w:sz w:val="24"/>
          <w:szCs w:val="24"/>
        </w:rPr>
      </w:pPr>
      <w:r>
        <w:rPr>
          <w:rFonts w:ascii="Arial" w:hAnsi="Arial" w:cs="Arial"/>
          <w:bCs/>
          <w:sz w:val="24"/>
          <w:szCs w:val="24"/>
        </w:rPr>
        <w:t xml:space="preserve">The threshold for small business requirements in </w:t>
      </w:r>
      <w:r w:rsidR="00DC549E">
        <w:rPr>
          <w:rFonts w:ascii="Arial" w:hAnsi="Arial" w:cs="Arial"/>
          <w:bCs/>
          <w:sz w:val="24"/>
          <w:szCs w:val="24"/>
        </w:rPr>
        <w:t>c</w:t>
      </w:r>
      <w:r>
        <w:rPr>
          <w:rFonts w:ascii="Arial" w:hAnsi="Arial" w:cs="Arial"/>
          <w:bCs/>
          <w:sz w:val="24"/>
          <w:szCs w:val="24"/>
        </w:rPr>
        <w:t xml:space="preserve">ommonwealth construction contracts is $400,000. </w:t>
      </w:r>
      <w:r w:rsidR="008A34DD" w:rsidRPr="00445736">
        <w:rPr>
          <w:rFonts w:ascii="Arial" w:hAnsi="Arial" w:cs="Arial"/>
          <w:bCs/>
          <w:sz w:val="24"/>
          <w:szCs w:val="24"/>
        </w:rPr>
        <w:t xml:space="preserve">Some </w:t>
      </w:r>
      <w:r>
        <w:rPr>
          <w:rFonts w:ascii="Arial" w:hAnsi="Arial" w:cs="Arial"/>
          <w:bCs/>
          <w:sz w:val="24"/>
          <w:szCs w:val="24"/>
        </w:rPr>
        <w:t>of the AO well plugging contracts will likely b</w:t>
      </w:r>
      <w:r w:rsidR="008A34DD" w:rsidRPr="00445736">
        <w:rPr>
          <w:rFonts w:ascii="Arial" w:hAnsi="Arial" w:cs="Arial"/>
          <w:bCs/>
          <w:sz w:val="24"/>
          <w:szCs w:val="24"/>
        </w:rPr>
        <w:t>e under th</w:t>
      </w:r>
      <w:r w:rsidR="00C67F64">
        <w:rPr>
          <w:rFonts w:ascii="Arial" w:hAnsi="Arial" w:cs="Arial"/>
          <w:bCs/>
          <w:sz w:val="24"/>
          <w:szCs w:val="24"/>
        </w:rPr>
        <w:t xml:space="preserve">at </w:t>
      </w:r>
      <w:r w:rsidR="008A34DD" w:rsidRPr="00445736">
        <w:rPr>
          <w:rFonts w:ascii="Arial" w:hAnsi="Arial" w:cs="Arial"/>
          <w:bCs/>
          <w:sz w:val="24"/>
          <w:szCs w:val="24"/>
        </w:rPr>
        <w:t xml:space="preserve">threshold and </w:t>
      </w:r>
      <w:r w:rsidR="00C67F64">
        <w:rPr>
          <w:rFonts w:ascii="Arial" w:hAnsi="Arial" w:cs="Arial"/>
          <w:bCs/>
          <w:sz w:val="24"/>
          <w:szCs w:val="24"/>
        </w:rPr>
        <w:t xml:space="preserve">that will </w:t>
      </w:r>
      <w:r w:rsidR="008A34DD" w:rsidRPr="00445736">
        <w:rPr>
          <w:rFonts w:ascii="Arial" w:hAnsi="Arial" w:cs="Arial"/>
          <w:bCs/>
          <w:sz w:val="24"/>
          <w:szCs w:val="24"/>
        </w:rPr>
        <w:t xml:space="preserve">put them in the </w:t>
      </w:r>
      <w:r>
        <w:rPr>
          <w:rFonts w:ascii="Arial" w:hAnsi="Arial" w:cs="Arial"/>
          <w:bCs/>
          <w:sz w:val="24"/>
          <w:szCs w:val="24"/>
        </w:rPr>
        <w:t>“</w:t>
      </w:r>
      <w:r w:rsidR="008A34DD" w:rsidRPr="00445736">
        <w:rPr>
          <w:rFonts w:ascii="Arial" w:hAnsi="Arial" w:cs="Arial"/>
          <w:bCs/>
          <w:sz w:val="24"/>
          <w:szCs w:val="24"/>
        </w:rPr>
        <w:t>small business category</w:t>
      </w:r>
      <w:r>
        <w:rPr>
          <w:rFonts w:ascii="Arial" w:hAnsi="Arial" w:cs="Arial"/>
          <w:bCs/>
          <w:sz w:val="24"/>
          <w:szCs w:val="24"/>
        </w:rPr>
        <w:t xml:space="preserve">.” DEP is also </w:t>
      </w:r>
      <w:r w:rsidR="008A34DD" w:rsidRPr="00445736">
        <w:rPr>
          <w:rFonts w:ascii="Arial" w:hAnsi="Arial" w:cs="Arial"/>
          <w:bCs/>
          <w:sz w:val="24"/>
          <w:szCs w:val="24"/>
        </w:rPr>
        <w:t xml:space="preserve">planning to have large contracts that would go over the $400,000 threshold and </w:t>
      </w:r>
      <w:r w:rsidR="00C67F64">
        <w:rPr>
          <w:rFonts w:ascii="Arial" w:hAnsi="Arial" w:cs="Arial"/>
          <w:bCs/>
          <w:sz w:val="24"/>
          <w:szCs w:val="24"/>
        </w:rPr>
        <w:t>thos</w:t>
      </w:r>
      <w:r w:rsidR="00E6323C">
        <w:rPr>
          <w:rFonts w:ascii="Arial" w:hAnsi="Arial" w:cs="Arial"/>
          <w:bCs/>
          <w:sz w:val="24"/>
          <w:szCs w:val="24"/>
        </w:rPr>
        <w:t>e</w:t>
      </w:r>
      <w:r w:rsidR="00C67F64">
        <w:rPr>
          <w:rFonts w:ascii="Arial" w:hAnsi="Arial" w:cs="Arial"/>
          <w:bCs/>
          <w:sz w:val="24"/>
          <w:szCs w:val="24"/>
        </w:rPr>
        <w:t xml:space="preserve"> contracts fall into</w:t>
      </w:r>
      <w:r w:rsidR="008A34DD" w:rsidRPr="00445736">
        <w:rPr>
          <w:rFonts w:ascii="Arial" w:hAnsi="Arial" w:cs="Arial"/>
          <w:bCs/>
          <w:sz w:val="24"/>
          <w:szCs w:val="24"/>
        </w:rPr>
        <w:t xml:space="preserve"> the </w:t>
      </w:r>
      <w:r>
        <w:rPr>
          <w:rFonts w:ascii="Arial" w:hAnsi="Arial" w:cs="Arial"/>
          <w:bCs/>
          <w:sz w:val="24"/>
          <w:szCs w:val="24"/>
        </w:rPr>
        <w:t>“</w:t>
      </w:r>
      <w:r w:rsidR="008A34DD" w:rsidRPr="00445736">
        <w:rPr>
          <w:rFonts w:ascii="Arial" w:hAnsi="Arial" w:cs="Arial"/>
          <w:bCs/>
          <w:sz w:val="24"/>
          <w:szCs w:val="24"/>
        </w:rPr>
        <w:t>good faith</w:t>
      </w:r>
      <w:r>
        <w:rPr>
          <w:rFonts w:ascii="Arial" w:hAnsi="Arial" w:cs="Arial"/>
          <w:bCs/>
          <w:sz w:val="24"/>
          <w:szCs w:val="24"/>
        </w:rPr>
        <w:t>”</w:t>
      </w:r>
      <w:r w:rsidR="008A34DD" w:rsidRPr="00445736">
        <w:rPr>
          <w:rFonts w:ascii="Arial" w:hAnsi="Arial" w:cs="Arial"/>
          <w:bCs/>
          <w:sz w:val="24"/>
          <w:szCs w:val="24"/>
        </w:rPr>
        <w:t xml:space="preserve"> category for contracting. </w:t>
      </w:r>
      <w:r>
        <w:rPr>
          <w:rFonts w:ascii="Arial" w:hAnsi="Arial" w:cs="Arial"/>
          <w:bCs/>
          <w:sz w:val="24"/>
          <w:szCs w:val="24"/>
        </w:rPr>
        <w:t>Being in the “</w:t>
      </w:r>
      <w:r w:rsidR="008A34DD" w:rsidRPr="00445736">
        <w:rPr>
          <w:rFonts w:ascii="Arial" w:hAnsi="Arial" w:cs="Arial"/>
          <w:bCs/>
          <w:sz w:val="24"/>
          <w:szCs w:val="24"/>
        </w:rPr>
        <w:t>good faith</w:t>
      </w:r>
      <w:r>
        <w:rPr>
          <w:rFonts w:ascii="Arial" w:hAnsi="Arial" w:cs="Arial"/>
          <w:bCs/>
          <w:sz w:val="24"/>
          <w:szCs w:val="24"/>
        </w:rPr>
        <w:t>”</w:t>
      </w:r>
      <w:r w:rsidR="008A34DD" w:rsidRPr="00445736">
        <w:rPr>
          <w:rFonts w:ascii="Arial" w:hAnsi="Arial" w:cs="Arial"/>
          <w:bCs/>
          <w:sz w:val="24"/>
          <w:szCs w:val="24"/>
        </w:rPr>
        <w:t xml:space="preserve"> category means if the winning contractor subcontracts </w:t>
      </w:r>
      <w:r>
        <w:rPr>
          <w:rFonts w:ascii="Arial" w:hAnsi="Arial" w:cs="Arial"/>
          <w:bCs/>
          <w:sz w:val="24"/>
          <w:szCs w:val="24"/>
        </w:rPr>
        <w:t xml:space="preserve">any of the </w:t>
      </w:r>
      <w:r w:rsidR="008A34DD" w:rsidRPr="00445736">
        <w:rPr>
          <w:rFonts w:ascii="Arial" w:hAnsi="Arial" w:cs="Arial"/>
          <w:bCs/>
          <w:sz w:val="24"/>
          <w:szCs w:val="24"/>
        </w:rPr>
        <w:t xml:space="preserve">work, they need to </w:t>
      </w:r>
      <w:r w:rsidR="00152129" w:rsidRPr="00445736">
        <w:rPr>
          <w:rFonts w:ascii="Arial" w:hAnsi="Arial" w:cs="Arial"/>
          <w:bCs/>
          <w:sz w:val="24"/>
          <w:szCs w:val="24"/>
        </w:rPr>
        <w:t>try</w:t>
      </w:r>
      <w:r w:rsidR="008A34DD" w:rsidRPr="00445736">
        <w:rPr>
          <w:rFonts w:ascii="Arial" w:hAnsi="Arial" w:cs="Arial"/>
          <w:bCs/>
          <w:sz w:val="24"/>
          <w:szCs w:val="24"/>
        </w:rPr>
        <w:t xml:space="preserve"> to have a percentage of the work they sub out go to small businesses.</w:t>
      </w:r>
    </w:p>
    <w:bookmarkEnd w:id="0"/>
    <w:p w14:paraId="2EF86D0F" w14:textId="61A5F77F" w:rsidR="008A34DD" w:rsidRDefault="008A34DD" w:rsidP="002F0C11">
      <w:pPr>
        <w:rPr>
          <w:rFonts w:ascii="Arial" w:hAnsi="Arial" w:cs="Arial"/>
          <w:bCs/>
          <w:sz w:val="24"/>
          <w:szCs w:val="24"/>
        </w:rPr>
      </w:pPr>
    </w:p>
    <w:p w14:paraId="0B7CAEFF" w14:textId="0C4F84CA" w:rsidR="008A34DD" w:rsidRPr="00445736" w:rsidRDefault="00445736" w:rsidP="002F0C11">
      <w:pPr>
        <w:rPr>
          <w:rFonts w:ascii="Arial" w:hAnsi="Arial" w:cs="Arial"/>
          <w:b/>
          <w:sz w:val="24"/>
          <w:szCs w:val="24"/>
        </w:rPr>
      </w:pPr>
      <w:r w:rsidRPr="00104E8C">
        <w:rPr>
          <w:rFonts w:ascii="Arial" w:hAnsi="Arial" w:cs="Arial"/>
          <w:b/>
          <w:sz w:val="24"/>
          <w:szCs w:val="24"/>
        </w:rPr>
        <w:t>E.</w:t>
      </w:r>
      <w:r w:rsidRPr="00445736">
        <w:rPr>
          <w:rFonts w:ascii="Arial" w:hAnsi="Arial" w:cs="Arial"/>
          <w:b/>
          <w:sz w:val="24"/>
          <w:szCs w:val="24"/>
        </w:rPr>
        <w:t xml:space="preserve">  </w:t>
      </w:r>
      <w:r w:rsidR="008A34DD" w:rsidRPr="00445736">
        <w:rPr>
          <w:rFonts w:ascii="Arial" w:hAnsi="Arial" w:cs="Arial"/>
          <w:b/>
          <w:sz w:val="24"/>
          <w:szCs w:val="24"/>
        </w:rPr>
        <w:t>Program Management</w:t>
      </w:r>
    </w:p>
    <w:p w14:paraId="4952183F" w14:textId="77777777" w:rsidR="008A34DD" w:rsidRPr="00445736" w:rsidRDefault="008A34DD" w:rsidP="002F0C11">
      <w:pPr>
        <w:rPr>
          <w:rFonts w:ascii="Arial" w:hAnsi="Arial" w:cs="Arial"/>
          <w:bCs/>
          <w:sz w:val="24"/>
          <w:szCs w:val="24"/>
        </w:rPr>
      </w:pPr>
    </w:p>
    <w:p w14:paraId="6D78F7C9" w14:textId="5A3A309A" w:rsidR="008A34DD" w:rsidRPr="00445736" w:rsidRDefault="008A34DD" w:rsidP="00104E8C">
      <w:pPr>
        <w:pStyle w:val="ListParagraph"/>
        <w:numPr>
          <w:ilvl w:val="0"/>
          <w:numId w:val="8"/>
        </w:numPr>
        <w:ind w:left="0" w:firstLine="0"/>
        <w:rPr>
          <w:rFonts w:ascii="Arial" w:hAnsi="Arial" w:cs="Arial"/>
          <w:bCs/>
          <w:sz w:val="24"/>
          <w:szCs w:val="24"/>
        </w:rPr>
      </w:pPr>
      <w:r w:rsidRPr="00445736">
        <w:rPr>
          <w:rFonts w:ascii="Arial" w:hAnsi="Arial" w:cs="Arial"/>
          <w:bCs/>
          <w:sz w:val="24"/>
          <w:szCs w:val="24"/>
        </w:rPr>
        <w:t>What is DEP doing to manage the 40-fold increase in funding for the well plugging program?</w:t>
      </w:r>
      <w:r w:rsidR="00445736">
        <w:rPr>
          <w:rFonts w:ascii="Arial" w:hAnsi="Arial" w:cs="Arial"/>
          <w:bCs/>
          <w:sz w:val="24"/>
          <w:szCs w:val="24"/>
        </w:rPr>
        <w:br/>
      </w:r>
    </w:p>
    <w:p w14:paraId="54C6BE1F" w14:textId="628BDA3E" w:rsidR="008A34DD" w:rsidRPr="00445736" w:rsidRDefault="008A34DD" w:rsidP="00104E8C">
      <w:pPr>
        <w:ind w:left="360"/>
        <w:rPr>
          <w:rFonts w:ascii="Arial" w:hAnsi="Arial" w:cs="Arial"/>
          <w:bCs/>
          <w:sz w:val="24"/>
          <w:szCs w:val="24"/>
        </w:rPr>
      </w:pPr>
      <w:r w:rsidRPr="00445736">
        <w:rPr>
          <w:rFonts w:ascii="Arial" w:hAnsi="Arial" w:cs="Arial"/>
          <w:bCs/>
          <w:sz w:val="24"/>
          <w:szCs w:val="24"/>
        </w:rPr>
        <w:t>•</w:t>
      </w:r>
      <w:r w:rsidRPr="00445736">
        <w:rPr>
          <w:rFonts w:ascii="Arial" w:hAnsi="Arial" w:cs="Arial"/>
          <w:bCs/>
          <w:sz w:val="24"/>
          <w:szCs w:val="24"/>
        </w:rPr>
        <w:tab/>
        <w:t xml:space="preserve">DEP has been evaluating this issue for some time and has identified </w:t>
      </w:r>
      <w:r w:rsidR="00152129" w:rsidRPr="00445736">
        <w:rPr>
          <w:rFonts w:ascii="Arial" w:hAnsi="Arial" w:cs="Arial"/>
          <w:bCs/>
          <w:sz w:val="24"/>
          <w:szCs w:val="24"/>
        </w:rPr>
        <w:t>several</w:t>
      </w:r>
      <w:r w:rsidRPr="00445736">
        <w:rPr>
          <w:rFonts w:ascii="Arial" w:hAnsi="Arial" w:cs="Arial"/>
          <w:bCs/>
          <w:sz w:val="24"/>
          <w:szCs w:val="24"/>
        </w:rPr>
        <w:t xml:space="preserve"> steps that </w:t>
      </w:r>
      <w:r w:rsidR="00DC549E">
        <w:rPr>
          <w:rFonts w:ascii="Arial" w:hAnsi="Arial" w:cs="Arial"/>
          <w:bCs/>
          <w:sz w:val="24"/>
          <w:szCs w:val="24"/>
        </w:rPr>
        <w:t xml:space="preserve">it will take </w:t>
      </w:r>
      <w:r w:rsidRPr="00445736">
        <w:rPr>
          <w:rFonts w:ascii="Arial" w:hAnsi="Arial" w:cs="Arial"/>
          <w:bCs/>
          <w:sz w:val="24"/>
          <w:szCs w:val="24"/>
        </w:rPr>
        <w:t xml:space="preserve">to manage this historic level of well plugging funding. This includes adding positions to focus on </w:t>
      </w:r>
      <w:r w:rsidR="00E6323C">
        <w:rPr>
          <w:rFonts w:ascii="Arial" w:hAnsi="Arial" w:cs="Arial"/>
          <w:bCs/>
          <w:sz w:val="24"/>
          <w:szCs w:val="24"/>
        </w:rPr>
        <w:t>IIJA</w:t>
      </w:r>
      <w:r w:rsidRPr="00445736">
        <w:rPr>
          <w:rFonts w:ascii="Arial" w:hAnsi="Arial" w:cs="Arial"/>
          <w:bCs/>
          <w:sz w:val="24"/>
          <w:szCs w:val="24"/>
        </w:rPr>
        <w:t xml:space="preserve"> implementation, evaluating and developing contracts with third parties for a variety of services including well identification, </w:t>
      </w:r>
      <w:r w:rsidR="00E6323C">
        <w:rPr>
          <w:rFonts w:ascii="Arial" w:hAnsi="Arial" w:cs="Arial"/>
          <w:bCs/>
          <w:sz w:val="24"/>
          <w:szCs w:val="24"/>
        </w:rPr>
        <w:t xml:space="preserve">methane emission quantification, </w:t>
      </w:r>
      <w:r w:rsidRPr="00445736">
        <w:rPr>
          <w:rFonts w:ascii="Arial" w:hAnsi="Arial" w:cs="Arial"/>
          <w:bCs/>
          <w:sz w:val="24"/>
          <w:szCs w:val="24"/>
        </w:rPr>
        <w:t xml:space="preserve">plugging projects of various sizes, contracts to develop plans and permit applications, and overall well plugging program management. It should be noted that up to 10 percent of the federal </w:t>
      </w:r>
      <w:r w:rsidR="00E6323C">
        <w:rPr>
          <w:rFonts w:ascii="Arial" w:hAnsi="Arial" w:cs="Arial"/>
          <w:bCs/>
          <w:sz w:val="24"/>
          <w:szCs w:val="24"/>
        </w:rPr>
        <w:t>IIJA Grant funds</w:t>
      </w:r>
      <w:r w:rsidRPr="00445736">
        <w:rPr>
          <w:rFonts w:ascii="Arial" w:hAnsi="Arial" w:cs="Arial"/>
          <w:bCs/>
          <w:sz w:val="24"/>
          <w:szCs w:val="24"/>
        </w:rPr>
        <w:t xml:space="preserve"> can be utilized for administrative purposes. The Department continues to work closely with the Governor’s Budget Office to address any unfilled needs.</w:t>
      </w:r>
    </w:p>
    <w:p w14:paraId="67789EE0" w14:textId="77777777" w:rsidR="008A34DD" w:rsidRPr="00445736" w:rsidRDefault="008A34DD" w:rsidP="002F0C11">
      <w:pPr>
        <w:rPr>
          <w:rFonts w:ascii="Arial" w:hAnsi="Arial" w:cs="Arial"/>
          <w:bCs/>
          <w:sz w:val="24"/>
          <w:szCs w:val="24"/>
        </w:rPr>
      </w:pPr>
    </w:p>
    <w:p w14:paraId="1973DBA2" w14:textId="6F87DB9F" w:rsidR="008A34DD" w:rsidRPr="00445736" w:rsidRDefault="008A34DD" w:rsidP="00104E8C">
      <w:pPr>
        <w:pStyle w:val="ListParagraph"/>
        <w:numPr>
          <w:ilvl w:val="0"/>
          <w:numId w:val="8"/>
        </w:numPr>
        <w:ind w:left="0" w:firstLine="0"/>
        <w:rPr>
          <w:rFonts w:ascii="Arial" w:hAnsi="Arial" w:cs="Arial"/>
          <w:bCs/>
          <w:sz w:val="24"/>
          <w:szCs w:val="24"/>
        </w:rPr>
      </w:pPr>
      <w:r w:rsidRPr="00445736">
        <w:rPr>
          <w:rFonts w:ascii="Arial" w:hAnsi="Arial" w:cs="Arial"/>
          <w:bCs/>
          <w:sz w:val="24"/>
          <w:szCs w:val="24"/>
        </w:rPr>
        <w:t>Is DEP considering public-private undertakings as part of the well plugging program?</w:t>
      </w:r>
      <w:r w:rsidR="00445736">
        <w:rPr>
          <w:rFonts w:ascii="Arial" w:hAnsi="Arial" w:cs="Arial"/>
          <w:bCs/>
          <w:sz w:val="24"/>
          <w:szCs w:val="24"/>
        </w:rPr>
        <w:br/>
      </w:r>
    </w:p>
    <w:p w14:paraId="0CBD8AAE" w14:textId="5D5C942F" w:rsidR="008A34DD" w:rsidRPr="00445736" w:rsidRDefault="008A34DD" w:rsidP="00104E8C">
      <w:pPr>
        <w:ind w:left="360"/>
        <w:rPr>
          <w:rFonts w:ascii="Arial" w:hAnsi="Arial" w:cs="Arial"/>
          <w:bCs/>
          <w:sz w:val="24"/>
          <w:szCs w:val="24"/>
        </w:rPr>
      </w:pPr>
      <w:r w:rsidRPr="00445736">
        <w:rPr>
          <w:rFonts w:ascii="Arial" w:hAnsi="Arial" w:cs="Arial"/>
          <w:bCs/>
          <w:sz w:val="24"/>
          <w:szCs w:val="24"/>
        </w:rPr>
        <w:t>•</w:t>
      </w:r>
      <w:r w:rsidRPr="00445736">
        <w:rPr>
          <w:rFonts w:ascii="Arial" w:hAnsi="Arial" w:cs="Arial"/>
          <w:bCs/>
          <w:sz w:val="24"/>
          <w:szCs w:val="24"/>
        </w:rPr>
        <w:tab/>
        <w:t xml:space="preserve">Yes. The Department has been in discussion with several entities that have shown an interest in this </w:t>
      </w:r>
      <w:r w:rsidR="00E6323C">
        <w:rPr>
          <w:rFonts w:ascii="Arial" w:hAnsi="Arial" w:cs="Arial"/>
          <w:bCs/>
          <w:sz w:val="24"/>
          <w:szCs w:val="24"/>
        </w:rPr>
        <w:t xml:space="preserve">AO well plugging </w:t>
      </w:r>
      <w:r w:rsidRPr="00445736">
        <w:rPr>
          <w:rFonts w:ascii="Arial" w:hAnsi="Arial" w:cs="Arial"/>
          <w:bCs/>
          <w:sz w:val="24"/>
          <w:szCs w:val="24"/>
        </w:rPr>
        <w:t xml:space="preserve">work. In addition, the Department developed a survey and reached out to oil and gas plugging and plugging support contractors to gather information about their capabilities for plugging wells and providing support services in Pennsylvania. To date, the Department has received responses from </w:t>
      </w:r>
      <w:r w:rsidR="00E6323C">
        <w:rPr>
          <w:rFonts w:ascii="Arial" w:hAnsi="Arial" w:cs="Arial"/>
          <w:bCs/>
          <w:sz w:val="24"/>
          <w:szCs w:val="24"/>
        </w:rPr>
        <w:t xml:space="preserve">more than 150 </w:t>
      </w:r>
      <w:r w:rsidRPr="00445736">
        <w:rPr>
          <w:rFonts w:ascii="Arial" w:hAnsi="Arial" w:cs="Arial"/>
          <w:bCs/>
          <w:sz w:val="24"/>
          <w:szCs w:val="24"/>
        </w:rPr>
        <w:t>respondents and this information is being used by the Department to develop strategies for coordinating potential future public-private partnerships or opportunities for such collaboration.</w:t>
      </w:r>
    </w:p>
    <w:p w14:paraId="5E7DEADC" w14:textId="77777777" w:rsidR="008A34DD" w:rsidRPr="00445736" w:rsidRDefault="008A34DD" w:rsidP="002F0C11">
      <w:pPr>
        <w:rPr>
          <w:rFonts w:ascii="Arial" w:hAnsi="Arial" w:cs="Arial"/>
          <w:bCs/>
          <w:sz w:val="24"/>
          <w:szCs w:val="24"/>
        </w:rPr>
      </w:pPr>
    </w:p>
    <w:p w14:paraId="1FA7D5DC" w14:textId="06FC917D" w:rsidR="008A34DD" w:rsidRPr="00445736" w:rsidRDefault="008A34DD" w:rsidP="00104E8C">
      <w:pPr>
        <w:pStyle w:val="ListParagraph"/>
        <w:numPr>
          <w:ilvl w:val="0"/>
          <w:numId w:val="8"/>
        </w:numPr>
        <w:ind w:left="0" w:firstLine="0"/>
        <w:rPr>
          <w:rFonts w:ascii="Arial" w:hAnsi="Arial" w:cs="Arial"/>
          <w:bCs/>
          <w:sz w:val="24"/>
          <w:szCs w:val="24"/>
        </w:rPr>
      </w:pPr>
      <w:r w:rsidRPr="00445736">
        <w:rPr>
          <w:rFonts w:ascii="Arial" w:hAnsi="Arial" w:cs="Arial"/>
          <w:bCs/>
          <w:sz w:val="24"/>
          <w:szCs w:val="24"/>
        </w:rPr>
        <w:lastRenderedPageBreak/>
        <w:t xml:space="preserve"> </w:t>
      </w:r>
      <w:r w:rsidR="00445736">
        <w:rPr>
          <w:rFonts w:ascii="Arial" w:hAnsi="Arial" w:cs="Arial"/>
          <w:bCs/>
          <w:sz w:val="24"/>
          <w:szCs w:val="24"/>
        </w:rPr>
        <w:t xml:space="preserve">What </w:t>
      </w:r>
      <w:r w:rsidR="00104DC7">
        <w:rPr>
          <w:rFonts w:ascii="Arial" w:hAnsi="Arial" w:cs="Arial"/>
          <w:bCs/>
          <w:sz w:val="24"/>
          <w:szCs w:val="24"/>
        </w:rPr>
        <w:t>is known about the</w:t>
      </w:r>
      <w:r w:rsidRPr="00445736">
        <w:rPr>
          <w:rFonts w:ascii="Arial" w:hAnsi="Arial" w:cs="Arial"/>
          <w:bCs/>
          <w:sz w:val="24"/>
          <w:szCs w:val="24"/>
        </w:rPr>
        <w:t xml:space="preserve"> timeline for the allocation of the remaining $79M from federal aid?</w:t>
      </w:r>
      <w:r w:rsidR="00104DC7">
        <w:rPr>
          <w:rFonts w:ascii="Arial" w:hAnsi="Arial" w:cs="Arial"/>
          <w:bCs/>
          <w:sz w:val="24"/>
          <w:szCs w:val="24"/>
        </w:rPr>
        <w:br/>
      </w:r>
    </w:p>
    <w:p w14:paraId="04C42DE5" w14:textId="4BDFAF81" w:rsidR="008A34DD" w:rsidRPr="00445736" w:rsidRDefault="008A34DD" w:rsidP="00104E8C">
      <w:pPr>
        <w:ind w:left="360"/>
        <w:rPr>
          <w:rFonts w:ascii="Arial" w:hAnsi="Arial" w:cs="Arial"/>
          <w:bCs/>
          <w:sz w:val="24"/>
          <w:szCs w:val="24"/>
        </w:rPr>
      </w:pPr>
      <w:r w:rsidRPr="00445736">
        <w:rPr>
          <w:rFonts w:ascii="Arial" w:hAnsi="Arial" w:cs="Arial"/>
          <w:bCs/>
          <w:sz w:val="24"/>
          <w:szCs w:val="24"/>
        </w:rPr>
        <w:t>•</w:t>
      </w:r>
      <w:r w:rsidRPr="00445736">
        <w:rPr>
          <w:rFonts w:ascii="Arial" w:hAnsi="Arial" w:cs="Arial"/>
          <w:bCs/>
          <w:sz w:val="24"/>
          <w:szCs w:val="24"/>
        </w:rPr>
        <w:tab/>
        <w:t>Timing of Grants: NOTE THAT THE LEGISLATION WAS SIGNED INTO LAW ON 11/15/2021:</w:t>
      </w:r>
      <w:r w:rsidR="004959CA">
        <w:rPr>
          <w:rFonts w:ascii="Arial" w:hAnsi="Arial" w:cs="Arial"/>
          <w:bCs/>
          <w:sz w:val="24"/>
          <w:szCs w:val="24"/>
        </w:rPr>
        <w:br/>
      </w:r>
    </w:p>
    <w:p w14:paraId="75215CEA" w14:textId="057A7C71" w:rsidR="008A34DD" w:rsidRDefault="008A34DD" w:rsidP="00104E8C">
      <w:pPr>
        <w:ind w:left="540"/>
        <w:rPr>
          <w:rFonts w:ascii="Arial" w:hAnsi="Arial" w:cs="Arial"/>
          <w:bCs/>
          <w:sz w:val="24"/>
          <w:szCs w:val="24"/>
        </w:rPr>
      </w:pPr>
      <w:r w:rsidRPr="003F07C8">
        <w:rPr>
          <w:rFonts w:ascii="Arial" w:hAnsi="Arial" w:cs="Arial"/>
          <w:bCs/>
          <w:sz w:val="24"/>
          <w:szCs w:val="24"/>
          <w:u w:val="single"/>
        </w:rPr>
        <w:t>Initial Grant:</w:t>
      </w:r>
      <w:r w:rsidRPr="00445736">
        <w:rPr>
          <w:rFonts w:ascii="Arial" w:hAnsi="Arial" w:cs="Arial"/>
          <w:bCs/>
          <w:sz w:val="24"/>
          <w:szCs w:val="24"/>
        </w:rPr>
        <w:t xml:space="preserve">  Pennsylvania has 180 days </w:t>
      </w:r>
      <w:r w:rsidR="00983ACB">
        <w:rPr>
          <w:rFonts w:ascii="Arial" w:hAnsi="Arial" w:cs="Arial"/>
          <w:bCs/>
          <w:sz w:val="24"/>
          <w:szCs w:val="24"/>
        </w:rPr>
        <w:t xml:space="preserve">(May 13, 2022) </w:t>
      </w:r>
      <w:r w:rsidRPr="00445736">
        <w:rPr>
          <w:rFonts w:ascii="Arial" w:hAnsi="Arial" w:cs="Arial"/>
          <w:bCs/>
          <w:sz w:val="24"/>
          <w:szCs w:val="24"/>
        </w:rPr>
        <w:t xml:space="preserve">after enactment to submit the certification that qualifies the state for the Initial Grant of $25 million. The Secretary of </w:t>
      </w:r>
      <w:r w:rsidR="00983CBC">
        <w:rPr>
          <w:rFonts w:ascii="Arial" w:hAnsi="Arial" w:cs="Arial"/>
          <w:bCs/>
          <w:sz w:val="24"/>
          <w:szCs w:val="24"/>
        </w:rPr>
        <w:t>DOI</w:t>
      </w:r>
      <w:r w:rsidR="00983CBC" w:rsidRPr="00445736">
        <w:rPr>
          <w:rFonts w:ascii="Arial" w:hAnsi="Arial" w:cs="Arial"/>
          <w:bCs/>
          <w:sz w:val="24"/>
          <w:szCs w:val="24"/>
        </w:rPr>
        <w:t xml:space="preserve"> </w:t>
      </w:r>
      <w:r w:rsidRPr="00445736">
        <w:rPr>
          <w:rFonts w:ascii="Arial" w:hAnsi="Arial" w:cs="Arial"/>
          <w:bCs/>
          <w:sz w:val="24"/>
          <w:szCs w:val="24"/>
        </w:rPr>
        <w:t>must award that grant within 30 days of submission of the certification, and Pennsylvania must certify that it will use 90% of the funds to issue new/amend existing contracts or issue grants for plugging/remediation within 90 days of receipt and “obligate” funds within 365 days of receipt.</w:t>
      </w:r>
    </w:p>
    <w:p w14:paraId="4704A2FD" w14:textId="17ED96A2" w:rsidR="008B0879" w:rsidRDefault="008B0879" w:rsidP="00104E8C">
      <w:pPr>
        <w:ind w:left="540"/>
        <w:rPr>
          <w:rFonts w:ascii="Arial" w:hAnsi="Arial" w:cs="Arial"/>
          <w:bCs/>
          <w:sz w:val="24"/>
          <w:szCs w:val="24"/>
        </w:rPr>
      </w:pPr>
    </w:p>
    <w:p w14:paraId="10B88CB6" w14:textId="35115FB3" w:rsidR="008B0879" w:rsidRPr="00445736" w:rsidRDefault="008B0879" w:rsidP="00104E8C">
      <w:pPr>
        <w:ind w:left="540"/>
        <w:rPr>
          <w:rFonts w:ascii="Arial" w:hAnsi="Arial" w:cs="Arial"/>
          <w:bCs/>
          <w:sz w:val="24"/>
          <w:szCs w:val="24"/>
        </w:rPr>
      </w:pPr>
      <w:r>
        <w:rPr>
          <w:rFonts w:ascii="Arial" w:hAnsi="Arial" w:cs="Arial"/>
          <w:bCs/>
          <w:sz w:val="24"/>
          <w:szCs w:val="24"/>
        </w:rPr>
        <w:t xml:space="preserve">Status: </w:t>
      </w:r>
      <w:r w:rsidRPr="008B0879">
        <w:rPr>
          <w:rFonts w:ascii="Arial" w:hAnsi="Arial" w:cs="Arial"/>
          <w:bCs/>
          <w:sz w:val="24"/>
          <w:szCs w:val="24"/>
        </w:rPr>
        <w:t xml:space="preserve">On May 12, 2022, the Department successfully submitted a grant application package to receive $25 million dollars via the </w:t>
      </w:r>
      <w:r w:rsidRPr="00F76EE9">
        <w:rPr>
          <w:rFonts w:ascii="Arial" w:hAnsi="Arial" w:cs="Arial"/>
          <w:sz w:val="24"/>
          <w:szCs w:val="24"/>
        </w:rPr>
        <w:t>Initial Grant</w:t>
      </w:r>
      <w:r w:rsidRPr="008B0879">
        <w:rPr>
          <w:rFonts w:ascii="Arial" w:hAnsi="Arial" w:cs="Arial"/>
          <w:bCs/>
          <w:sz w:val="24"/>
          <w:szCs w:val="24"/>
        </w:rPr>
        <w:t xml:space="preserve"> portion of this funding.   </w:t>
      </w:r>
    </w:p>
    <w:p w14:paraId="1BF67C17" w14:textId="77777777" w:rsidR="008A34DD" w:rsidRPr="00445736" w:rsidRDefault="008A34DD" w:rsidP="00104E8C">
      <w:pPr>
        <w:ind w:left="540"/>
        <w:rPr>
          <w:rFonts w:ascii="Arial" w:hAnsi="Arial" w:cs="Arial"/>
          <w:bCs/>
          <w:sz w:val="24"/>
          <w:szCs w:val="24"/>
        </w:rPr>
      </w:pPr>
    </w:p>
    <w:p w14:paraId="6DAE20CF" w14:textId="3CB531B8" w:rsidR="00445736" w:rsidRPr="00445736" w:rsidRDefault="008A34DD" w:rsidP="00104E8C">
      <w:pPr>
        <w:ind w:left="540"/>
        <w:rPr>
          <w:rFonts w:ascii="Arial" w:hAnsi="Arial" w:cs="Arial"/>
          <w:bCs/>
          <w:sz w:val="24"/>
          <w:szCs w:val="24"/>
        </w:rPr>
      </w:pPr>
      <w:r w:rsidRPr="003F07C8">
        <w:rPr>
          <w:rFonts w:ascii="Arial" w:hAnsi="Arial" w:cs="Arial"/>
          <w:bCs/>
          <w:sz w:val="24"/>
          <w:szCs w:val="24"/>
          <w:u w:val="single"/>
        </w:rPr>
        <w:t>Formula Grant</w:t>
      </w:r>
      <w:r w:rsidRPr="00445736">
        <w:rPr>
          <w:rFonts w:ascii="Arial" w:hAnsi="Arial" w:cs="Arial"/>
          <w:bCs/>
          <w:sz w:val="24"/>
          <w:szCs w:val="24"/>
        </w:rPr>
        <w:t>:  Pennsylvania must submit notice of intent to pursue formula grants within 45 days of enactment; the Secretary</w:t>
      </w:r>
      <w:r w:rsidR="00983CBC">
        <w:rPr>
          <w:rFonts w:ascii="Arial" w:hAnsi="Arial" w:cs="Arial"/>
          <w:bCs/>
          <w:sz w:val="24"/>
          <w:szCs w:val="24"/>
        </w:rPr>
        <w:t xml:space="preserve"> of DOI</w:t>
      </w:r>
      <w:r w:rsidRPr="00445736">
        <w:rPr>
          <w:rFonts w:ascii="Arial" w:hAnsi="Arial" w:cs="Arial"/>
          <w:bCs/>
          <w:sz w:val="24"/>
          <w:szCs w:val="24"/>
        </w:rPr>
        <w:t xml:space="preserve"> announces amounts for each state 30</w:t>
      </w:r>
      <w:r w:rsidR="00445736" w:rsidRPr="00445736">
        <w:rPr>
          <w:rFonts w:ascii="Arial" w:hAnsi="Arial" w:cs="Arial"/>
          <w:bCs/>
          <w:sz w:val="24"/>
          <w:szCs w:val="24"/>
        </w:rPr>
        <w:t xml:space="preserve"> days later.  As for the allocation of the </w:t>
      </w:r>
      <w:r w:rsidR="00983ACB">
        <w:rPr>
          <w:rFonts w:ascii="Arial" w:hAnsi="Arial" w:cs="Arial"/>
          <w:bCs/>
          <w:sz w:val="24"/>
          <w:szCs w:val="24"/>
        </w:rPr>
        <w:t xml:space="preserve">Phase One </w:t>
      </w:r>
      <w:r w:rsidR="00445736" w:rsidRPr="00445736">
        <w:rPr>
          <w:rFonts w:ascii="Arial" w:hAnsi="Arial" w:cs="Arial"/>
          <w:bCs/>
          <w:sz w:val="24"/>
          <w:szCs w:val="24"/>
        </w:rPr>
        <w:t>$79M</w:t>
      </w:r>
      <w:r w:rsidR="00983ACB">
        <w:rPr>
          <w:rFonts w:ascii="Arial" w:hAnsi="Arial" w:cs="Arial"/>
          <w:bCs/>
          <w:sz w:val="24"/>
          <w:szCs w:val="24"/>
        </w:rPr>
        <w:t xml:space="preserve"> Formula Grant</w:t>
      </w:r>
      <w:r w:rsidR="00445736" w:rsidRPr="00445736">
        <w:rPr>
          <w:rFonts w:ascii="Arial" w:hAnsi="Arial" w:cs="Arial"/>
          <w:bCs/>
          <w:sz w:val="24"/>
          <w:szCs w:val="24"/>
        </w:rPr>
        <w:t xml:space="preserve">, </w:t>
      </w:r>
      <w:r w:rsidR="00983ACB">
        <w:rPr>
          <w:rFonts w:ascii="Arial" w:hAnsi="Arial" w:cs="Arial"/>
          <w:bCs/>
          <w:sz w:val="24"/>
          <w:szCs w:val="24"/>
        </w:rPr>
        <w:t xml:space="preserve">DEP is waiting for further guidance from </w:t>
      </w:r>
      <w:r w:rsidR="00E41F9A">
        <w:rPr>
          <w:rFonts w:ascii="Arial" w:hAnsi="Arial" w:cs="Arial"/>
          <w:bCs/>
          <w:sz w:val="24"/>
          <w:szCs w:val="24"/>
        </w:rPr>
        <w:t xml:space="preserve">DOI </w:t>
      </w:r>
      <w:r w:rsidR="00983ACB">
        <w:rPr>
          <w:rFonts w:ascii="Arial" w:hAnsi="Arial" w:cs="Arial"/>
          <w:bCs/>
          <w:sz w:val="24"/>
          <w:szCs w:val="24"/>
        </w:rPr>
        <w:t xml:space="preserve">concerning how to apply to receive those funds. </w:t>
      </w:r>
    </w:p>
    <w:p w14:paraId="4C2D9AB0" w14:textId="70F74814" w:rsidR="00445736" w:rsidRDefault="00445736" w:rsidP="00104E8C">
      <w:pPr>
        <w:ind w:left="540"/>
        <w:rPr>
          <w:rFonts w:ascii="Arial" w:hAnsi="Arial" w:cs="Arial"/>
          <w:bCs/>
          <w:sz w:val="24"/>
          <w:szCs w:val="24"/>
          <w:u w:val="single"/>
        </w:rPr>
      </w:pPr>
    </w:p>
    <w:p w14:paraId="59951AA7" w14:textId="3F1C7B61" w:rsidR="008B0879" w:rsidRPr="00F76EE9" w:rsidRDefault="008B0879">
      <w:pPr>
        <w:ind w:left="540"/>
        <w:rPr>
          <w:rFonts w:ascii="Arial" w:hAnsi="Arial" w:cs="Arial"/>
          <w:bCs/>
          <w:sz w:val="24"/>
          <w:szCs w:val="24"/>
        </w:rPr>
      </w:pPr>
      <w:r>
        <w:rPr>
          <w:rFonts w:ascii="Arial" w:hAnsi="Arial" w:cs="Arial"/>
          <w:bCs/>
          <w:sz w:val="24"/>
          <w:szCs w:val="24"/>
        </w:rPr>
        <w:t xml:space="preserve">Status: </w:t>
      </w:r>
      <w:r w:rsidRPr="00F76EE9">
        <w:rPr>
          <w:rFonts w:ascii="Arial" w:hAnsi="Arial" w:cs="Arial"/>
          <w:bCs/>
          <w:sz w:val="24"/>
          <w:szCs w:val="24"/>
        </w:rPr>
        <w:t xml:space="preserve">On December 23, 2021, the Department submitted a Notice of Intent (NOI) to the Department of Interior to apply for a </w:t>
      </w:r>
      <w:r w:rsidRPr="00F76EE9">
        <w:rPr>
          <w:rFonts w:ascii="Arial" w:hAnsi="Arial" w:cs="Arial"/>
          <w:sz w:val="24"/>
          <w:szCs w:val="24"/>
        </w:rPr>
        <w:t>Formula Grant</w:t>
      </w:r>
      <w:r w:rsidRPr="00F76EE9">
        <w:rPr>
          <w:rFonts w:ascii="Arial" w:hAnsi="Arial" w:cs="Arial"/>
          <w:bCs/>
          <w:sz w:val="24"/>
          <w:szCs w:val="24"/>
        </w:rPr>
        <w:t xml:space="preserve">; one week ahead of the December 30 deadline.  </w:t>
      </w:r>
      <w:r>
        <w:rPr>
          <w:rFonts w:ascii="Arial" w:hAnsi="Arial" w:cs="Arial"/>
          <w:bCs/>
          <w:sz w:val="24"/>
          <w:szCs w:val="24"/>
        </w:rPr>
        <w:t>DEP awaiting further guidance from the U.S. Department of Interior.</w:t>
      </w:r>
    </w:p>
    <w:p w14:paraId="6B9366C9" w14:textId="77777777" w:rsidR="008B0879" w:rsidRPr="00DF0B41" w:rsidRDefault="008B0879" w:rsidP="00104E8C">
      <w:pPr>
        <w:ind w:left="540"/>
        <w:rPr>
          <w:rFonts w:ascii="Arial" w:hAnsi="Arial" w:cs="Arial"/>
          <w:bCs/>
          <w:sz w:val="24"/>
          <w:szCs w:val="24"/>
          <w:u w:val="single"/>
        </w:rPr>
      </w:pPr>
    </w:p>
    <w:p w14:paraId="0C942496" w14:textId="7505C0EA" w:rsidR="00445736" w:rsidRDefault="00445736" w:rsidP="00104E8C">
      <w:pPr>
        <w:ind w:left="540"/>
        <w:rPr>
          <w:rFonts w:ascii="Arial" w:hAnsi="Arial" w:cs="Arial"/>
          <w:bCs/>
          <w:sz w:val="24"/>
          <w:szCs w:val="24"/>
        </w:rPr>
      </w:pPr>
      <w:r w:rsidRPr="00DF0B41">
        <w:rPr>
          <w:rFonts w:ascii="Arial" w:hAnsi="Arial" w:cs="Arial"/>
          <w:bCs/>
          <w:sz w:val="24"/>
          <w:szCs w:val="24"/>
          <w:u w:val="single"/>
        </w:rPr>
        <w:t>Performance Grant – Regulatory Improvement:</w:t>
      </w:r>
      <w:r w:rsidRPr="00445736">
        <w:rPr>
          <w:rFonts w:ascii="Arial" w:hAnsi="Arial" w:cs="Arial"/>
          <w:bCs/>
          <w:sz w:val="24"/>
          <w:szCs w:val="24"/>
        </w:rPr>
        <w:t xml:space="preserve"> DEP can apply for t</w:t>
      </w:r>
      <w:r w:rsidR="00983ACB">
        <w:rPr>
          <w:rFonts w:ascii="Arial" w:hAnsi="Arial" w:cs="Arial"/>
          <w:bCs/>
          <w:sz w:val="24"/>
          <w:szCs w:val="24"/>
        </w:rPr>
        <w:t>hese G</w:t>
      </w:r>
      <w:r w:rsidRPr="00445736">
        <w:rPr>
          <w:rFonts w:ascii="Arial" w:hAnsi="Arial" w:cs="Arial"/>
          <w:bCs/>
          <w:sz w:val="24"/>
          <w:szCs w:val="24"/>
        </w:rPr>
        <w:t>rant</w:t>
      </w:r>
      <w:r w:rsidR="00983ACB">
        <w:rPr>
          <w:rFonts w:ascii="Arial" w:hAnsi="Arial" w:cs="Arial"/>
          <w:bCs/>
          <w:sz w:val="24"/>
          <w:szCs w:val="24"/>
        </w:rPr>
        <w:t>s</w:t>
      </w:r>
      <w:r w:rsidRPr="00445736">
        <w:rPr>
          <w:rFonts w:ascii="Arial" w:hAnsi="Arial" w:cs="Arial"/>
          <w:bCs/>
          <w:sz w:val="24"/>
          <w:szCs w:val="24"/>
        </w:rPr>
        <w:t xml:space="preserve"> any time </w:t>
      </w:r>
      <w:r w:rsidR="00983ACB">
        <w:rPr>
          <w:rFonts w:ascii="Arial" w:hAnsi="Arial" w:cs="Arial"/>
          <w:bCs/>
          <w:sz w:val="24"/>
          <w:szCs w:val="24"/>
        </w:rPr>
        <w:t>from</w:t>
      </w:r>
      <w:r w:rsidRPr="00445736">
        <w:rPr>
          <w:rFonts w:ascii="Arial" w:hAnsi="Arial" w:cs="Arial"/>
          <w:bCs/>
          <w:sz w:val="24"/>
          <w:szCs w:val="24"/>
        </w:rPr>
        <w:t xml:space="preserve"> 180 days after receipt of the Initial Grant.</w:t>
      </w:r>
    </w:p>
    <w:p w14:paraId="78C6C6A4" w14:textId="7CBF88AC" w:rsidR="008B0879" w:rsidRDefault="008B0879" w:rsidP="00104E8C">
      <w:pPr>
        <w:ind w:left="540"/>
        <w:rPr>
          <w:rFonts w:ascii="Arial" w:hAnsi="Arial" w:cs="Arial"/>
          <w:bCs/>
          <w:sz w:val="24"/>
          <w:szCs w:val="24"/>
        </w:rPr>
      </w:pPr>
    </w:p>
    <w:p w14:paraId="5AEB1B81" w14:textId="5F51D1C6" w:rsidR="008B0879" w:rsidRPr="00445736" w:rsidRDefault="008B0879" w:rsidP="00104E8C">
      <w:pPr>
        <w:ind w:left="540"/>
        <w:rPr>
          <w:rFonts w:ascii="Arial" w:hAnsi="Arial" w:cs="Arial"/>
          <w:bCs/>
          <w:sz w:val="24"/>
          <w:szCs w:val="24"/>
        </w:rPr>
      </w:pPr>
      <w:r>
        <w:rPr>
          <w:rFonts w:ascii="Arial" w:hAnsi="Arial" w:cs="Arial"/>
          <w:bCs/>
          <w:sz w:val="24"/>
          <w:szCs w:val="24"/>
        </w:rPr>
        <w:t>Status: DEP awaiting further guidance from the U.S. Department of Interior.</w:t>
      </w:r>
    </w:p>
    <w:p w14:paraId="2A4C4F62" w14:textId="77777777" w:rsidR="00445736" w:rsidRPr="00445736" w:rsidRDefault="00445736" w:rsidP="00104E8C">
      <w:pPr>
        <w:ind w:left="540"/>
        <w:rPr>
          <w:rFonts w:ascii="Arial" w:hAnsi="Arial" w:cs="Arial"/>
          <w:bCs/>
          <w:sz w:val="24"/>
          <w:szCs w:val="24"/>
        </w:rPr>
      </w:pPr>
    </w:p>
    <w:p w14:paraId="4C8E219E" w14:textId="42B60FFB" w:rsidR="00445736" w:rsidRDefault="00445736" w:rsidP="00104E8C">
      <w:pPr>
        <w:ind w:left="540"/>
        <w:rPr>
          <w:rFonts w:ascii="Arial" w:hAnsi="Arial" w:cs="Arial"/>
          <w:bCs/>
          <w:sz w:val="24"/>
          <w:szCs w:val="24"/>
        </w:rPr>
      </w:pPr>
      <w:r w:rsidRPr="00DF0B41">
        <w:rPr>
          <w:rFonts w:ascii="Arial" w:hAnsi="Arial" w:cs="Arial"/>
          <w:bCs/>
          <w:sz w:val="24"/>
          <w:szCs w:val="24"/>
          <w:u w:val="single"/>
        </w:rPr>
        <w:t>Performance Grant – Match Grant</w:t>
      </w:r>
      <w:r w:rsidRPr="00445736">
        <w:rPr>
          <w:rFonts w:ascii="Arial" w:hAnsi="Arial" w:cs="Arial"/>
          <w:bCs/>
          <w:sz w:val="24"/>
          <w:szCs w:val="24"/>
        </w:rPr>
        <w:t>:  DEP can apply for this grant annually on a fiscal year basis over a period of 10 years.</w:t>
      </w:r>
    </w:p>
    <w:p w14:paraId="5D8FDE8F" w14:textId="7359EDA3" w:rsidR="008B0879" w:rsidRDefault="008B0879" w:rsidP="00104E8C">
      <w:pPr>
        <w:ind w:left="540"/>
        <w:rPr>
          <w:rFonts w:ascii="Arial" w:hAnsi="Arial" w:cs="Arial"/>
          <w:bCs/>
          <w:sz w:val="24"/>
          <w:szCs w:val="24"/>
        </w:rPr>
      </w:pPr>
    </w:p>
    <w:p w14:paraId="4B278EB2" w14:textId="03F9CBA6" w:rsidR="008B0879" w:rsidRPr="00445736" w:rsidRDefault="008B0879" w:rsidP="008B0879">
      <w:pPr>
        <w:ind w:left="540"/>
        <w:rPr>
          <w:rFonts w:ascii="Arial" w:hAnsi="Arial" w:cs="Arial"/>
          <w:bCs/>
          <w:sz w:val="24"/>
          <w:szCs w:val="24"/>
        </w:rPr>
      </w:pPr>
      <w:r>
        <w:rPr>
          <w:rFonts w:ascii="Arial" w:hAnsi="Arial" w:cs="Arial"/>
          <w:bCs/>
          <w:sz w:val="24"/>
          <w:szCs w:val="24"/>
        </w:rPr>
        <w:t>Status: DEP awaiting further guidance from the U.S. Department of Interior.</w:t>
      </w:r>
    </w:p>
    <w:p w14:paraId="5BFE7050" w14:textId="77777777" w:rsidR="008B0879" w:rsidRPr="00445736" w:rsidRDefault="008B0879" w:rsidP="00104E8C">
      <w:pPr>
        <w:ind w:left="540"/>
        <w:rPr>
          <w:rFonts w:ascii="Arial" w:hAnsi="Arial" w:cs="Arial"/>
          <w:bCs/>
          <w:sz w:val="24"/>
          <w:szCs w:val="24"/>
        </w:rPr>
      </w:pPr>
    </w:p>
    <w:p w14:paraId="03AC7B06" w14:textId="77777777" w:rsidR="00445736" w:rsidRPr="00445736" w:rsidRDefault="00445736" w:rsidP="002F0C11">
      <w:pPr>
        <w:rPr>
          <w:rFonts w:ascii="Arial" w:hAnsi="Arial" w:cs="Arial"/>
          <w:bCs/>
          <w:sz w:val="24"/>
          <w:szCs w:val="24"/>
        </w:rPr>
      </w:pPr>
    </w:p>
    <w:p w14:paraId="0AF859BE" w14:textId="4F218FAC" w:rsidR="00445736" w:rsidRPr="00445736" w:rsidRDefault="00DF0B41" w:rsidP="002F0C11">
      <w:pPr>
        <w:rPr>
          <w:rFonts w:ascii="Arial" w:hAnsi="Arial" w:cs="Arial"/>
          <w:bCs/>
          <w:sz w:val="24"/>
          <w:szCs w:val="24"/>
        </w:rPr>
      </w:pPr>
      <w:r w:rsidRPr="00104E8C">
        <w:rPr>
          <w:rFonts w:ascii="Arial" w:hAnsi="Arial" w:cs="Arial"/>
          <w:b/>
          <w:sz w:val="24"/>
          <w:szCs w:val="24"/>
        </w:rPr>
        <w:t>F.</w:t>
      </w:r>
      <w:r>
        <w:rPr>
          <w:rFonts w:ascii="Arial" w:hAnsi="Arial" w:cs="Arial"/>
          <w:bCs/>
          <w:sz w:val="24"/>
          <w:szCs w:val="24"/>
        </w:rPr>
        <w:t xml:space="preserve"> </w:t>
      </w:r>
      <w:r w:rsidR="00445736" w:rsidRPr="00DF0B41">
        <w:rPr>
          <w:rFonts w:ascii="Arial" w:hAnsi="Arial" w:cs="Arial"/>
          <w:b/>
          <w:sz w:val="24"/>
          <w:szCs w:val="24"/>
        </w:rPr>
        <w:t>Funds/Funding</w:t>
      </w:r>
    </w:p>
    <w:p w14:paraId="74978937" w14:textId="77777777" w:rsidR="00445736" w:rsidRPr="00445736" w:rsidRDefault="00445736" w:rsidP="002F0C11">
      <w:pPr>
        <w:rPr>
          <w:rFonts w:ascii="Arial" w:hAnsi="Arial" w:cs="Arial"/>
          <w:bCs/>
          <w:sz w:val="24"/>
          <w:szCs w:val="24"/>
        </w:rPr>
      </w:pPr>
    </w:p>
    <w:p w14:paraId="7477EFD9" w14:textId="1C9051A3" w:rsidR="00445736" w:rsidRPr="00DF0B41" w:rsidRDefault="00445736" w:rsidP="00104E8C">
      <w:pPr>
        <w:pStyle w:val="ListParagraph"/>
        <w:numPr>
          <w:ilvl w:val="0"/>
          <w:numId w:val="9"/>
        </w:numPr>
        <w:ind w:left="0" w:firstLine="0"/>
        <w:rPr>
          <w:rFonts w:ascii="Arial" w:hAnsi="Arial" w:cs="Arial"/>
          <w:bCs/>
          <w:sz w:val="24"/>
          <w:szCs w:val="24"/>
        </w:rPr>
      </w:pPr>
      <w:r w:rsidRPr="00DF0B41">
        <w:rPr>
          <w:rFonts w:ascii="Arial" w:hAnsi="Arial" w:cs="Arial"/>
          <w:bCs/>
          <w:sz w:val="24"/>
          <w:szCs w:val="24"/>
        </w:rPr>
        <w:t>How many wells can be plugged with $25M?</w:t>
      </w:r>
      <w:r w:rsidR="00DF0B41">
        <w:rPr>
          <w:rFonts w:ascii="Arial" w:hAnsi="Arial" w:cs="Arial"/>
          <w:bCs/>
          <w:sz w:val="24"/>
          <w:szCs w:val="24"/>
        </w:rPr>
        <w:br/>
      </w:r>
    </w:p>
    <w:p w14:paraId="38395530" w14:textId="29C3C4F1" w:rsidR="00445736" w:rsidRPr="00445736" w:rsidRDefault="00445736" w:rsidP="00104E8C">
      <w:pPr>
        <w:ind w:left="360"/>
        <w:rPr>
          <w:rFonts w:ascii="Arial" w:hAnsi="Arial" w:cs="Arial"/>
          <w:bCs/>
          <w:sz w:val="24"/>
          <w:szCs w:val="24"/>
        </w:rPr>
      </w:pPr>
      <w:r w:rsidRPr="00445736">
        <w:rPr>
          <w:rFonts w:ascii="Arial" w:hAnsi="Arial" w:cs="Arial"/>
          <w:bCs/>
          <w:sz w:val="24"/>
          <w:szCs w:val="24"/>
        </w:rPr>
        <w:t>•</w:t>
      </w:r>
      <w:r w:rsidRPr="00445736">
        <w:rPr>
          <w:rFonts w:ascii="Arial" w:hAnsi="Arial" w:cs="Arial"/>
          <w:bCs/>
          <w:sz w:val="24"/>
          <w:szCs w:val="24"/>
        </w:rPr>
        <w:tab/>
      </w:r>
      <w:r w:rsidR="008B0879">
        <w:rPr>
          <w:rFonts w:ascii="Arial" w:hAnsi="Arial" w:cs="Arial"/>
          <w:bCs/>
          <w:sz w:val="24"/>
          <w:szCs w:val="24"/>
        </w:rPr>
        <w:t xml:space="preserve">The Department has identified </w:t>
      </w:r>
      <w:r w:rsidR="002B41DD">
        <w:rPr>
          <w:rFonts w:ascii="Arial" w:hAnsi="Arial" w:cs="Arial"/>
          <w:bCs/>
          <w:sz w:val="24"/>
          <w:szCs w:val="24"/>
        </w:rPr>
        <w:t xml:space="preserve">approximately </w:t>
      </w:r>
      <w:r w:rsidRPr="00445736">
        <w:rPr>
          <w:rFonts w:ascii="Arial" w:hAnsi="Arial" w:cs="Arial"/>
          <w:bCs/>
          <w:sz w:val="24"/>
          <w:szCs w:val="24"/>
        </w:rPr>
        <w:t>50</w:t>
      </w:r>
      <w:r w:rsidR="004F08A3">
        <w:rPr>
          <w:rFonts w:ascii="Arial" w:hAnsi="Arial" w:cs="Arial"/>
          <w:bCs/>
          <w:sz w:val="24"/>
          <w:szCs w:val="24"/>
        </w:rPr>
        <w:t>0</w:t>
      </w:r>
      <w:r w:rsidRPr="00445736">
        <w:rPr>
          <w:rFonts w:ascii="Arial" w:hAnsi="Arial" w:cs="Arial"/>
          <w:bCs/>
          <w:sz w:val="24"/>
          <w:szCs w:val="24"/>
        </w:rPr>
        <w:t xml:space="preserve"> </w:t>
      </w:r>
      <w:r w:rsidR="006471E5">
        <w:rPr>
          <w:rFonts w:ascii="Arial" w:hAnsi="Arial" w:cs="Arial"/>
          <w:bCs/>
          <w:sz w:val="24"/>
          <w:szCs w:val="24"/>
        </w:rPr>
        <w:t xml:space="preserve">AO </w:t>
      </w:r>
      <w:r w:rsidRPr="00445736">
        <w:rPr>
          <w:rFonts w:ascii="Arial" w:hAnsi="Arial" w:cs="Arial"/>
          <w:bCs/>
          <w:sz w:val="24"/>
          <w:szCs w:val="24"/>
        </w:rPr>
        <w:t xml:space="preserve">wells that will potentially make up 50+ contracts to be addressed by the </w:t>
      </w:r>
      <w:r w:rsidR="008B0879">
        <w:rPr>
          <w:rFonts w:ascii="Arial" w:hAnsi="Arial" w:cs="Arial"/>
          <w:bCs/>
          <w:sz w:val="24"/>
          <w:szCs w:val="24"/>
        </w:rPr>
        <w:t>I</w:t>
      </w:r>
      <w:r w:rsidRPr="00445736">
        <w:rPr>
          <w:rFonts w:ascii="Arial" w:hAnsi="Arial" w:cs="Arial"/>
          <w:bCs/>
          <w:sz w:val="24"/>
          <w:szCs w:val="24"/>
        </w:rPr>
        <w:t xml:space="preserve">nitial </w:t>
      </w:r>
      <w:r w:rsidR="008B0879">
        <w:rPr>
          <w:rFonts w:ascii="Arial" w:hAnsi="Arial" w:cs="Arial"/>
          <w:bCs/>
          <w:sz w:val="24"/>
          <w:szCs w:val="24"/>
        </w:rPr>
        <w:t>G</w:t>
      </w:r>
      <w:r w:rsidRPr="00445736">
        <w:rPr>
          <w:rFonts w:ascii="Arial" w:hAnsi="Arial" w:cs="Arial"/>
          <w:bCs/>
          <w:sz w:val="24"/>
          <w:szCs w:val="24"/>
        </w:rPr>
        <w:t xml:space="preserve">rant ($25 million). </w:t>
      </w:r>
      <w:r w:rsidR="002B41DD">
        <w:rPr>
          <w:rFonts w:ascii="Arial" w:hAnsi="Arial" w:cs="Arial"/>
          <w:bCs/>
          <w:sz w:val="24"/>
          <w:szCs w:val="24"/>
        </w:rPr>
        <w:t xml:space="preserve">How many wells can be plugged will depend in large measure on </w:t>
      </w:r>
      <w:r w:rsidRPr="00445736">
        <w:rPr>
          <w:rFonts w:ascii="Arial" w:hAnsi="Arial" w:cs="Arial"/>
          <w:bCs/>
          <w:sz w:val="24"/>
          <w:szCs w:val="24"/>
        </w:rPr>
        <w:t xml:space="preserve">what the bid amounts on the </w:t>
      </w:r>
      <w:r w:rsidRPr="00445736">
        <w:rPr>
          <w:rFonts w:ascii="Arial" w:hAnsi="Arial" w:cs="Arial"/>
          <w:bCs/>
          <w:sz w:val="24"/>
          <w:szCs w:val="24"/>
        </w:rPr>
        <w:lastRenderedPageBreak/>
        <w:t xml:space="preserve">initial contracts are.  </w:t>
      </w:r>
      <w:r w:rsidR="008B0879">
        <w:rPr>
          <w:rFonts w:ascii="Arial" w:hAnsi="Arial" w:cs="Arial"/>
          <w:bCs/>
          <w:sz w:val="24"/>
          <w:szCs w:val="24"/>
        </w:rPr>
        <w:t xml:space="preserve">It is </w:t>
      </w:r>
      <w:r w:rsidRPr="00445736">
        <w:rPr>
          <w:rFonts w:ascii="Arial" w:hAnsi="Arial" w:cs="Arial"/>
          <w:bCs/>
          <w:sz w:val="24"/>
          <w:szCs w:val="24"/>
        </w:rPr>
        <w:t>anticipat</w:t>
      </w:r>
      <w:r w:rsidR="008B0879">
        <w:rPr>
          <w:rFonts w:ascii="Arial" w:hAnsi="Arial" w:cs="Arial"/>
          <w:bCs/>
          <w:sz w:val="24"/>
          <w:szCs w:val="24"/>
        </w:rPr>
        <w:t>ed</w:t>
      </w:r>
      <w:r w:rsidRPr="00445736">
        <w:rPr>
          <w:rFonts w:ascii="Arial" w:hAnsi="Arial" w:cs="Arial"/>
          <w:bCs/>
          <w:sz w:val="24"/>
          <w:szCs w:val="24"/>
        </w:rPr>
        <w:t xml:space="preserve"> the contracts will range from about $250,000 to over $1 million each.</w:t>
      </w:r>
    </w:p>
    <w:p w14:paraId="0A85E7EF" w14:textId="77777777" w:rsidR="00445736" w:rsidRPr="00445736" w:rsidRDefault="00445736" w:rsidP="002F0C11">
      <w:pPr>
        <w:rPr>
          <w:rFonts w:ascii="Arial" w:hAnsi="Arial" w:cs="Arial"/>
          <w:bCs/>
          <w:sz w:val="24"/>
          <w:szCs w:val="24"/>
        </w:rPr>
      </w:pPr>
    </w:p>
    <w:p w14:paraId="28707DF7" w14:textId="2E291727" w:rsidR="00445736" w:rsidRPr="00870A87" w:rsidRDefault="008B0879" w:rsidP="00104E8C">
      <w:pPr>
        <w:pStyle w:val="ListParagraph"/>
        <w:numPr>
          <w:ilvl w:val="0"/>
          <w:numId w:val="9"/>
        </w:numPr>
        <w:ind w:left="0" w:firstLine="0"/>
        <w:rPr>
          <w:rFonts w:ascii="Arial" w:hAnsi="Arial" w:cs="Arial"/>
          <w:bCs/>
          <w:sz w:val="24"/>
          <w:szCs w:val="24"/>
        </w:rPr>
      </w:pPr>
      <w:r>
        <w:rPr>
          <w:rFonts w:ascii="Arial" w:hAnsi="Arial" w:cs="Arial"/>
          <w:bCs/>
          <w:sz w:val="24"/>
          <w:szCs w:val="24"/>
        </w:rPr>
        <w:t>How much</w:t>
      </w:r>
      <w:r w:rsidR="00F76EE9">
        <w:rPr>
          <w:rFonts w:ascii="Arial" w:hAnsi="Arial" w:cs="Arial"/>
          <w:bCs/>
          <w:sz w:val="24"/>
          <w:szCs w:val="24"/>
        </w:rPr>
        <w:t>, on average,</w:t>
      </w:r>
      <w:r>
        <w:rPr>
          <w:rFonts w:ascii="Arial" w:hAnsi="Arial" w:cs="Arial"/>
          <w:bCs/>
          <w:sz w:val="24"/>
          <w:szCs w:val="24"/>
        </w:rPr>
        <w:t xml:space="preserve"> does it cost to plug a well</w:t>
      </w:r>
      <w:r w:rsidR="00445736" w:rsidRPr="00870A87">
        <w:rPr>
          <w:rFonts w:ascii="Arial" w:hAnsi="Arial" w:cs="Arial"/>
          <w:bCs/>
          <w:sz w:val="24"/>
          <w:szCs w:val="24"/>
        </w:rPr>
        <w:t xml:space="preserve">? </w:t>
      </w:r>
      <w:r w:rsidR="00870A87">
        <w:rPr>
          <w:rFonts w:ascii="Arial" w:hAnsi="Arial" w:cs="Arial"/>
          <w:bCs/>
          <w:sz w:val="24"/>
          <w:szCs w:val="24"/>
        </w:rPr>
        <w:br/>
      </w:r>
    </w:p>
    <w:p w14:paraId="7E9D2539" w14:textId="71B337BA" w:rsidR="00445736" w:rsidRPr="00445736" w:rsidRDefault="00445736" w:rsidP="00104E8C">
      <w:pPr>
        <w:ind w:left="360"/>
        <w:rPr>
          <w:rFonts w:ascii="Arial" w:hAnsi="Arial" w:cs="Arial"/>
          <w:bCs/>
          <w:sz w:val="24"/>
          <w:szCs w:val="24"/>
        </w:rPr>
      </w:pPr>
      <w:r w:rsidRPr="00445736">
        <w:rPr>
          <w:rFonts w:ascii="Arial" w:hAnsi="Arial" w:cs="Arial"/>
          <w:bCs/>
          <w:sz w:val="24"/>
          <w:szCs w:val="24"/>
        </w:rPr>
        <w:t>•</w:t>
      </w:r>
      <w:r w:rsidRPr="00445736">
        <w:rPr>
          <w:rFonts w:ascii="Arial" w:hAnsi="Arial" w:cs="Arial"/>
          <w:bCs/>
          <w:sz w:val="24"/>
          <w:szCs w:val="24"/>
        </w:rPr>
        <w:tab/>
        <w:t xml:space="preserve">For long-term planning purposes, DEP </w:t>
      </w:r>
      <w:r w:rsidR="002B41DD">
        <w:rPr>
          <w:rFonts w:ascii="Arial" w:hAnsi="Arial" w:cs="Arial"/>
          <w:bCs/>
          <w:sz w:val="24"/>
          <w:szCs w:val="24"/>
        </w:rPr>
        <w:t xml:space="preserve">initially used </w:t>
      </w:r>
      <w:r w:rsidRPr="00445736">
        <w:rPr>
          <w:rFonts w:ascii="Arial" w:hAnsi="Arial" w:cs="Arial"/>
          <w:bCs/>
          <w:sz w:val="24"/>
          <w:szCs w:val="24"/>
        </w:rPr>
        <w:t xml:space="preserve">a statistical approach to </w:t>
      </w:r>
      <w:r w:rsidR="002B41DD">
        <w:rPr>
          <w:rFonts w:ascii="Arial" w:hAnsi="Arial" w:cs="Arial"/>
          <w:bCs/>
          <w:sz w:val="24"/>
          <w:szCs w:val="24"/>
        </w:rPr>
        <w:t>determine</w:t>
      </w:r>
      <w:r w:rsidRPr="00445736">
        <w:rPr>
          <w:rFonts w:ascii="Arial" w:hAnsi="Arial" w:cs="Arial"/>
          <w:bCs/>
          <w:sz w:val="24"/>
          <w:szCs w:val="24"/>
        </w:rPr>
        <w:t xml:space="preserve"> that average annual per-well plugging costs </w:t>
      </w:r>
      <w:r w:rsidR="002B41DD">
        <w:rPr>
          <w:rFonts w:ascii="Arial" w:hAnsi="Arial" w:cs="Arial"/>
          <w:bCs/>
          <w:sz w:val="24"/>
          <w:szCs w:val="24"/>
        </w:rPr>
        <w:t>were</w:t>
      </w:r>
      <w:r w:rsidRPr="00445736">
        <w:rPr>
          <w:rFonts w:ascii="Arial" w:hAnsi="Arial" w:cs="Arial"/>
          <w:bCs/>
          <w:sz w:val="24"/>
          <w:szCs w:val="24"/>
        </w:rPr>
        <w:t xml:space="preserve"> around $33,000 </w:t>
      </w:r>
      <w:r w:rsidR="002B41DD">
        <w:rPr>
          <w:rFonts w:ascii="Arial" w:hAnsi="Arial" w:cs="Arial"/>
          <w:bCs/>
          <w:sz w:val="24"/>
          <w:szCs w:val="24"/>
        </w:rPr>
        <w:t xml:space="preserve">per well plugged </w:t>
      </w:r>
      <w:r w:rsidRPr="00445736">
        <w:rPr>
          <w:rFonts w:ascii="Arial" w:hAnsi="Arial" w:cs="Arial"/>
          <w:bCs/>
          <w:sz w:val="24"/>
          <w:szCs w:val="24"/>
        </w:rPr>
        <w:t>over the 3</w:t>
      </w:r>
      <w:r w:rsidR="002B41DD">
        <w:rPr>
          <w:rFonts w:ascii="Arial" w:hAnsi="Arial" w:cs="Arial"/>
          <w:bCs/>
          <w:sz w:val="24"/>
          <w:szCs w:val="24"/>
        </w:rPr>
        <w:t>3</w:t>
      </w:r>
      <w:r w:rsidRPr="00445736">
        <w:rPr>
          <w:rFonts w:ascii="Arial" w:hAnsi="Arial" w:cs="Arial"/>
          <w:bCs/>
          <w:sz w:val="24"/>
          <w:szCs w:val="24"/>
        </w:rPr>
        <w:t xml:space="preserve"> years of the well plugging program. However, the price has ranged from approximately $10,000 </w:t>
      </w:r>
      <w:r w:rsidR="002B41DD">
        <w:rPr>
          <w:rFonts w:ascii="Arial" w:hAnsi="Arial" w:cs="Arial"/>
          <w:bCs/>
          <w:sz w:val="24"/>
          <w:szCs w:val="24"/>
        </w:rPr>
        <w:t xml:space="preserve">per well </w:t>
      </w:r>
      <w:r w:rsidRPr="00445736">
        <w:rPr>
          <w:rFonts w:ascii="Arial" w:hAnsi="Arial" w:cs="Arial"/>
          <w:bCs/>
          <w:sz w:val="24"/>
          <w:szCs w:val="24"/>
        </w:rPr>
        <w:t>on the low-end to as high as $800,000 or even greater</w:t>
      </w:r>
      <w:r w:rsidR="002B41DD">
        <w:rPr>
          <w:rFonts w:ascii="Arial" w:hAnsi="Arial" w:cs="Arial"/>
          <w:bCs/>
          <w:sz w:val="24"/>
          <w:szCs w:val="24"/>
        </w:rPr>
        <w:t xml:space="preserve"> per well</w:t>
      </w:r>
      <w:r w:rsidRPr="00445736">
        <w:rPr>
          <w:rFonts w:ascii="Arial" w:hAnsi="Arial" w:cs="Arial"/>
          <w:bCs/>
          <w:sz w:val="24"/>
          <w:szCs w:val="24"/>
        </w:rPr>
        <w:t>, depending on complications encountered during the plugging process. It is also apparent in the agency’s historical data that costs are dependent on location, depth, and the number of wells per contract, with some influences from other factors. Recently</w:t>
      </w:r>
      <w:r w:rsidR="002B41DD">
        <w:rPr>
          <w:rFonts w:ascii="Arial" w:hAnsi="Arial" w:cs="Arial"/>
          <w:bCs/>
          <w:sz w:val="24"/>
          <w:szCs w:val="24"/>
        </w:rPr>
        <w:t xml:space="preserve">, DEP has </w:t>
      </w:r>
      <w:r w:rsidRPr="00445736">
        <w:rPr>
          <w:rFonts w:ascii="Arial" w:hAnsi="Arial" w:cs="Arial"/>
          <w:bCs/>
          <w:sz w:val="24"/>
          <w:szCs w:val="24"/>
        </w:rPr>
        <w:t xml:space="preserve">seen an average cost to plug a well of </w:t>
      </w:r>
      <w:r w:rsidR="00285082">
        <w:rPr>
          <w:rFonts w:ascii="Arial" w:hAnsi="Arial" w:cs="Arial"/>
          <w:bCs/>
          <w:sz w:val="24"/>
          <w:szCs w:val="24"/>
        </w:rPr>
        <w:t xml:space="preserve">around </w:t>
      </w:r>
      <w:r w:rsidRPr="00445736">
        <w:rPr>
          <w:rFonts w:ascii="Arial" w:hAnsi="Arial" w:cs="Arial"/>
          <w:bCs/>
          <w:sz w:val="24"/>
          <w:szCs w:val="24"/>
        </w:rPr>
        <w:t xml:space="preserve">$68,000 but costs </w:t>
      </w:r>
      <w:r w:rsidR="00285082">
        <w:rPr>
          <w:rFonts w:ascii="Arial" w:hAnsi="Arial" w:cs="Arial"/>
          <w:bCs/>
          <w:sz w:val="24"/>
          <w:szCs w:val="24"/>
        </w:rPr>
        <w:t>will</w:t>
      </w:r>
      <w:r w:rsidRPr="00445736">
        <w:rPr>
          <w:rFonts w:ascii="Arial" w:hAnsi="Arial" w:cs="Arial"/>
          <w:bCs/>
          <w:sz w:val="24"/>
          <w:szCs w:val="24"/>
        </w:rPr>
        <w:t xml:space="preserve"> vary depending on geographic location, </w:t>
      </w:r>
      <w:r w:rsidR="00152129" w:rsidRPr="00445736">
        <w:rPr>
          <w:rFonts w:ascii="Arial" w:hAnsi="Arial" w:cs="Arial"/>
          <w:bCs/>
          <w:sz w:val="24"/>
          <w:szCs w:val="24"/>
        </w:rPr>
        <w:t>depth,</w:t>
      </w:r>
      <w:r w:rsidRPr="00445736">
        <w:rPr>
          <w:rFonts w:ascii="Arial" w:hAnsi="Arial" w:cs="Arial"/>
          <w:bCs/>
          <w:sz w:val="24"/>
          <w:szCs w:val="24"/>
        </w:rPr>
        <w:t xml:space="preserve"> and several other factors.</w:t>
      </w:r>
    </w:p>
    <w:p w14:paraId="6DA9FA42" w14:textId="77777777" w:rsidR="00445736" w:rsidRPr="00445736" w:rsidRDefault="00445736" w:rsidP="002F0C11">
      <w:pPr>
        <w:rPr>
          <w:rFonts w:ascii="Arial" w:hAnsi="Arial" w:cs="Arial"/>
          <w:bCs/>
          <w:sz w:val="24"/>
          <w:szCs w:val="24"/>
        </w:rPr>
      </w:pPr>
    </w:p>
    <w:p w14:paraId="2CF2AE3D" w14:textId="16559F4E" w:rsidR="00445736" w:rsidRPr="00870A87" w:rsidRDefault="00674B09" w:rsidP="00104E8C">
      <w:pPr>
        <w:pStyle w:val="ListParagraph"/>
        <w:numPr>
          <w:ilvl w:val="0"/>
          <w:numId w:val="9"/>
        </w:numPr>
        <w:ind w:left="0" w:firstLine="0"/>
        <w:rPr>
          <w:rFonts w:ascii="Arial" w:hAnsi="Arial" w:cs="Arial"/>
          <w:bCs/>
          <w:sz w:val="24"/>
          <w:szCs w:val="24"/>
        </w:rPr>
      </w:pPr>
      <w:r>
        <w:rPr>
          <w:rFonts w:ascii="Arial" w:hAnsi="Arial" w:cs="Arial"/>
          <w:bCs/>
          <w:sz w:val="24"/>
          <w:szCs w:val="24"/>
        </w:rPr>
        <w:t>What is the e</w:t>
      </w:r>
      <w:r w:rsidR="00445736" w:rsidRPr="00870A87">
        <w:rPr>
          <w:rFonts w:ascii="Arial" w:hAnsi="Arial" w:cs="Arial"/>
          <w:bCs/>
          <w:sz w:val="24"/>
          <w:szCs w:val="24"/>
        </w:rPr>
        <w:t xml:space="preserve">stimate on when $25M will be put into action? </w:t>
      </w:r>
      <w:r>
        <w:rPr>
          <w:rFonts w:ascii="Arial" w:hAnsi="Arial" w:cs="Arial"/>
          <w:bCs/>
          <w:sz w:val="24"/>
          <w:szCs w:val="24"/>
        </w:rPr>
        <w:br/>
      </w:r>
    </w:p>
    <w:p w14:paraId="7513222A" w14:textId="27A4EFF5" w:rsidR="00445736" w:rsidRPr="00445736" w:rsidRDefault="00445736" w:rsidP="00104E8C">
      <w:pPr>
        <w:ind w:left="360"/>
        <w:rPr>
          <w:rFonts w:ascii="Arial" w:hAnsi="Arial" w:cs="Arial"/>
          <w:bCs/>
          <w:sz w:val="24"/>
          <w:szCs w:val="24"/>
        </w:rPr>
      </w:pPr>
      <w:r w:rsidRPr="00445736">
        <w:rPr>
          <w:rFonts w:ascii="Arial" w:hAnsi="Arial" w:cs="Arial"/>
          <w:bCs/>
          <w:sz w:val="24"/>
          <w:szCs w:val="24"/>
        </w:rPr>
        <w:t>•</w:t>
      </w:r>
      <w:r w:rsidRPr="00445736">
        <w:rPr>
          <w:rFonts w:ascii="Arial" w:hAnsi="Arial" w:cs="Arial"/>
          <w:bCs/>
          <w:sz w:val="24"/>
          <w:szCs w:val="24"/>
        </w:rPr>
        <w:tab/>
      </w:r>
      <w:r w:rsidR="008B0879">
        <w:rPr>
          <w:rFonts w:ascii="Arial" w:hAnsi="Arial" w:cs="Arial"/>
          <w:bCs/>
          <w:sz w:val="24"/>
          <w:szCs w:val="24"/>
        </w:rPr>
        <w:t xml:space="preserve">The </w:t>
      </w:r>
      <w:r w:rsidRPr="00445736">
        <w:rPr>
          <w:rFonts w:ascii="Arial" w:hAnsi="Arial" w:cs="Arial"/>
          <w:bCs/>
          <w:sz w:val="24"/>
          <w:szCs w:val="24"/>
        </w:rPr>
        <w:t xml:space="preserve">plan is to release 10 contracts per month starting in </w:t>
      </w:r>
      <w:r w:rsidR="00822A9F">
        <w:rPr>
          <w:rFonts w:ascii="Arial" w:hAnsi="Arial" w:cs="Arial"/>
          <w:bCs/>
          <w:sz w:val="24"/>
          <w:szCs w:val="24"/>
        </w:rPr>
        <w:t xml:space="preserve">the summer of </w:t>
      </w:r>
      <w:r w:rsidRPr="00445736">
        <w:rPr>
          <w:rFonts w:ascii="Arial" w:hAnsi="Arial" w:cs="Arial"/>
          <w:bCs/>
          <w:sz w:val="24"/>
          <w:szCs w:val="24"/>
        </w:rPr>
        <w:t>2022</w:t>
      </w:r>
      <w:r w:rsidR="00285082">
        <w:rPr>
          <w:rFonts w:ascii="Arial" w:hAnsi="Arial" w:cs="Arial"/>
          <w:bCs/>
          <w:sz w:val="24"/>
          <w:szCs w:val="24"/>
        </w:rPr>
        <w:t xml:space="preserve">, </w:t>
      </w:r>
      <w:r w:rsidR="00822A9F">
        <w:rPr>
          <w:rFonts w:ascii="Arial" w:hAnsi="Arial" w:cs="Arial"/>
          <w:bCs/>
          <w:sz w:val="24"/>
          <w:szCs w:val="24"/>
        </w:rPr>
        <w:t xml:space="preserve">after </w:t>
      </w:r>
      <w:r w:rsidR="00285082">
        <w:rPr>
          <w:rFonts w:ascii="Arial" w:hAnsi="Arial" w:cs="Arial"/>
          <w:bCs/>
          <w:sz w:val="24"/>
          <w:szCs w:val="24"/>
        </w:rPr>
        <w:t xml:space="preserve">receipt of </w:t>
      </w:r>
      <w:r w:rsidR="00822A9F">
        <w:rPr>
          <w:rFonts w:ascii="Arial" w:hAnsi="Arial" w:cs="Arial"/>
          <w:bCs/>
          <w:sz w:val="24"/>
          <w:szCs w:val="24"/>
        </w:rPr>
        <w:t xml:space="preserve">the </w:t>
      </w:r>
      <w:r w:rsidR="00285082">
        <w:rPr>
          <w:rFonts w:ascii="Arial" w:hAnsi="Arial" w:cs="Arial"/>
          <w:bCs/>
          <w:sz w:val="24"/>
          <w:szCs w:val="24"/>
        </w:rPr>
        <w:t>Initial Grant funds</w:t>
      </w:r>
      <w:r w:rsidR="00822A9F">
        <w:rPr>
          <w:rFonts w:ascii="Arial" w:hAnsi="Arial" w:cs="Arial"/>
          <w:bCs/>
          <w:sz w:val="24"/>
          <w:szCs w:val="24"/>
        </w:rPr>
        <w:t>.</w:t>
      </w:r>
      <w:r w:rsidR="00285082">
        <w:rPr>
          <w:rFonts w:ascii="Arial" w:hAnsi="Arial" w:cs="Arial"/>
          <w:bCs/>
          <w:sz w:val="24"/>
          <w:szCs w:val="24"/>
        </w:rPr>
        <w:t xml:space="preserve"> All Initial Grant funds must be obligated within one year of the date of receipt.</w:t>
      </w:r>
      <w:r w:rsidRPr="00445736">
        <w:rPr>
          <w:rFonts w:ascii="Arial" w:hAnsi="Arial" w:cs="Arial"/>
          <w:bCs/>
          <w:sz w:val="24"/>
          <w:szCs w:val="24"/>
        </w:rPr>
        <w:t xml:space="preserve"> </w:t>
      </w:r>
    </w:p>
    <w:p w14:paraId="7A129473" w14:textId="77777777" w:rsidR="00445736" w:rsidRPr="00445736" w:rsidRDefault="00445736" w:rsidP="002F0C11">
      <w:pPr>
        <w:rPr>
          <w:rFonts w:ascii="Arial" w:hAnsi="Arial" w:cs="Arial"/>
          <w:bCs/>
          <w:sz w:val="24"/>
          <w:szCs w:val="24"/>
        </w:rPr>
      </w:pPr>
    </w:p>
    <w:p w14:paraId="6B3AAF6A" w14:textId="5DDF0317" w:rsidR="00445736" w:rsidRPr="00674B09" w:rsidRDefault="00445736" w:rsidP="00104E8C">
      <w:pPr>
        <w:pStyle w:val="ListParagraph"/>
        <w:numPr>
          <w:ilvl w:val="0"/>
          <w:numId w:val="9"/>
        </w:numPr>
        <w:ind w:left="0" w:firstLine="0"/>
        <w:rPr>
          <w:rFonts w:ascii="Arial" w:hAnsi="Arial" w:cs="Arial"/>
          <w:bCs/>
          <w:sz w:val="24"/>
          <w:szCs w:val="24"/>
        </w:rPr>
      </w:pPr>
      <w:r w:rsidRPr="00674B09">
        <w:rPr>
          <w:rFonts w:ascii="Arial" w:hAnsi="Arial" w:cs="Arial"/>
          <w:bCs/>
          <w:sz w:val="24"/>
          <w:szCs w:val="24"/>
        </w:rPr>
        <w:t>How much funding was already in program coffers before the $25M infusion?</w:t>
      </w:r>
      <w:r w:rsidR="00674B09">
        <w:rPr>
          <w:rFonts w:ascii="Arial" w:hAnsi="Arial" w:cs="Arial"/>
          <w:bCs/>
          <w:sz w:val="24"/>
          <w:szCs w:val="24"/>
        </w:rPr>
        <w:br/>
      </w:r>
    </w:p>
    <w:p w14:paraId="456868BF" w14:textId="58D18E38" w:rsidR="00445736" w:rsidRPr="00445736" w:rsidRDefault="00445736" w:rsidP="00104E8C">
      <w:pPr>
        <w:ind w:left="360"/>
        <w:rPr>
          <w:rFonts w:ascii="Arial" w:hAnsi="Arial" w:cs="Arial"/>
          <w:bCs/>
          <w:sz w:val="24"/>
          <w:szCs w:val="24"/>
        </w:rPr>
      </w:pPr>
      <w:r w:rsidRPr="00445736">
        <w:rPr>
          <w:rFonts w:ascii="Arial" w:hAnsi="Arial" w:cs="Arial"/>
          <w:bCs/>
          <w:sz w:val="24"/>
          <w:szCs w:val="24"/>
        </w:rPr>
        <w:t>•</w:t>
      </w:r>
      <w:r w:rsidRPr="00445736">
        <w:rPr>
          <w:rFonts w:ascii="Arial" w:hAnsi="Arial" w:cs="Arial"/>
          <w:bCs/>
          <w:sz w:val="24"/>
          <w:szCs w:val="24"/>
        </w:rPr>
        <w:tab/>
        <w:t xml:space="preserve">The 1984 Oil and Gas Act </w:t>
      </w:r>
      <w:r w:rsidR="00285082">
        <w:rPr>
          <w:rFonts w:ascii="Arial" w:hAnsi="Arial" w:cs="Arial"/>
          <w:bCs/>
          <w:sz w:val="24"/>
          <w:szCs w:val="24"/>
        </w:rPr>
        <w:t xml:space="preserve">and 1992 Omnibus Amendments </w:t>
      </w:r>
      <w:r w:rsidRPr="00445736">
        <w:rPr>
          <w:rFonts w:ascii="Arial" w:hAnsi="Arial" w:cs="Arial"/>
          <w:bCs/>
          <w:sz w:val="24"/>
          <w:szCs w:val="24"/>
        </w:rPr>
        <w:t>established permit surcharges of $150 and $250 per oil and gas wells, respectively, to fund the Department’s Abandoned and Orphan Well Plugging Program. Over the past five fiscal years (FY2016-17 to FY2020-21) the Department received on average $418,935 per year from these permit surcharges.</w:t>
      </w:r>
    </w:p>
    <w:p w14:paraId="51874F50" w14:textId="77777777" w:rsidR="00445736" w:rsidRPr="00445736" w:rsidRDefault="00445736" w:rsidP="002F0C11">
      <w:pPr>
        <w:rPr>
          <w:rFonts w:ascii="Arial" w:hAnsi="Arial" w:cs="Arial"/>
          <w:bCs/>
          <w:sz w:val="24"/>
          <w:szCs w:val="24"/>
        </w:rPr>
      </w:pPr>
    </w:p>
    <w:p w14:paraId="2D5D0E6C" w14:textId="443A9159" w:rsidR="00445736" w:rsidRPr="00674B09" w:rsidRDefault="00674B09" w:rsidP="002F0C11">
      <w:pPr>
        <w:rPr>
          <w:rFonts w:ascii="Arial" w:hAnsi="Arial" w:cs="Arial"/>
          <w:b/>
          <w:sz w:val="24"/>
          <w:szCs w:val="24"/>
        </w:rPr>
      </w:pPr>
      <w:r w:rsidRPr="00104E8C">
        <w:rPr>
          <w:rFonts w:ascii="Arial" w:hAnsi="Arial" w:cs="Arial"/>
          <w:b/>
          <w:sz w:val="24"/>
          <w:szCs w:val="24"/>
        </w:rPr>
        <w:t>G.</w:t>
      </w:r>
      <w:r>
        <w:rPr>
          <w:rFonts w:ascii="Arial" w:hAnsi="Arial" w:cs="Arial"/>
          <w:bCs/>
          <w:sz w:val="24"/>
          <w:szCs w:val="24"/>
        </w:rPr>
        <w:t xml:space="preserve">  </w:t>
      </w:r>
      <w:r w:rsidR="00445736" w:rsidRPr="00674B09">
        <w:rPr>
          <w:rFonts w:ascii="Arial" w:hAnsi="Arial" w:cs="Arial"/>
          <w:b/>
          <w:sz w:val="24"/>
          <w:szCs w:val="24"/>
        </w:rPr>
        <w:t>Plugging Process</w:t>
      </w:r>
    </w:p>
    <w:p w14:paraId="65FF122F" w14:textId="77777777" w:rsidR="00445736" w:rsidRPr="00674B09" w:rsidRDefault="00445736" w:rsidP="002F0C11">
      <w:pPr>
        <w:rPr>
          <w:rFonts w:ascii="Arial" w:hAnsi="Arial" w:cs="Arial"/>
          <w:b/>
          <w:sz w:val="24"/>
          <w:szCs w:val="24"/>
        </w:rPr>
      </w:pPr>
    </w:p>
    <w:p w14:paraId="7292B9C2" w14:textId="481D0D1E" w:rsidR="00445736" w:rsidRPr="00C367EF" w:rsidRDefault="00445736" w:rsidP="00104E8C">
      <w:pPr>
        <w:pStyle w:val="ListParagraph"/>
        <w:numPr>
          <w:ilvl w:val="0"/>
          <w:numId w:val="10"/>
        </w:numPr>
        <w:ind w:left="0" w:firstLine="0"/>
        <w:rPr>
          <w:rFonts w:ascii="Arial" w:hAnsi="Arial" w:cs="Arial"/>
          <w:bCs/>
          <w:sz w:val="24"/>
          <w:szCs w:val="24"/>
        </w:rPr>
      </w:pPr>
      <w:r w:rsidRPr="00C367EF">
        <w:rPr>
          <w:rFonts w:ascii="Arial" w:hAnsi="Arial" w:cs="Arial"/>
          <w:bCs/>
          <w:sz w:val="24"/>
          <w:szCs w:val="24"/>
        </w:rPr>
        <w:t>What methods are used to plug and seal wells</w:t>
      </w:r>
      <w:r w:rsidR="00AE17BB">
        <w:rPr>
          <w:rFonts w:ascii="Arial" w:hAnsi="Arial" w:cs="Arial"/>
          <w:bCs/>
          <w:sz w:val="24"/>
          <w:szCs w:val="24"/>
        </w:rPr>
        <w:t xml:space="preserve"> in Pennsylvania</w:t>
      </w:r>
      <w:r w:rsidRPr="00C367EF">
        <w:rPr>
          <w:rFonts w:ascii="Arial" w:hAnsi="Arial" w:cs="Arial"/>
          <w:bCs/>
          <w:sz w:val="24"/>
          <w:szCs w:val="24"/>
        </w:rPr>
        <w:t>?</w:t>
      </w:r>
      <w:r w:rsidR="00C367EF">
        <w:rPr>
          <w:rFonts w:ascii="Arial" w:hAnsi="Arial" w:cs="Arial"/>
          <w:bCs/>
          <w:sz w:val="24"/>
          <w:szCs w:val="24"/>
        </w:rPr>
        <w:br/>
      </w:r>
    </w:p>
    <w:p w14:paraId="01ED4669" w14:textId="5ED25DF6" w:rsidR="00445736" w:rsidRPr="00445736" w:rsidRDefault="00445736" w:rsidP="00104E8C">
      <w:pPr>
        <w:ind w:left="360"/>
        <w:rPr>
          <w:rFonts w:ascii="Arial" w:hAnsi="Arial" w:cs="Arial"/>
          <w:bCs/>
          <w:sz w:val="24"/>
          <w:szCs w:val="24"/>
        </w:rPr>
      </w:pPr>
      <w:r w:rsidRPr="00445736">
        <w:rPr>
          <w:rFonts w:ascii="Arial" w:hAnsi="Arial" w:cs="Arial"/>
          <w:bCs/>
          <w:sz w:val="24"/>
          <w:szCs w:val="24"/>
        </w:rPr>
        <w:t>•</w:t>
      </w:r>
      <w:r w:rsidRPr="00445736">
        <w:rPr>
          <w:rFonts w:ascii="Arial" w:hAnsi="Arial" w:cs="Arial"/>
          <w:bCs/>
          <w:sz w:val="24"/>
          <w:szCs w:val="24"/>
        </w:rPr>
        <w:tab/>
        <w:t>Well plugging must be performed in compliance with DEP regulation</w:t>
      </w:r>
      <w:r w:rsidR="00AE17BB">
        <w:rPr>
          <w:rFonts w:ascii="Arial" w:hAnsi="Arial" w:cs="Arial"/>
          <w:bCs/>
          <w:sz w:val="24"/>
          <w:szCs w:val="24"/>
        </w:rPr>
        <w:t>s at 25 Pa.Code</w:t>
      </w:r>
      <w:r w:rsidRPr="00445736">
        <w:rPr>
          <w:rFonts w:ascii="Arial" w:hAnsi="Arial" w:cs="Arial"/>
          <w:bCs/>
          <w:sz w:val="24"/>
          <w:szCs w:val="24"/>
        </w:rPr>
        <w:t xml:space="preserve"> §</w:t>
      </w:r>
      <w:r w:rsidR="00AE17BB" w:rsidRPr="00445736">
        <w:rPr>
          <w:rFonts w:ascii="Arial" w:hAnsi="Arial" w:cs="Arial"/>
          <w:bCs/>
          <w:sz w:val="24"/>
          <w:szCs w:val="24"/>
        </w:rPr>
        <w:t>§</w:t>
      </w:r>
      <w:r w:rsidRPr="00445736">
        <w:rPr>
          <w:rFonts w:ascii="Arial" w:hAnsi="Arial" w:cs="Arial"/>
          <w:bCs/>
          <w:sz w:val="24"/>
          <w:szCs w:val="24"/>
        </w:rPr>
        <w:t xml:space="preserve"> 78.91</w:t>
      </w:r>
      <w:r w:rsidR="00AE17BB">
        <w:rPr>
          <w:rFonts w:ascii="Arial" w:hAnsi="Arial" w:cs="Arial"/>
          <w:bCs/>
          <w:sz w:val="24"/>
          <w:szCs w:val="24"/>
        </w:rPr>
        <w:t>–</w:t>
      </w:r>
      <w:r w:rsidRPr="00445736">
        <w:rPr>
          <w:rFonts w:ascii="Arial" w:hAnsi="Arial" w:cs="Arial"/>
          <w:bCs/>
          <w:sz w:val="24"/>
          <w:szCs w:val="24"/>
        </w:rPr>
        <w:t xml:space="preserve">78.98. In general, wells are </w:t>
      </w:r>
      <w:r w:rsidR="00822A9F">
        <w:rPr>
          <w:rFonts w:ascii="Arial" w:hAnsi="Arial" w:cs="Arial"/>
          <w:bCs/>
          <w:sz w:val="24"/>
          <w:szCs w:val="24"/>
        </w:rPr>
        <w:t xml:space="preserve">plugged using </w:t>
      </w:r>
      <w:r w:rsidRPr="00445736">
        <w:rPr>
          <w:rFonts w:ascii="Arial" w:hAnsi="Arial" w:cs="Arial"/>
          <w:bCs/>
          <w:sz w:val="24"/>
          <w:szCs w:val="24"/>
        </w:rPr>
        <w:t>cement plugs strategically placed to stop the vertical flow of fluids or gas within the well bore.</w:t>
      </w:r>
    </w:p>
    <w:p w14:paraId="06B2D23C" w14:textId="77777777" w:rsidR="00445736" w:rsidRPr="00445736" w:rsidRDefault="00445736" w:rsidP="00104E8C">
      <w:pPr>
        <w:ind w:left="360"/>
        <w:rPr>
          <w:rFonts w:ascii="Arial" w:hAnsi="Arial" w:cs="Arial"/>
          <w:b/>
          <w:sz w:val="24"/>
          <w:szCs w:val="24"/>
        </w:rPr>
      </w:pPr>
    </w:p>
    <w:p w14:paraId="416C88BE" w14:textId="0508665F" w:rsidR="00D96E09" w:rsidRPr="00104E8C" w:rsidRDefault="00104E8C" w:rsidP="00104E8C">
      <w:pPr>
        <w:autoSpaceDE w:val="0"/>
        <w:autoSpaceDN w:val="0"/>
        <w:adjustRightInd w:val="0"/>
        <w:jc w:val="both"/>
        <w:rPr>
          <w:rFonts w:ascii="Arial" w:hAnsi="Arial" w:cs="Arial"/>
          <w:sz w:val="24"/>
          <w:szCs w:val="24"/>
        </w:rPr>
      </w:pPr>
      <w:r>
        <w:rPr>
          <w:rFonts w:ascii="Arial" w:hAnsi="Arial" w:cs="Arial"/>
          <w:sz w:val="24"/>
          <w:szCs w:val="24"/>
        </w:rPr>
        <w:t>(</w:t>
      </w:r>
      <w:r w:rsidR="004959CA">
        <w:rPr>
          <w:rFonts w:ascii="Arial" w:hAnsi="Arial" w:cs="Arial"/>
          <w:sz w:val="24"/>
          <w:szCs w:val="24"/>
        </w:rPr>
        <w:t>draft</w:t>
      </w:r>
      <w:r w:rsidR="004212D9">
        <w:rPr>
          <w:rFonts w:ascii="Arial" w:hAnsi="Arial" w:cs="Arial"/>
          <w:sz w:val="24"/>
          <w:szCs w:val="24"/>
        </w:rPr>
        <w:t xml:space="preserve">ed </w:t>
      </w:r>
      <w:r w:rsidR="00822A9F">
        <w:rPr>
          <w:rFonts w:ascii="Arial" w:hAnsi="Arial" w:cs="Arial"/>
          <w:sz w:val="24"/>
          <w:szCs w:val="24"/>
        </w:rPr>
        <w:t>05/25/2022</w:t>
      </w:r>
      <w:r w:rsidR="004212D9">
        <w:rPr>
          <w:rFonts w:ascii="Arial" w:hAnsi="Arial" w:cs="Arial"/>
          <w:sz w:val="24"/>
          <w:szCs w:val="24"/>
        </w:rPr>
        <w:t>)</w:t>
      </w:r>
    </w:p>
    <w:sectPr w:rsidR="00D96E09" w:rsidRPr="00104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A40A1"/>
    <w:multiLevelType w:val="hybridMultilevel"/>
    <w:tmpl w:val="2C1A6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3F662F"/>
    <w:multiLevelType w:val="hybridMultilevel"/>
    <w:tmpl w:val="480A2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85D55"/>
    <w:multiLevelType w:val="hybridMultilevel"/>
    <w:tmpl w:val="1D42D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17B02"/>
    <w:multiLevelType w:val="hybridMultilevel"/>
    <w:tmpl w:val="CD1E6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F74E8E"/>
    <w:multiLevelType w:val="hybridMultilevel"/>
    <w:tmpl w:val="A1E65F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1D0FBE"/>
    <w:multiLevelType w:val="hybridMultilevel"/>
    <w:tmpl w:val="1E749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8B6E0C"/>
    <w:multiLevelType w:val="hybridMultilevel"/>
    <w:tmpl w:val="1B76C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87F2A"/>
    <w:multiLevelType w:val="hybridMultilevel"/>
    <w:tmpl w:val="9B2C8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877C75"/>
    <w:multiLevelType w:val="hybridMultilevel"/>
    <w:tmpl w:val="7084D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35055E"/>
    <w:multiLevelType w:val="hybridMultilevel"/>
    <w:tmpl w:val="9B325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2B4396"/>
    <w:multiLevelType w:val="hybridMultilevel"/>
    <w:tmpl w:val="63682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F22486"/>
    <w:multiLevelType w:val="hybridMultilevel"/>
    <w:tmpl w:val="3B405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D810B1"/>
    <w:multiLevelType w:val="hybridMultilevel"/>
    <w:tmpl w:val="74DC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11"/>
  </w:num>
  <w:num w:numId="4">
    <w:abstractNumId w:val="7"/>
  </w:num>
  <w:num w:numId="5">
    <w:abstractNumId w:val="10"/>
  </w:num>
  <w:num w:numId="6">
    <w:abstractNumId w:val="3"/>
  </w:num>
  <w:num w:numId="7">
    <w:abstractNumId w:val="5"/>
  </w:num>
  <w:num w:numId="8">
    <w:abstractNumId w:val="2"/>
  </w:num>
  <w:num w:numId="9">
    <w:abstractNumId w:val="9"/>
  </w:num>
  <w:num w:numId="10">
    <w:abstractNumId w:val="8"/>
  </w:num>
  <w:num w:numId="11">
    <w:abstractNumId w:val="4"/>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E7"/>
    <w:rsid w:val="00001E39"/>
    <w:rsid w:val="00003E0E"/>
    <w:rsid w:val="000224FE"/>
    <w:rsid w:val="0003284F"/>
    <w:rsid w:val="0005536E"/>
    <w:rsid w:val="000E52A5"/>
    <w:rsid w:val="00102CD6"/>
    <w:rsid w:val="00102FB1"/>
    <w:rsid w:val="00104DC7"/>
    <w:rsid w:val="00104E8C"/>
    <w:rsid w:val="00152129"/>
    <w:rsid w:val="00162E62"/>
    <w:rsid w:val="0017765A"/>
    <w:rsid w:val="001D07DA"/>
    <w:rsid w:val="001E6B0A"/>
    <w:rsid w:val="002174CD"/>
    <w:rsid w:val="00244650"/>
    <w:rsid w:val="00276B40"/>
    <w:rsid w:val="00285082"/>
    <w:rsid w:val="00293638"/>
    <w:rsid w:val="002B41DD"/>
    <w:rsid w:val="002C6077"/>
    <w:rsid w:val="002F0C11"/>
    <w:rsid w:val="003460BD"/>
    <w:rsid w:val="003736B7"/>
    <w:rsid w:val="00396835"/>
    <w:rsid w:val="003B109A"/>
    <w:rsid w:val="003E60BC"/>
    <w:rsid w:val="003F07C8"/>
    <w:rsid w:val="003F39DE"/>
    <w:rsid w:val="004170AE"/>
    <w:rsid w:val="004212D9"/>
    <w:rsid w:val="004351F8"/>
    <w:rsid w:val="004439AE"/>
    <w:rsid w:val="00445736"/>
    <w:rsid w:val="00465C11"/>
    <w:rsid w:val="004959CA"/>
    <w:rsid w:val="004D1BC3"/>
    <w:rsid w:val="004D2258"/>
    <w:rsid w:val="004E0610"/>
    <w:rsid w:val="004F08A3"/>
    <w:rsid w:val="004F7E14"/>
    <w:rsid w:val="00500F45"/>
    <w:rsid w:val="00506666"/>
    <w:rsid w:val="005236C2"/>
    <w:rsid w:val="00560FC9"/>
    <w:rsid w:val="00591C75"/>
    <w:rsid w:val="005A5458"/>
    <w:rsid w:val="005B36CB"/>
    <w:rsid w:val="005B7CE7"/>
    <w:rsid w:val="005D71DA"/>
    <w:rsid w:val="00612AB0"/>
    <w:rsid w:val="00620DCB"/>
    <w:rsid w:val="0064077F"/>
    <w:rsid w:val="006471E5"/>
    <w:rsid w:val="00667C2A"/>
    <w:rsid w:val="00673042"/>
    <w:rsid w:val="00674B09"/>
    <w:rsid w:val="00680184"/>
    <w:rsid w:val="006C168C"/>
    <w:rsid w:val="0073531E"/>
    <w:rsid w:val="00771A40"/>
    <w:rsid w:val="0077304A"/>
    <w:rsid w:val="00777BC8"/>
    <w:rsid w:val="00782A7F"/>
    <w:rsid w:val="007B3ADC"/>
    <w:rsid w:val="00822A9F"/>
    <w:rsid w:val="0083546C"/>
    <w:rsid w:val="00870A87"/>
    <w:rsid w:val="00874D3A"/>
    <w:rsid w:val="00893ABD"/>
    <w:rsid w:val="008A34DD"/>
    <w:rsid w:val="008A7079"/>
    <w:rsid w:val="008B0879"/>
    <w:rsid w:val="008E592D"/>
    <w:rsid w:val="008F35EB"/>
    <w:rsid w:val="00907F07"/>
    <w:rsid w:val="00937607"/>
    <w:rsid w:val="009470E0"/>
    <w:rsid w:val="009544EE"/>
    <w:rsid w:val="00975448"/>
    <w:rsid w:val="00977C1C"/>
    <w:rsid w:val="00983ACB"/>
    <w:rsid w:val="00983CBC"/>
    <w:rsid w:val="009B120B"/>
    <w:rsid w:val="009B3806"/>
    <w:rsid w:val="009B4623"/>
    <w:rsid w:val="00A16B9F"/>
    <w:rsid w:val="00A36ED5"/>
    <w:rsid w:val="00A55C12"/>
    <w:rsid w:val="00A969C7"/>
    <w:rsid w:val="00AB401B"/>
    <w:rsid w:val="00AE17BB"/>
    <w:rsid w:val="00B06491"/>
    <w:rsid w:val="00B112B8"/>
    <w:rsid w:val="00B33A03"/>
    <w:rsid w:val="00B4523A"/>
    <w:rsid w:val="00B52302"/>
    <w:rsid w:val="00B737D6"/>
    <w:rsid w:val="00B9745E"/>
    <w:rsid w:val="00BA7642"/>
    <w:rsid w:val="00BB390E"/>
    <w:rsid w:val="00BC32B6"/>
    <w:rsid w:val="00BD69F5"/>
    <w:rsid w:val="00BD76A6"/>
    <w:rsid w:val="00BE548B"/>
    <w:rsid w:val="00C03024"/>
    <w:rsid w:val="00C367EF"/>
    <w:rsid w:val="00C513C1"/>
    <w:rsid w:val="00C61543"/>
    <w:rsid w:val="00C67F64"/>
    <w:rsid w:val="00CA2DC2"/>
    <w:rsid w:val="00CB6EE4"/>
    <w:rsid w:val="00CD711E"/>
    <w:rsid w:val="00CF761D"/>
    <w:rsid w:val="00D2416C"/>
    <w:rsid w:val="00D271BE"/>
    <w:rsid w:val="00D35796"/>
    <w:rsid w:val="00D60692"/>
    <w:rsid w:val="00D6721D"/>
    <w:rsid w:val="00D703E3"/>
    <w:rsid w:val="00D85C19"/>
    <w:rsid w:val="00D96E09"/>
    <w:rsid w:val="00DA2A7D"/>
    <w:rsid w:val="00DC3068"/>
    <w:rsid w:val="00DC3891"/>
    <w:rsid w:val="00DC549E"/>
    <w:rsid w:val="00DE2CCC"/>
    <w:rsid w:val="00DE678F"/>
    <w:rsid w:val="00DF0B41"/>
    <w:rsid w:val="00DF7C04"/>
    <w:rsid w:val="00E05F97"/>
    <w:rsid w:val="00E06150"/>
    <w:rsid w:val="00E15BAB"/>
    <w:rsid w:val="00E21B89"/>
    <w:rsid w:val="00E41F9A"/>
    <w:rsid w:val="00E6323C"/>
    <w:rsid w:val="00EB1D84"/>
    <w:rsid w:val="00ED68F0"/>
    <w:rsid w:val="00EF4CF3"/>
    <w:rsid w:val="00F13474"/>
    <w:rsid w:val="00F52226"/>
    <w:rsid w:val="00F76EE9"/>
    <w:rsid w:val="00FC6660"/>
    <w:rsid w:val="00FD23F2"/>
    <w:rsid w:val="00FD5FB9"/>
    <w:rsid w:val="00FE39E7"/>
    <w:rsid w:val="00FE3CAA"/>
    <w:rsid w:val="00FE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88DE"/>
  <w15:chartTrackingRefBased/>
  <w15:docId w15:val="{08E046BE-88D1-4DDE-B617-3C4B559F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9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39E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52302"/>
    <w:pPr>
      <w:ind w:left="720"/>
      <w:contextualSpacing/>
    </w:pPr>
  </w:style>
  <w:style w:type="character" w:styleId="CommentReference">
    <w:name w:val="annotation reference"/>
    <w:basedOn w:val="DefaultParagraphFont"/>
    <w:uiPriority w:val="99"/>
    <w:semiHidden/>
    <w:unhideWhenUsed/>
    <w:rsid w:val="004170AE"/>
    <w:rPr>
      <w:sz w:val="16"/>
      <w:szCs w:val="16"/>
    </w:rPr>
  </w:style>
  <w:style w:type="paragraph" w:styleId="CommentText">
    <w:name w:val="annotation text"/>
    <w:basedOn w:val="Normal"/>
    <w:link w:val="CommentTextChar"/>
    <w:uiPriority w:val="99"/>
    <w:semiHidden/>
    <w:unhideWhenUsed/>
    <w:rsid w:val="004170AE"/>
    <w:rPr>
      <w:sz w:val="20"/>
      <w:szCs w:val="20"/>
    </w:rPr>
  </w:style>
  <w:style w:type="character" w:customStyle="1" w:styleId="CommentTextChar">
    <w:name w:val="Comment Text Char"/>
    <w:basedOn w:val="DefaultParagraphFont"/>
    <w:link w:val="CommentText"/>
    <w:uiPriority w:val="99"/>
    <w:semiHidden/>
    <w:rsid w:val="004170A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170AE"/>
    <w:rPr>
      <w:b/>
      <w:bCs/>
    </w:rPr>
  </w:style>
  <w:style w:type="character" w:customStyle="1" w:styleId="CommentSubjectChar">
    <w:name w:val="Comment Subject Char"/>
    <w:basedOn w:val="CommentTextChar"/>
    <w:link w:val="CommentSubject"/>
    <w:uiPriority w:val="99"/>
    <w:semiHidden/>
    <w:rsid w:val="004170AE"/>
    <w:rPr>
      <w:rFonts w:ascii="Calibri" w:hAnsi="Calibri" w:cs="Calibri"/>
      <w:b/>
      <w:bCs/>
      <w:sz w:val="20"/>
      <w:szCs w:val="20"/>
    </w:rPr>
  </w:style>
  <w:style w:type="paragraph" w:styleId="BalloonText">
    <w:name w:val="Balloon Text"/>
    <w:basedOn w:val="Normal"/>
    <w:link w:val="BalloonTextChar"/>
    <w:uiPriority w:val="99"/>
    <w:semiHidden/>
    <w:unhideWhenUsed/>
    <w:rsid w:val="00417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0AE"/>
    <w:rPr>
      <w:rFonts w:ascii="Segoe UI" w:hAnsi="Segoe UI" w:cs="Segoe UI"/>
      <w:sz w:val="18"/>
      <w:szCs w:val="18"/>
    </w:rPr>
  </w:style>
  <w:style w:type="paragraph" w:styleId="Revision">
    <w:name w:val="Revision"/>
    <w:hidden/>
    <w:uiPriority w:val="99"/>
    <w:semiHidden/>
    <w:rsid w:val="00BE548B"/>
    <w:pPr>
      <w:spacing w:after="0" w:line="240" w:lineRule="auto"/>
    </w:pPr>
    <w:rPr>
      <w:rFonts w:ascii="Calibri" w:hAnsi="Calibri" w:cs="Calibri"/>
    </w:rPr>
  </w:style>
  <w:style w:type="character" w:styleId="Hyperlink">
    <w:name w:val="Hyperlink"/>
    <w:basedOn w:val="DefaultParagraphFont"/>
    <w:uiPriority w:val="99"/>
    <w:unhideWhenUsed/>
    <w:rsid w:val="00293638"/>
    <w:rPr>
      <w:color w:val="0000FF" w:themeColor="hyperlink"/>
      <w:u w:val="single"/>
    </w:rPr>
  </w:style>
  <w:style w:type="character" w:styleId="UnresolvedMention">
    <w:name w:val="Unresolved Mention"/>
    <w:basedOn w:val="DefaultParagraphFont"/>
    <w:uiPriority w:val="99"/>
    <w:semiHidden/>
    <w:unhideWhenUsed/>
    <w:rsid w:val="00293638"/>
    <w:rPr>
      <w:color w:val="605E5C"/>
      <w:shd w:val="clear" w:color="auto" w:fill="E1DFDD"/>
    </w:rPr>
  </w:style>
  <w:style w:type="character" w:styleId="FollowedHyperlink">
    <w:name w:val="FollowedHyperlink"/>
    <w:basedOn w:val="DefaultParagraphFont"/>
    <w:uiPriority w:val="99"/>
    <w:semiHidden/>
    <w:unhideWhenUsed/>
    <w:rsid w:val="00DC54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7475">
      <w:bodyDiv w:val="1"/>
      <w:marLeft w:val="0"/>
      <w:marRight w:val="0"/>
      <w:marTop w:val="0"/>
      <w:marBottom w:val="0"/>
      <w:divBdr>
        <w:top w:val="none" w:sz="0" w:space="0" w:color="auto"/>
        <w:left w:val="none" w:sz="0" w:space="0" w:color="auto"/>
        <w:bottom w:val="none" w:sz="0" w:space="0" w:color="auto"/>
        <w:right w:val="none" w:sz="0" w:space="0" w:color="auto"/>
      </w:divBdr>
    </w:div>
    <w:div w:id="774329784">
      <w:bodyDiv w:val="1"/>
      <w:marLeft w:val="0"/>
      <w:marRight w:val="0"/>
      <w:marTop w:val="0"/>
      <w:marBottom w:val="0"/>
      <w:divBdr>
        <w:top w:val="none" w:sz="0" w:space="0" w:color="auto"/>
        <w:left w:val="none" w:sz="0" w:space="0" w:color="auto"/>
        <w:bottom w:val="none" w:sz="0" w:space="0" w:color="auto"/>
        <w:right w:val="none" w:sz="0" w:space="0" w:color="auto"/>
      </w:divBdr>
    </w:div>
    <w:div w:id="849761315">
      <w:bodyDiv w:val="1"/>
      <w:marLeft w:val="0"/>
      <w:marRight w:val="0"/>
      <w:marTop w:val="0"/>
      <w:marBottom w:val="0"/>
      <w:divBdr>
        <w:top w:val="none" w:sz="0" w:space="0" w:color="auto"/>
        <w:left w:val="none" w:sz="0" w:space="0" w:color="auto"/>
        <w:bottom w:val="none" w:sz="0" w:space="0" w:color="auto"/>
        <w:right w:val="none" w:sz="0" w:space="0" w:color="auto"/>
      </w:divBdr>
    </w:div>
    <w:div w:id="114473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gs.pa.gov/Documents/Procurement%20Forms/BOP%20Policy%20Directive/BOP%20Policy%20Directive%202020-1%20and%20BDISBO%20Policy.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a.pa.gov/Policies/eo/Documents/2015_1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pa.gov/Policies/eo/Documents/2011_09.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bidexpress.com" TargetMode="External"/><Relationship Id="rId4" Type="http://schemas.openxmlformats.org/officeDocument/2006/relationships/customXml" Target="../customXml/item4.xml"/><Relationship Id="rId9" Type="http://schemas.openxmlformats.org/officeDocument/2006/relationships/hyperlink" Target="http://www.depgreenport.state.pa.us/elibrary/GetFolder?FolderID=3071" TargetMode="External"/><Relationship Id="rId14" Type="http://schemas.openxmlformats.org/officeDocument/2006/relationships/hyperlink" Target="https://www.dgs.pa.gov/Small%20Diverse%20Business%20Program/Small-Diverse-Business-Verification/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B55A4A2001C94BB93EB471A158D4E1" ma:contentTypeVersion="11" ma:contentTypeDescription="Create a new document." ma:contentTypeScope="" ma:versionID="cfcae2fc5ce52ac1c16feefca9433a5d">
  <xsd:schema xmlns:xsd="http://www.w3.org/2001/XMLSchema" xmlns:xs="http://www.w3.org/2001/XMLSchema" xmlns:p="http://schemas.microsoft.com/office/2006/metadata/properties" xmlns:ns3="d79b2907-e33a-4c76-9d4c-f8a968f37a8c" xmlns:ns4="51e5ae92-8128-46e3-8c2e-e8e1a82fcef0" targetNamespace="http://schemas.microsoft.com/office/2006/metadata/properties" ma:root="true" ma:fieldsID="b7466a5aec4fed9b2c787342a827bb32" ns3:_="" ns4:_="">
    <xsd:import namespace="d79b2907-e33a-4c76-9d4c-f8a968f37a8c"/>
    <xsd:import namespace="51e5ae92-8128-46e3-8c2e-e8e1a82fce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b2907-e33a-4c76-9d4c-f8a968f37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e5ae92-8128-46e3-8c2e-e8e1a82fce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78617-5709-489E-BF1C-13DB8A9D0DAA}">
  <ds:schemaRefs>
    <ds:schemaRef ds:uri="http://schemas.microsoft.com/sharepoint/v3/contenttype/forms"/>
  </ds:schemaRefs>
</ds:datastoreItem>
</file>

<file path=customXml/itemProps2.xml><?xml version="1.0" encoding="utf-8"?>
<ds:datastoreItem xmlns:ds="http://schemas.openxmlformats.org/officeDocument/2006/customXml" ds:itemID="{12DCB14B-A952-4D1F-8EC3-5D49AD073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b2907-e33a-4c76-9d4c-f8a968f37a8c"/>
    <ds:schemaRef ds:uri="51e5ae92-8128-46e3-8c2e-e8e1a82fc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E3CC7-409F-4E99-BC55-4858DA35DC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E7B502-4C50-424B-AE48-AC00C0B0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 Harry</dc:creator>
  <cp:keywords/>
  <dc:description/>
  <cp:lastModifiedBy>Wise, Harry</cp:lastModifiedBy>
  <cp:revision>3</cp:revision>
  <cp:lastPrinted>2022-03-17T21:13:00Z</cp:lastPrinted>
  <dcterms:created xsi:type="dcterms:W3CDTF">2022-05-25T21:10:00Z</dcterms:created>
  <dcterms:modified xsi:type="dcterms:W3CDTF">2022-05-26T17:32:00Z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0x010100F2B55A4A2001C94BB93EB471A158D4E1</vt:lpwstr>
  </property>
</Properties>
</file>