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B1" w:rsidRPr="00F21625" w:rsidRDefault="00F21625">
      <w:pPr>
        <w:rPr>
          <w:b/>
        </w:rPr>
      </w:pPr>
      <w:bookmarkStart w:id="0" w:name="_GoBack"/>
      <w:bookmarkEnd w:id="0"/>
      <w:r w:rsidRPr="00F21625">
        <w:rPr>
          <w:b/>
        </w:rPr>
        <w:t xml:space="preserve">FAQs - Hydraulic Fracturing Chemical Disclosure Registry &amp; Completion Report </w:t>
      </w:r>
    </w:p>
    <w:p w:rsidR="00F21625" w:rsidRDefault="00F21625"/>
    <w:p w:rsidR="00F21625" w:rsidRPr="008F476A" w:rsidRDefault="00F21625" w:rsidP="00F21625">
      <w:pPr>
        <w:rPr>
          <w:b/>
        </w:rPr>
      </w:pPr>
      <w:r w:rsidRPr="008F476A">
        <w:rPr>
          <w:b/>
        </w:rPr>
        <w:t>Question:</w:t>
      </w:r>
    </w:p>
    <w:p w:rsidR="00F21625" w:rsidRPr="00F21625" w:rsidRDefault="00F21625" w:rsidP="00F21625">
      <w:r w:rsidRPr="00F21625">
        <w:t xml:space="preserve">How does an operator report their hydraulic fracturing </w:t>
      </w:r>
      <w:r w:rsidR="00BA53AE">
        <w:t>chemicals</w:t>
      </w:r>
      <w:r w:rsidRPr="00F21625">
        <w:t xml:space="preserve"> used in the stimulation of an unconventional well to the Hydraulic Fracturing Chemical Disclosure Registry (</w:t>
      </w:r>
      <w:r w:rsidR="005D245F">
        <w:t>Title 58, Section 3222.1</w:t>
      </w:r>
      <w:r w:rsidRPr="00F21625">
        <w:t>)?</w:t>
      </w:r>
    </w:p>
    <w:p w:rsidR="00F21625" w:rsidRPr="00F21625" w:rsidRDefault="00F21625" w:rsidP="00F21625"/>
    <w:p w:rsidR="00F21625" w:rsidRPr="00F21625" w:rsidRDefault="00F21625" w:rsidP="00F21625">
      <w:r w:rsidRPr="00F21625">
        <w:t>Answer:</w:t>
      </w:r>
    </w:p>
    <w:p w:rsidR="00F21625" w:rsidRPr="00F21625" w:rsidRDefault="00F21625" w:rsidP="00F21625">
      <w:r w:rsidRPr="00F21625">
        <w:t xml:space="preserve">The Oil &amp; Gas Act of 2012 requires operators of an unconventional well that is hydraulically fractured shall complete the chemical disclosure registry form and post the form </w:t>
      </w:r>
      <w:r w:rsidR="001F5BBB">
        <w:t>to</w:t>
      </w:r>
      <w:r w:rsidRPr="00F21625">
        <w:t xml:space="preserve"> the</w:t>
      </w:r>
    </w:p>
    <w:p w:rsidR="00F21625" w:rsidRPr="00F21625" w:rsidRDefault="00BA53AE" w:rsidP="00F21625">
      <w:proofErr w:type="gramStart"/>
      <w:r w:rsidRPr="00BA53AE">
        <w:t>Chemical Disclosure Registry</w:t>
      </w:r>
      <w:r w:rsidR="001F5BBB">
        <w:t xml:space="preserve"> web site</w:t>
      </w:r>
      <w:r w:rsidR="00F21625" w:rsidRPr="00F21625">
        <w:t>.</w:t>
      </w:r>
      <w:proofErr w:type="gramEnd"/>
      <w:r w:rsidR="00F21625" w:rsidRPr="00F21625">
        <w:t xml:space="preserve"> The </w:t>
      </w:r>
      <w:r w:rsidRPr="00BA53AE">
        <w:t>Chemical Disclosure Registry</w:t>
      </w:r>
      <w:r w:rsidR="00F21625" w:rsidRPr="00F21625">
        <w:t xml:space="preserve"> website developed by the Ground Water Protection Council and the Interstate Oil and Gas Compact Commission is known </w:t>
      </w:r>
      <w:r>
        <w:t xml:space="preserve"> a</w:t>
      </w:r>
      <w:r w:rsidR="00F21625" w:rsidRPr="00F21625">
        <w:t>s FracFocus</w:t>
      </w:r>
      <w:r>
        <w:t>©</w:t>
      </w:r>
      <w:r w:rsidR="00F21625" w:rsidRPr="00F21625">
        <w:t xml:space="preserve">. </w:t>
      </w:r>
      <w:r>
        <w:t xml:space="preserve">The FracFocus© web site address is </w:t>
      </w:r>
      <w:hyperlink r:id="rId5" w:history="1">
        <w:r w:rsidR="00F21625" w:rsidRPr="00F21625">
          <w:rPr>
            <w:rStyle w:val="Hyperlink"/>
          </w:rPr>
          <w:t>www.fracfocus.org</w:t>
        </w:r>
      </w:hyperlink>
      <w:r w:rsidR="00F21625" w:rsidRPr="00F21625">
        <w:t xml:space="preserve"> </w:t>
      </w:r>
      <w:r>
        <w:t>.</w:t>
      </w:r>
    </w:p>
    <w:p w:rsidR="00F21625" w:rsidRPr="00F21625" w:rsidRDefault="00F21625" w:rsidP="00F21625"/>
    <w:p w:rsidR="00F21625" w:rsidRPr="00F21625" w:rsidRDefault="00F21625" w:rsidP="00F21625">
      <w:r w:rsidRPr="00F21625">
        <w:t>To register your company</w:t>
      </w:r>
      <w:r w:rsidR="00BA53AE">
        <w:t>,</w:t>
      </w:r>
      <w:r w:rsidRPr="00F21625">
        <w:t xml:space="preserve"> use the link on the website or follow this link:</w:t>
      </w:r>
    </w:p>
    <w:p w:rsidR="00F21625" w:rsidRPr="00F21625" w:rsidRDefault="00122A48" w:rsidP="00F21625">
      <w:hyperlink r:id="rId6" w:history="1">
        <w:r w:rsidR="005D245F" w:rsidRPr="00284246">
          <w:rPr>
            <w:rStyle w:val="Hyperlink"/>
          </w:rPr>
          <w:t>https://www.fracfocusdata.org/Account/RegisterOperator.aspx</w:t>
        </w:r>
      </w:hyperlink>
      <w:r w:rsidR="005D245F">
        <w:t xml:space="preserve"> .</w:t>
      </w:r>
      <w:r w:rsidR="005D245F" w:rsidRPr="005D245F">
        <w:t xml:space="preserve"> </w:t>
      </w:r>
      <w:r w:rsidR="005D245F">
        <w:t xml:space="preserve"> </w:t>
      </w:r>
      <w:r w:rsidR="00F21625" w:rsidRPr="00F21625">
        <w:t xml:space="preserve">A user </w:t>
      </w:r>
      <w:r w:rsidR="001F5BBB" w:rsidRPr="00F21625">
        <w:t>guide</w:t>
      </w:r>
      <w:r w:rsidR="00F21625" w:rsidRPr="00F21625">
        <w:t xml:space="preserve"> </w:t>
      </w:r>
      <w:r w:rsidR="00BA53AE">
        <w:t xml:space="preserve">and training </w:t>
      </w:r>
      <w:r w:rsidR="00F21625" w:rsidRPr="00F21625">
        <w:t>materials on managing your compan</w:t>
      </w:r>
      <w:r w:rsidR="005D245F">
        <w:t>y’s</w:t>
      </w:r>
      <w:r w:rsidR="00F21625" w:rsidRPr="00F21625">
        <w:t xml:space="preserve"> access to the site, </w:t>
      </w:r>
      <w:r w:rsidR="00BA53AE">
        <w:t xml:space="preserve">creating a </w:t>
      </w:r>
      <w:r w:rsidR="00F21625" w:rsidRPr="00F21625">
        <w:t>chemical disclosure report and submit</w:t>
      </w:r>
      <w:r w:rsidR="00BA53AE">
        <w:t>ting</w:t>
      </w:r>
      <w:r w:rsidR="00F21625" w:rsidRPr="00F21625">
        <w:t xml:space="preserve"> the report to the disclosure registry are available on the secure web site. </w:t>
      </w:r>
    </w:p>
    <w:p w:rsidR="00FC4D3D" w:rsidRDefault="00FC4D3D">
      <w:pPr>
        <w:spacing w:after="200" w:line="276" w:lineRule="auto"/>
      </w:pPr>
      <w:r>
        <w:br w:type="page"/>
      </w:r>
    </w:p>
    <w:p w:rsidR="00F21625" w:rsidRPr="00F21625" w:rsidRDefault="00F21625" w:rsidP="00F21625"/>
    <w:p w:rsidR="00F21625" w:rsidRPr="008F476A" w:rsidRDefault="00F21625" w:rsidP="00F21625">
      <w:pPr>
        <w:rPr>
          <w:b/>
        </w:rPr>
      </w:pPr>
      <w:r w:rsidRPr="008F476A">
        <w:rPr>
          <w:b/>
        </w:rPr>
        <w:t>Question:</w:t>
      </w:r>
    </w:p>
    <w:p w:rsidR="00F21625" w:rsidRPr="00F21625" w:rsidRDefault="00F21625" w:rsidP="00F21625">
      <w:r w:rsidRPr="00F21625">
        <w:t>Are the compliance times for submittal for both the PA DEP Completion Report (8000-FM-OOGM0004b) and the Hydraulic Fracturing Chemical Disclosure Registry Report the same in Pennsylvania?</w:t>
      </w:r>
    </w:p>
    <w:p w:rsidR="00F21625" w:rsidRPr="00F21625" w:rsidRDefault="00F21625" w:rsidP="00F21625"/>
    <w:p w:rsidR="00AA665C" w:rsidRDefault="00F21625" w:rsidP="00F21625">
      <w:r w:rsidRPr="00F21625">
        <w:t xml:space="preserve">No.  Both the point in development of the </w:t>
      </w:r>
      <w:r w:rsidR="00BA53AE">
        <w:t xml:space="preserve">unconventional </w:t>
      </w:r>
      <w:r w:rsidRPr="00F21625">
        <w:t>well where the reports are required</w:t>
      </w:r>
      <w:r w:rsidR="00AA665C">
        <w:t>,</w:t>
      </w:r>
      <w:r w:rsidRPr="00F21625">
        <w:t xml:space="preserve"> and the submittal period are different</w:t>
      </w:r>
      <w:r w:rsidR="00BA53AE">
        <w:t xml:space="preserve"> between the two reports</w:t>
      </w:r>
      <w:r w:rsidRPr="00F21625">
        <w:t>.</w:t>
      </w:r>
      <w:r w:rsidR="00BA53AE">
        <w:t xml:space="preserve"> </w:t>
      </w:r>
      <w:r w:rsidRPr="00F21625">
        <w:t xml:space="preserve"> </w:t>
      </w:r>
    </w:p>
    <w:p w:rsidR="00AA665C" w:rsidRDefault="00AA665C" w:rsidP="00F21625"/>
    <w:p w:rsidR="00FC4D3D" w:rsidRPr="00FC4D3D" w:rsidRDefault="00FC4D3D" w:rsidP="00FC4D3D">
      <w:pPr>
        <w:rPr>
          <w:b/>
        </w:rPr>
      </w:pPr>
      <w:r w:rsidRPr="00FC4D3D">
        <w:t xml:space="preserve">Table: </w:t>
      </w:r>
      <w:r w:rsidRPr="00FC4D3D">
        <w:rPr>
          <w:b/>
        </w:rPr>
        <w:t xml:space="preserve">Oil and Gas Operator Chemical Reporting for </w:t>
      </w:r>
      <w:r>
        <w:rPr>
          <w:b/>
        </w:rPr>
        <w:t xml:space="preserve"> </w:t>
      </w:r>
    </w:p>
    <w:p w:rsidR="00FC4D3D" w:rsidRPr="00FC4D3D" w:rsidRDefault="00FC4D3D" w:rsidP="00FC4D3D">
      <w:r w:rsidRPr="00FC4D3D">
        <w:rPr>
          <w:b/>
        </w:rPr>
        <w:t>Hydraulic Fracturing / Stimulation of Unconventional Wells</w:t>
      </w:r>
    </w:p>
    <w:p w:rsidR="00FC4D3D" w:rsidRPr="00FC4D3D" w:rsidRDefault="00FC4D3D" w:rsidP="00FC4D3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16"/>
        <w:gridCol w:w="2748"/>
        <w:gridCol w:w="2683"/>
      </w:tblGrid>
      <w:tr w:rsidR="00FC4D3D" w:rsidRPr="00FC4D3D" w:rsidTr="00224535">
        <w:trPr>
          <w:jc w:val="center"/>
        </w:trPr>
        <w:tc>
          <w:tcPr>
            <w:tcW w:w="2816" w:type="dxa"/>
            <w:shd w:val="clear" w:color="auto" w:fill="D9D9D9" w:themeFill="background1" w:themeFillShade="D9"/>
          </w:tcPr>
          <w:p w:rsidR="00FC4D3D" w:rsidRPr="00FC4D3D" w:rsidRDefault="00FC4D3D" w:rsidP="00FC4D3D">
            <w:pPr>
              <w:rPr>
                <w:b/>
              </w:rPr>
            </w:pPr>
            <w:r w:rsidRPr="00FC4D3D">
              <w:rPr>
                <w:b/>
              </w:rPr>
              <w:t>Reporting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:rsidR="00FC4D3D" w:rsidRPr="00FC4D3D" w:rsidRDefault="00FC4D3D" w:rsidP="00FC4D3D">
            <w:pPr>
              <w:rPr>
                <w:b/>
              </w:rPr>
            </w:pPr>
            <w:r w:rsidRPr="00FC4D3D">
              <w:rPr>
                <w:b/>
              </w:rPr>
              <w:t>FracFocus©</w:t>
            </w:r>
          </w:p>
        </w:tc>
        <w:tc>
          <w:tcPr>
            <w:tcW w:w="2683" w:type="dxa"/>
            <w:shd w:val="clear" w:color="auto" w:fill="D9D9D9" w:themeFill="background1" w:themeFillShade="D9"/>
          </w:tcPr>
          <w:p w:rsidR="00FC4D3D" w:rsidRPr="00FC4D3D" w:rsidRDefault="00FC4D3D" w:rsidP="00FC4D3D">
            <w:pPr>
              <w:rPr>
                <w:b/>
              </w:rPr>
            </w:pPr>
            <w:r w:rsidRPr="00FC4D3D">
              <w:rPr>
                <w:b/>
              </w:rPr>
              <w:t>Completion Report</w:t>
            </w:r>
          </w:p>
        </w:tc>
      </w:tr>
      <w:tr w:rsidR="00FC4D3D" w:rsidRPr="00FC4D3D" w:rsidTr="00224535">
        <w:trPr>
          <w:jc w:val="center"/>
        </w:trPr>
        <w:tc>
          <w:tcPr>
            <w:tcW w:w="2816" w:type="dxa"/>
          </w:tcPr>
          <w:p w:rsidR="00FC4D3D" w:rsidRPr="00FC4D3D" w:rsidRDefault="00FC4D3D" w:rsidP="00FC4D3D">
            <w:r w:rsidRPr="00FC4D3D">
              <w:t>Requirements</w:t>
            </w:r>
          </w:p>
        </w:tc>
        <w:tc>
          <w:tcPr>
            <w:tcW w:w="2748" w:type="dxa"/>
          </w:tcPr>
          <w:p w:rsidR="00FC4D3D" w:rsidRPr="00FC4D3D" w:rsidRDefault="00FC4D3D" w:rsidP="00FC4D3D">
            <w:r w:rsidRPr="00FC4D3D">
              <w:t>Title 58 - OIL AND GAS - § 3222.1.  Hydraulic fracturing chemical disclosure requirements</w:t>
            </w:r>
          </w:p>
          <w:p w:rsidR="00FC4D3D" w:rsidRPr="00FC4D3D" w:rsidRDefault="00FC4D3D" w:rsidP="00FC4D3D"/>
        </w:tc>
        <w:tc>
          <w:tcPr>
            <w:tcW w:w="2683" w:type="dxa"/>
          </w:tcPr>
          <w:p w:rsidR="00FC4D3D" w:rsidRPr="00FC4D3D" w:rsidRDefault="00FC4D3D" w:rsidP="00FC4D3D">
            <w:r w:rsidRPr="00FC4D3D">
              <w:t>Title 58 - OIL AND GAS § 3222. Well reporting requirements</w:t>
            </w:r>
          </w:p>
          <w:p w:rsidR="00FC4D3D" w:rsidRPr="00FC4D3D" w:rsidRDefault="00FC4D3D" w:rsidP="00FC4D3D"/>
        </w:tc>
      </w:tr>
      <w:tr w:rsidR="00FC4D3D" w:rsidRPr="00FC4D3D" w:rsidTr="00224535">
        <w:trPr>
          <w:jc w:val="center"/>
        </w:trPr>
        <w:tc>
          <w:tcPr>
            <w:tcW w:w="2816" w:type="dxa"/>
          </w:tcPr>
          <w:p w:rsidR="00FC4D3D" w:rsidRPr="00FC4D3D" w:rsidRDefault="00FC4D3D" w:rsidP="00FC4D3D">
            <w:r w:rsidRPr="00FC4D3D">
              <w:t>Days</w:t>
            </w:r>
            <w:r w:rsidRPr="00FC4D3D">
              <w:rPr>
                <w:vertAlign w:val="superscript"/>
              </w:rPr>
              <w:t>1</w:t>
            </w:r>
            <w:r w:rsidRPr="00FC4D3D">
              <w:t xml:space="preserve"> to submit report </w:t>
            </w:r>
          </w:p>
        </w:tc>
        <w:tc>
          <w:tcPr>
            <w:tcW w:w="2748" w:type="dxa"/>
          </w:tcPr>
          <w:p w:rsidR="00FC4D3D" w:rsidRPr="00FC4D3D" w:rsidRDefault="00FC4D3D" w:rsidP="00FC4D3D">
            <w:r w:rsidRPr="00FC4D3D">
              <w:t>60 days</w:t>
            </w:r>
          </w:p>
        </w:tc>
        <w:tc>
          <w:tcPr>
            <w:tcW w:w="2683" w:type="dxa"/>
          </w:tcPr>
          <w:p w:rsidR="00FC4D3D" w:rsidRPr="00FC4D3D" w:rsidRDefault="00FC4D3D" w:rsidP="00FC4D3D">
            <w:r w:rsidRPr="00FC4D3D">
              <w:t>30 days</w:t>
            </w:r>
          </w:p>
        </w:tc>
      </w:tr>
      <w:tr w:rsidR="00FC4D3D" w:rsidRPr="00FC4D3D" w:rsidTr="00224535">
        <w:trPr>
          <w:jc w:val="center"/>
        </w:trPr>
        <w:tc>
          <w:tcPr>
            <w:tcW w:w="2816" w:type="dxa"/>
          </w:tcPr>
          <w:p w:rsidR="00FC4D3D" w:rsidRPr="00FC4D3D" w:rsidRDefault="00FC4D3D" w:rsidP="00FC4D3D">
            <w:r w:rsidRPr="00FC4D3D">
              <w:t>From</w:t>
            </w:r>
          </w:p>
        </w:tc>
        <w:tc>
          <w:tcPr>
            <w:tcW w:w="2748" w:type="dxa"/>
          </w:tcPr>
          <w:p w:rsidR="00FC4D3D" w:rsidRPr="00FC4D3D" w:rsidRDefault="00FC4D3D" w:rsidP="00FC4D3D">
            <w:r w:rsidRPr="00FC4D3D">
              <w:t>following the conclusion of hydraulic fracturing</w:t>
            </w:r>
            <w:r w:rsidR="00ED71E4" w:rsidRPr="00ED71E4">
              <w:rPr>
                <w:vertAlign w:val="superscript"/>
              </w:rPr>
              <w:t>2</w:t>
            </w:r>
          </w:p>
        </w:tc>
        <w:tc>
          <w:tcPr>
            <w:tcW w:w="2683" w:type="dxa"/>
          </w:tcPr>
          <w:p w:rsidR="00FC4D3D" w:rsidRPr="00FC4D3D" w:rsidRDefault="00FC4D3D" w:rsidP="00FC4D3D">
            <w:r w:rsidRPr="00FC4D3D">
              <w:t>after completion of the well, when the well is capable of production</w:t>
            </w:r>
          </w:p>
        </w:tc>
      </w:tr>
      <w:tr w:rsidR="00FC4D3D" w:rsidRPr="00FC4D3D" w:rsidTr="00224535">
        <w:trPr>
          <w:jc w:val="center"/>
        </w:trPr>
        <w:tc>
          <w:tcPr>
            <w:tcW w:w="2816" w:type="dxa"/>
          </w:tcPr>
          <w:p w:rsidR="00FC4D3D" w:rsidRPr="00FC4D3D" w:rsidRDefault="00FC4D3D" w:rsidP="00FC4D3D">
            <w:r w:rsidRPr="00FC4D3D">
              <w:t>What</w:t>
            </w:r>
          </w:p>
        </w:tc>
        <w:tc>
          <w:tcPr>
            <w:tcW w:w="2748" w:type="dxa"/>
          </w:tcPr>
          <w:p w:rsidR="00FC4D3D" w:rsidRPr="00FC4D3D" w:rsidRDefault="00FC4D3D" w:rsidP="00FC4D3D">
            <w:r w:rsidRPr="00FC4D3D">
              <w:t>all chemicals that were intentionally added to the stimulation fluid</w:t>
            </w:r>
          </w:p>
        </w:tc>
        <w:tc>
          <w:tcPr>
            <w:tcW w:w="2683" w:type="dxa"/>
          </w:tcPr>
          <w:p w:rsidR="00FC4D3D" w:rsidRPr="00FC4D3D" w:rsidRDefault="00FC4D3D" w:rsidP="00FC4D3D">
            <w:r w:rsidRPr="00FC4D3D">
              <w:t>all chemicals intentionally added to the stimulation fluid</w:t>
            </w:r>
          </w:p>
        </w:tc>
      </w:tr>
      <w:tr w:rsidR="00FC4D3D" w:rsidRPr="00FC4D3D" w:rsidTr="00224535">
        <w:trPr>
          <w:jc w:val="center"/>
        </w:trPr>
        <w:tc>
          <w:tcPr>
            <w:tcW w:w="2816" w:type="dxa"/>
          </w:tcPr>
          <w:p w:rsidR="00FC4D3D" w:rsidRPr="00FC4D3D" w:rsidRDefault="00FC4D3D" w:rsidP="00FC4D3D">
            <w:r w:rsidRPr="00FC4D3D">
              <w:t>Submit additives claimed to be a trade secrets and/or confidential proprietary information</w:t>
            </w:r>
          </w:p>
        </w:tc>
        <w:tc>
          <w:tcPr>
            <w:tcW w:w="2748" w:type="dxa"/>
          </w:tcPr>
          <w:p w:rsidR="00FC4D3D" w:rsidRPr="00FC4D3D" w:rsidRDefault="00FC4D3D" w:rsidP="00FC4D3D"/>
          <w:p w:rsidR="00FC4D3D" w:rsidRPr="00FC4D3D" w:rsidRDefault="00FC4D3D" w:rsidP="00FC4D3D">
            <w:r w:rsidRPr="00FC4D3D">
              <w:t>NO</w:t>
            </w:r>
          </w:p>
          <w:p w:rsidR="00FC4D3D" w:rsidRPr="00FC4D3D" w:rsidRDefault="00FC4D3D" w:rsidP="00FC4D3D"/>
        </w:tc>
        <w:tc>
          <w:tcPr>
            <w:tcW w:w="2683" w:type="dxa"/>
          </w:tcPr>
          <w:p w:rsidR="00FC4D3D" w:rsidRPr="00FC4D3D" w:rsidRDefault="00FC4D3D" w:rsidP="00FC4D3D"/>
          <w:p w:rsidR="00FC4D3D" w:rsidRPr="00FC4D3D" w:rsidRDefault="00FC4D3D" w:rsidP="00FC4D3D">
            <w:r w:rsidRPr="00FC4D3D">
              <w:t>YES</w:t>
            </w:r>
          </w:p>
        </w:tc>
      </w:tr>
      <w:tr w:rsidR="00FC4D3D" w:rsidRPr="00FC4D3D" w:rsidTr="00224535">
        <w:trPr>
          <w:jc w:val="center"/>
        </w:trPr>
        <w:tc>
          <w:tcPr>
            <w:tcW w:w="2816" w:type="dxa"/>
          </w:tcPr>
          <w:p w:rsidR="00FC4D3D" w:rsidRPr="00FC4D3D" w:rsidRDefault="00FC4D3D" w:rsidP="00FC4D3D">
            <w:r w:rsidRPr="00FC4D3D">
              <w:t>To</w:t>
            </w:r>
          </w:p>
        </w:tc>
        <w:tc>
          <w:tcPr>
            <w:tcW w:w="2748" w:type="dxa"/>
          </w:tcPr>
          <w:p w:rsidR="00FC4D3D" w:rsidRPr="00FC4D3D" w:rsidRDefault="00FC4D3D" w:rsidP="00FC4D3D">
            <w:r w:rsidRPr="00FC4D3D">
              <w:t>Hydraulic Fracturing Chemical Registry -FracFocus©</w:t>
            </w:r>
          </w:p>
          <w:p w:rsidR="00FC4D3D" w:rsidRPr="00FC4D3D" w:rsidRDefault="00122A48" w:rsidP="00FC4D3D">
            <w:hyperlink r:id="rId7" w:history="1">
              <w:r w:rsidR="00FC4D3D" w:rsidRPr="00FC4D3D">
                <w:rPr>
                  <w:rStyle w:val="Hyperlink"/>
                </w:rPr>
                <w:t>http://www.fracfocus.org</w:t>
              </w:r>
            </w:hyperlink>
            <w:r w:rsidR="00FC4D3D" w:rsidRPr="00FC4D3D">
              <w:t xml:space="preserve"> </w:t>
            </w:r>
          </w:p>
        </w:tc>
        <w:tc>
          <w:tcPr>
            <w:tcW w:w="2683" w:type="dxa"/>
          </w:tcPr>
          <w:p w:rsidR="00FC4D3D" w:rsidRPr="00FC4D3D" w:rsidRDefault="00FC4D3D" w:rsidP="00FC4D3D">
            <w:r w:rsidRPr="00FC4D3D">
              <w:t>Pennsylvania Department of Environmental Protection</w:t>
            </w:r>
            <w:r w:rsidR="00ED71E4">
              <w:t xml:space="preserve"> - eLibrary</w:t>
            </w:r>
          </w:p>
        </w:tc>
      </w:tr>
      <w:tr w:rsidR="00FC4D3D" w:rsidRPr="00FC4D3D" w:rsidTr="00224535">
        <w:trPr>
          <w:jc w:val="center"/>
        </w:trPr>
        <w:tc>
          <w:tcPr>
            <w:tcW w:w="2816" w:type="dxa"/>
          </w:tcPr>
          <w:p w:rsidR="00FC4D3D" w:rsidRPr="00FC4D3D" w:rsidRDefault="00FC4D3D" w:rsidP="00FC4D3D">
            <w:r w:rsidRPr="00FC4D3D">
              <w:t>Form</w:t>
            </w:r>
          </w:p>
        </w:tc>
        <w:tc>
          <w:tcPr>
            <w:tcW w:w="2748" w:type="dxa"/>
          </w:tcPr>
          <w:p w:rsidR="00FC4D3D" w:rsidRPr="00FC4D3D" w:rsidRDefault="00FC4D3D" w:rsidP="00FC4D3D">
            <w:r w:rsidRPr="00FC4D3D">
              <w:t>Electronic (XML format)</w:t>
            </w:r>
          </w:p>
        </w:tc>
        <w:tc>
          <w:tcPr>
            <w:tcW w:w="2683" w:type="dxa"/>
          </w:tcPr>
          <w:p w:rsidR="00FC4D3D" w:rsidRPr="00FC4D3D" w:rsidRDefault="00FC4D3D" w:rsidP="00FC4D3D">
            <w:r w:rsidRPr="00FC4D3D">
              <w:t>8000-FM-OOGM0004b</w:t>
            </w:r>
          </w:p>
        </w:tc>
      </w:tr>
    </w:tbl>
    <w:p w:rsidR="00FC4D3D" w:rsidRPr="00FC4D3D" w:rsidRDefault="00FC4D3D" w:rsidP="00FC4D3D"/>
    <w:p w:rsidR="00FC4D3D" w:rsidRDefault="00FC4D3D" w:rsidP="00FC4D3D">
      <w:r w:rsidRPr="00FC4D3D">
        <w:rPr>
          <w:vertAlign w:val="superscript"/>
        </w:rPr>
        <w:t>1</w:t>
      </w:r>
      <w:r w:rsidRPr="00FC4D3D">
        <w:t xml:space="preserve"> Days = Calendar Days</w:t>
      </w:r>
    </w:p>
    <w:p w:rsidR="00ED71E4" w:rsidRPr="00FC4D3D" w:rsidRDefault="00ED71E4" w:rsidP="00FC4D3D">
      <w:r>
        <w:rPr>
          <w:vertAlign w:val="superscript"/>
        </w:rPr>
        <w:t xml:space="preserve">2 </w:t>
      </w:r>
      <w:r w:rsidRPr="00ED71E4">
        <w:t>Hydraulic Fracturing is the fracturing of rock by pressurized fluids.</w:t>
      </w:r>
    </w:p>
    <w:p w:rsidR="00F21625" w:rsidRPr="00F21625" w:rsidRDefault="00F21625" w:rsidP="00F21625">
      <w:r w:rsidRPr="00F21625">
        <w:t xml:space="preserve"> </w:t>
      </w:r>
    </w:p>
    <w:p w:rsidR="00F21625" w:rsidRDefault="00F21625" w:rsidP="00F21625"/>
    <w:p w:rsidR="00F21625" w:rsidRDefault="00F21625" w:rsidP="00F21625"/>
    <w:p w:rsidR="005D245F" w:rsidRDefault="005D245F">
      <w:pPr>
        <w:spacing w:after="200" w:line="276" w:lineRule="auto"/>
      </w:pPr>
      <w:r>
        <w:br w:type="page"/>
      </w:r>
    </w:p>
    <w:p w:rsidR="00F21625" w:rsidRPr="00F21625" w:rsidRDefault="00F21625" w:rsidP="00F21625"/>
    <w:p w:rsidR="00F21625" w:rsidRPr="008F476A" w:rsidRDefault="00F21625" w:rsidP="00F21625">
      <w:pPr>
        <w:rPr>
          <w:b/>
        </w:rPr>
      </w:pPr>
      <w:r w:rsidRPr="008F476A">
        <w:rPr>
          <w:b/>
        </w:rPr>
        <w:t>Question:</w:t>
      </w:r>
    </w:p>
    <w:p w:rsidR="005D245F" w:rsidRDefault="00F21625" w:rsidP="00F21625">
      <w:r w:rsidRPr="00F21625">
        <w:t xml:space="preserve">Are operators (or their service companies) required to submit </w:t>
      </w:r>
      <w:r w:rsidR="005D245F">
        <w:t xml:space="preserve">to the department </w:t>
      </w:r>
      <w:r w:rsidRPr="00F21625">
        <w:t>chemical additives</w:t>
      </w:r>
      <w:r w:rsidR="00BA53AE">
        <w:t xml:space="preserve"> to the hydraulic fracturing fluid</w:t>
      </w:r>
      <w:r w:rsidRPr="00F21625">
        <w:t xml:space="preserve"> </w:t>
      </w:r>
      <w:r w:rsidR="005D245F">
        <w:t xml:space="preserve">that are being claimed under </w:t>
      </w:r>
      <w:r w:rsidR="005D245F" w:rsidRPr="005D245F">
        <w:t xml:space="preserve">the act of February 14, 2008 (P.L.6, No.3), known as the Right-to-Know Law </w:t>
      </w:r>
      <w:r w:rsidR="005D245F">
        <w:t>(</w:t>
      </w:r>
      <w:r w:rsidR="005D245F" w:rsidRPr="005D245F">
        <w:t>or other applicable State law</w:t>
      </w:r>
      <w:r w:rsidR="005D245F">
        <w:t>) as</w:t>
      </w:r>
      <w:r w:rsidR="005D245F" w:rsidRPr="005D245F">
        <w:t xml:space="preserve"> containing a trade secret or confidential proprietary information</w:t>
      </w:r>
      <w:r w:rsidR="005D245F">
        <w:t>?</w:t>
      </w:r>
    </w:p>
    <w:p w:rsidR="0056188B" w:rsidRDefault="0056188B" w:rsidP="00F21625"/>
    <w:p w:rsidR="00F21625" w:rsidRDefault="0056188B" w:rsidP="00F21625">
      <w:r>
        <w:t>Yes</w:t>
      </w:r>
      <w:r w:rsidR="005D245F" w:rsidRPr="005D245F">
        <w:t>.</w:t>
      </w:r>
      <w:r w:rsidR="00085527">
        <w:t xml:space="preserve">  </w:t>
      </w:r>
    </w:p>
    <w:p w:rsidR="00AA665C" w:rsidRDefault="00AA665C" w:rsidP="00AA665C">
      <w:pPr>
        <w:rPr>
          <w:b/>
          <w:bCs/>
        </w:rPr>
      </w:pPr>
      <w:r w:rsidRPr="00CB6EE6">
        <w:rPr>
          <w:b/>
          <w:bCs/>
        </w:rPr>
        <w:t>§ 3222. Well reporting requirements.</w:t>
      </w:r>
    </w:p>
    <w:p w:rsidR="00F21625" w:rsidRDefault="00F21625" w:rsidP="00F21625">
      <w:r w:rsidRPr="00F21625">
        <w:rPr>
          <w:b/>
          <w:bCs/>
        </w:rPr>
        <w:t>(b.2) Trade secret or confidential proprietary information.--</w:t>
      </w:r>
      <w:r w:rsidRPr="00F21625">
        <w:t>When an operator submits its stimulation record under subsection (b.1), the operator may designate specific portions of the stimulation record as containing a trade secret or confidential proprietary information. The department shall prevent disclosure of a designated trade secret or confidential proprietary information to the extent permitted by the act of February 14, 2008 (P.L.6, No.3), known as the Right-to-Know Law or other applicable State law.</w:t>
      </w:r>
    </w:p>
    <w:p w:rsidR="00AA665C" w:rsidRDefault="00AA665C" w:rsidP="00F21625"/>
    <w:p w:rsidR="00AA665C" w:rsidRPr="00AA665C" w:rsidRDefault="00AA665C" w:rsidP="00AA665C">
      <w:pPr>
        <w:rPr>
          <w:b/>
          <w:bCs/>
        </w:rPr>
      </w:pPr>
      <w:bookmarkStart w:id="1" w:name="78.122."/>
      <w:r w:rsidRPr="00AA665C">
        <w:rPr>
          <w:b/>
          <w:bCs/>
        </w:rPr>
        <w:t>§ 78.122. Well record and completion report.</w:t>
      </w:r>
    </w:p>
    <w:bookmarkEnd w:id="1"/>
    <w:p w:rsidR="00AA665C" w:rsidRDefault="00AA665C" w:rsidP="00F21625">
      <w:r w:rsidRPr="00AA665C">
        <w:t>(c) When the well operator submits a stimulation record, it may designate specific portions of the stimulation record as containing a trade secret or confidential proprietary information. The Department will prevent disclosure of the designated confidential information to the extent permitted under the Right-to-Know Law (65 P. S. § § 67.101—67.3103).</w:t>
      </w:r>
    </w:p>
    <w:p w:rsidR="009858D0" w:rsidRDefault="009858D0" w:rsidP="00F21625"/>
    <w:p w:rsidR="009858D0" w:rsidRPr="00F21625" w:rsidRDefault="00AA665C" w:rsidP="00F21625">
      <w:r>
        <w:t>Under these provisions, t</w:t>
      </w:r>
      <w:r w:rsidR="009858D0">
        <w:t xml:space="preserve">he </w:t>
      </w:r>
      <w:r w:rsidR="0056188B" w:rsidRPr="00F21625">
        <w:t xml:space="preserve">specific portions of the stimulation record </w:t>
      </w:r>
      <w:r w:rsidR="00F50329">
        <w:t xml:space="preserve">being designated </w:t>
      </w:r>
      <w:r>
        <w:t xml:space="preserve">by the operator (or service company) </w:t>
      </w:r>
      <w:r w:rsidR="0056188B" w:rsidRPr="00F21625">
        <w:t>as containing a trade secret or confidential proprietary information</w:t>
      </w:r>
      <w:r w:rsidR="00F50329">
        <w:t xml:space="preserve"> are to be submitted on the Completion Report, as provided by the department on the PA DEP web site. This designated information must be </w:t>
      </w:r>
      <w:r w:rsidR="00085527">
        <w:t>detailed on the page (and as many copies of the pages as necessary for all the information or for all the service providers)</w:t>
      </w:r>
      <w:r w:rsidR="0056188B">
        <w:t xml:space="preserve"> </w:t>
      </w:r>
      <w:r w:rsidR="00085527">
        <w:t>titled “CONFIDENTIAL -STIMULATION FLUID ADDITIVES - CONFIDENTIAL”.</w:t>
      </w:r>
      <w:r>
        <w:t xml:space="preserve">  The operator is responsible for the submittal of this information even if the required information is being submitted by a third party.</w:t>
      </w:r>
    </w:p>
    <w:p w:rsidR="00F21625" w:rsidRPr="00F21625" w:rsidRDefault="00F21625" w:rsidP="00F21625">
      <w:r w:rsidRPr="00F21625">
        <w:t xml:space="preserve"> </w:t>
      </w:r>
    </w:p>
    <w:p w:rsidR="00F21625" w:rsidRPr="00F21625" w:rsidRDefault="00F21625" w:rsidP="00F21625"/>
    <w:p w:rsidR="00F21625" w:rsidRPr="00F21625" w:rsidRDefault="00F21625" w:rsidP="00F21625"/>
    <w:p w:rsidR="00F21625" w:rsidRDefault="00F21625"/>
    <w:sectPr w:rsidR="00F21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25"/>
    <w:rsid w:val="000372C6"/>
    <w:rsid w:val="00063328"/>
    <w:rsid w:val="00085527"/>
    <w:rsid w:val="001A440C"/>
    <w:rsid w:val="001E4E08"/>
    <w:rsid w:val="001F5BBB"/>
    <w:rsid w:val="002B2D4A"/>
    <w:rsid w:val="003A1F51"/>
    <w:rsid w:val="00407432"/>
    <w:rsid w:val="004106B6"/>
    <w:rsid w:val="004600FA"/>
    <w:rsid w:val="00493287"/>
    <w:rsid w:val="004F59FC"/>
    <w:rsid w:val="0052773B"/>
    <w:rsid w:val="0056188B"/>
    <w:rsid w:val="00597C24"/>
    <w:rsid w:val="005B0994"/>
    <w:rsid w:val="005D245F"/>
    <w:rsid w:val="007104A7"/>
    <w:rsid w:val="00836A70"/>
    <w:rsid w:val="008504DF"/>
    <w:rsid w:val="008F476A"/>
    <w:rsid w:val="009858D0"/>
    <w:rsid w:val="00994CE0"/>
    <w:rsid w:val="009C4E9C"/>
    <w:rsid w:val="009F0B2A"/>
    <w:rsid w:val="00AA665C"/>
    <w:rsid w:val="00B23979"/>
    <w:rsid w:val="00BA53AE"/>
    <w:rsid w:val="00DA29BC"/>
    <w:rsid w:val="00E90A9D"/>
    <w:rsid w:val="00ED71E4"/>
    <w:rsid w:val="00ED7AA8"/>
    <w:rsid w:val="00F21625"/>
    <w:rsid w:val="00F37873"/>
    <w:rsid w:val="00F415D7"/>
    <w:rsid w:val="00F50329"/>
    <w:rsid w:val="00F576A2"/>
    <w:rsid w:val="00F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6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6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9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acfocu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racfocusdata.org/Account/RegisterOperator.aspx" TargetMode="External"/><Relationship Id="rId5" Type="http://schemas.openxmlformats.org/officeDocument/2006/relationships/hyperlink" Target="http://www.fracfocu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</dc:creator>
  <cp:lastModifiedBy>Roger</cp:lastModifiedBy>
  <cp:revision>3</cp:revision>
  <cp:lastPrinted>2015-01-13T13:25:00Z</cp:lastPrinted>
  <dcterms:created xsi:type="dcterms:W3CDTF">2015-01-13T13:25:00Z</dcterms:created>
  <dcterms:modified xsi:type="dcterms:W3CDTF">2015-01-13T13:26:00Z</dcterms:modified>
</cp:coreProperties>
</file>