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3A" w:rsidRPr="003D783A" w:rsidRDefault="003D783A" w:rsidP="003D783A">
      <w:pPr>
        <w:rPr>
          <w:rFonts w:ascii="Times New Roman" w:hAnsi="Times New Roman" w:cs="Times New Roman"/>
          <w:sz w:val="20"/>
          <w:szCs w:val="20"/>
        </w:rPr>
      </w:pPr>
      <w:r w:rsidRPr="003D783A">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-1270</wp:posOffset>
            </wp:positionH>
            <wp:positionV relativeFrom="paragraph">
              <wp:posOffset>58420</wp:posOffset>
            </wp:positionV>
            <wp:extent cx="3192145" cy="607060"/>
            <wp:effectExtent l="19050" t="0" r="825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 Chamber Primary Short 150-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2145" cy="607060"/>
                    </a:xfrm>
                    <a:prstGeom prst="rect">
                      <a:avLst/>
                    </a:prstGeom>
                  </pic:spPr>
                </pic:pic>
              </a:graphicData>
            </a:graphic>
          </wp:anchor>
        </w:drawing>
      </w:r>
      <w:r w:rsidRPr="003D783A">
        <w:rPr>
          <w:rFonts w:ascii="Times New Roman" w:hAnsi="Times New Roman" w:cs="Times New Roman"/>
          <w:sz w:val="20"/>
          <w:szCs w:val="20"/>
        </w:rPr>
        <w:t>417 Walnut Street</w:t>
      </w:r>
    </w:p>
    <w:p w:rsidR="003D783A" w:rsidRPr="003D783A" w:rsidRDefault="003D783A" w:rsidP="003D783A">
      <w:pPr>
        <w:rPr>
          <w:rFonts w:ascii="Times New Roman" w:hAnsi="Times New Roman" w:cs="Times New Roman"/>
          <w:sz w:val="20"/>
          <w:szCs w:val="20"/>
        </w:rPr>
      </w:pPr>
      <w:r w:rsidRPr="003D783A">
        <w:rPr>
          <w:rFonts w:ascii="Times New Roman" w:hAnsi="Times New Roman" w:cs="Times New Roman"/>
          <w:sz w:val="20"/>
          <w:szCs w:val="20"/>
        </w:rPr>
        <w:t>Harrisburg, PA 17101</w:t>
      </w:r>
      <w:r w:rsidRPr="003D783A">
        <w:rPr>
          <w:rFonts w:ascii="Times New Roman" w:hAnsi="Times New Roman" w:cs="Times New Roman"/>
          <w:sz w:val="20"/>
          <w:szCs w:val="20"/>
        </w:rPr>
        <w:br/>
        <w:t>717 255-3252 / 800 225-7224</w:t>
      </w:r>
    </w:p>
    <w:p w:rsidR="003D783A" w:rsidRPr="003D783A" w:rsidRDefault="003D783A" w:rsidP="003D783A">
      <w:pPr>
        <w:rPr>
          <w:rFonts w:ascii="Times New Roman" w:hAnsi="Times New Roman" w:cs="Times New Roman"/>
          <w:sz w:val="20"/>
          <w:szCs w:val="20"/>
        </w:rPr>
      </w:pPr>
      <w:r w:rsidRPr="003D783A">
        <w:rPr>
          <w:rFonts w:ascii="Times New Roman" w:hAnsi="Times New Roman" w:cs="Times New Roman"/>
          <w:sz w:val="20"/>
          <w:szCs w:val="20"/>
        </w:rPr>
        <w:t>FAX 717 255-3298</w:t>
      </w:r>
    </w:p>
    <w:p w:rsidR="003D783A" w:rsidRPr="003D783A" w:rsidRDefault="003D783A" w:rsidP="003D783A">
      <w:pPr>
        <w:rPr>
          <w:rFonts w:ascii="Times New Roman" w:hAnsi="Times New Roman" w:cs="Times New Roman"/>
          <w:sz w:val="20"/>
          <w:szCs w:val="20"/>
        </w:rPr>
      </w:pPr>
      <w:r w:rsidRPr="003D783A">
        <w:rPr>
          <w:rFonts w:ascii="Times New Roman" w:hAnsi="Times New Roman" w:cs="Times New Roman"/>
          <w:sz w:val="20"/>
          <w:szCs w:val="20"/>
        </w:rPr>
        <w:t>www.pachamber.org</w:t>
      </w:r>
    </w:p>
    <w:p w:rsidR="003D783A" w:rsidRDefault="003D783A" w:rsidP="001B6D21">
      <w:pPr>
        <w:rPr>
          <w:rFonts w:ascii="Times New Roman" w:hAnsi="Times New Roman" w:cs="Times New Roman"/>
        </w:rPr>
      </w:pPr>
    </w:p>
    <w:p w:rsidR="003D783A" w:rsidRDefault="003D783A" w:rsidP="003D783A">
      <w:pPr>
        <w:rPr>
          <w:rFonts w:ascii="Times New Roman" w:hAnsi="Times New Roman" w:cs="Times New Roman"/>
        </w:rPr>
      </w:pPr>
    </w:p>
    <w:p w:rsidR="003D783A" w:rsidRPr="003D783A" w:rsidRDefault="003D783A" w:rsidP="003D783A">
      <w:pPr>
        <w:rPr>
          <w:rFonts w:ascii="Times New Roman" w:hAnsi="Times New Roman" w:cs="Times New Roman"/>
        </w:rPr>
      </w:pPr>
      <w:r w:rsidRPr="003D783A">
        <w:rPr>
          <w:rFonts w:ascii="Times New Roman" w:hAnsi="Times New Roman" w:cs="Times New Roman"/>
        </w:rPr>
        <w:t>Mr. Joseph Buczynski, P.E.</w:t>
      </w:r>
      <w:r w:rsidRPr="003D783A">
        <w:rPr>
          <w:rFonts w:ascii="Times New Roman" w:hAnsi="Times New Roman" w:cs="Times New Roman"/>
        </w:rPr>
        <w:tab/>
      </w:r>
      <w:r w:rsidRPr="003D783A">
        <w:rPr>
          <w:rFonts w:ascii="Times New Roman" w:hAnsi="Times New Roman" w:cs="Times New Roman"/>
        </w:rPr>
        <w:tab/>
      </w:r>
      <w:r w:rsidRPr="003D783A">
        <w:rPr>
          <w:rFonts w:ascii="Times New Roman" w:hAnsi="Times New Roman" w:cs="Times New Roman"/>
        </w:rPr>
        <w:tab/>
      </w:r>
      <w:r w:rsidRPr="003D783A">
        <w:rPr>
          <w:rFonts w:ascii="Times New Roman" w:hAnsi="Times New Roman" w:cs="Times New Roman"/>
        </w:rPr>
        <w:tab/>
      </w:r>
      <w:r w:rsidRPr="003D783A">
        <w:rPr>
          <w:rFonts w:ascii="Times New Roman" w:hAnsi="Times New Roman" w:cs="Times New Roman"/>
        </w:rPr>
        <w:tab/>
      </w:r>
      <w:r w:rsidRPr="003D783A">
        <w:rPr>
          <w:rFonts w:ascii="Times New Roman" w:hAnsi="Times New Roman" w:cs="Times New Roman"/>
        </w:rPr>
        <w:tab/>
      </w:r>
      <w:r w:rsidRPr="003D783A">
        <w:rPr>
          <w:rFonts w:ascii="Times New Roman" w:hAnsi="Times New Roman" w:cs="Times New Roman"/>
        </w:rPr>
        <w:tab/>
        <w:t xml:space="preserve">June </w:t>
      </w:r>
      <w:r w:rsidR="009F777C">
        <w:rPr>
          <w:rFonts w:ascii="Times New Roman" w:hAnsi="Times New Roman" w:cs="Times New Roman"/>
        </w:rPr>
        <w:t>2</w:t>
      </w:r>
      <w:r w:rsidR="001B3FA1">
        <w:rPr>
          <w:rFonts w:ascii="Times New Roman" w:hAnsi="Times New Roman" w:cs="Times New Roman"/>
        </w:rPr>
        <w:t>6</w:t>
      </w:r>
      <w:r w:rsidRPr="003D783A">
        <w:rPr>
          <w:rFonts w:ascii="Times New Roman" w:hAnsi="Times New Roman" w:cs="Times New Roman"/>
        </w:rPr>
        <w:t>, 2017</w:t>
      </w:r>
    </w:p>
    <w:p w:rsidR="003D783A" w:rsidRPr="003D783A" w:rsidRDefault="003D783A" w:rsidP="003D783A">
      <w:pPr>
        <w:rPr>
          <w:rFonts w:ascii="Times New Roman" w:hAnsi="Times New Roman" w:cs="Times New Roman"/>
        </w:rPr>
      </w:pPr>
      <w:r w:rsidRPr="003D783A">
        <w:rPr>
          <w:rFonts w:ascii="Times New Roman" w:hAnsi="Times New Roman" w:cs="Times New Roman"/>
        </w:rPr>
        <w:t>Environmental Program Manager</w:t>
      </w:r>
    </w:p>
    <w:p w:rsidR="003D783A" w:rsidRPr="003D783A" w:rsidRDefault="003D783A" w:rsidP="003D783A">
      <w:pPr>
        <w:rPr>
          <w:rFonts w:ascii="Times New Roman" w:hAnsi="Times New Roman" w:cs="Times New Roman"/>
        </w:rPr>
      </w:pPr>
      <w:r w:rsidRPr="003D783A">
        <w:rPr>
          <w:rFonts w:ascii="Times New Roman" w:hAnsi="Times New Roman" w:cs="Times New Roman"/>
        </w:rPr>
        <w:t>Waterways and Wetlands Program</w:t>
      </w:r>
    </w:p>
    <w:p w:rsidR="003D783A" w:rsidRPr="003D783A" w:rsidRDefault="003D783A" w:rsidP="003D783A">
      <w:pPr>
        <w:rPr>
          <w:rFonts w:ascii="Times New Roman" w:hAnsi="Times New Roman" w:cs="Times New Roman"/>
        </w:rPr>
      </w:pPr>
      <w:r w:rsidRPr="003D783A">
        <w:rPr>
          <w:rFonts w:ascii="Times New Roman" w:hAnsi="Times New Roman" w:cs="Times New Roman"/>
        </w:rPr>
        <w:t>Department of Environmental Protection</w:t>
      </w:r>
    </w:p>
    <w:p w:rsidR="003D783A" w:rsidRPr="003D783A" w:rsidRDefault="003D783A" w:rsidP="003D783A">
      <w:pPr>
        <w:rPr>
          <w:rFonts w:ascii="Times New Roman" w:hAnsi="Times New Roman" w:cs="Times New Roman"/>
        </w:rPr>
      </w:pPr>
      <w:r w:rsidRPr="003D783A">
        <w:rPr>
          <w:rFonts w:ascii="Times New Roman" w:hAnsi="Times New Roman" w:cs="Times New Roman"/>
        </w:rPr>
        <w:t>Northeast Regional Office</w:t>
      </w:r>
    </w:p>
    <w:p w:rsidR="003D783A" w:rsidRPr="003D783A" w:rsidRDefault="003D783A" w:rsidP="003D783A">
      <w:pPr>
        <w:rPr>
          <w:rFonts w:ascii="Times New Roman" w:hAnsi="Times New Roman" w:cs="Times New Roman"/>
        </w:rPr>
      </w:pPr>
      <w:r w:rsidRPr="003D783A">
        <w:rPr>
          <w:rFonts w:ascii="Times New Roman" w:hAnsi="Times New Roman" w:cs="Times New Roman"/>
        </w:rPr>
        <w:t>2 Public Square</w:t>
      </w:r>
    </w:p>
    <w:p w:rsidR="003D783A" w:rsidRPr="003D783A" w:rsidRDefault="003D783A" w:rsidP="003D783A">
      <w:pPr>
        <w:rPr>
          <w:rFonts w:ascii="Times New Roman" w:hAnsi="Times New Roman" w:cs="Times New Roman"/>
        </w:rPr>
      </w:pPr>
      <w:r w:rsidRPr="003D783A">
        <w:rPr>
          <w:rFonts w:ascii="Times New Roman" w:hAnsi="Times New Roman" w:cs="Times New Roman"/>
        </w:rPr>
        <w:t>Wilkes-Barre, PA 18701</w:t>
      </w:r>
    </w:p>
    <w:p w:rsidR="003D783A" w:rsidRPr="003D783A" w:rsidRDefault="003D783A" w:rsidP="003D783A">
      <w:pPr>
        <w:rPr>
          <w:rFonts w:ascii="Times New Roman" w:hAnsi="Times New Roman" w:cs="Times New Roman"/>
        </w:rPr>
      </w:pPr>
      <w:bookmarkStart w:id="0" w:name="_GoBack"/>
      <w:bookmarkEnd w:id="0"/>
    </w:p>
    <w:p w:rsidR="003D783A" w:rsidRPr="003D783A" w:rsidRDefault="003D783A" w:rsidP="003D783A">
      <w:pPr>
        <w:rPr>
          <w:rFonts w:ascii="Times New Roman" w:hAnsi="Times New Roman" w:cs="Times New Roman"/>
        </w:rPr>
      </w:pPr>
      <w:r w:rsidRPr="003D783A">
        <w:rPr>
          <w:rFonts w:ascii="Times New Roman" w:hAnsi="Times New Roman" w:cs="Times New Roman"/>
        </w:rPr>
        <w:t>Mr. David Garg</w:t>
      </w:r>
      <w:r w:rsidR="00747923">
        <w:rPr>
          <w:rFonts w:ascii="Times New Roman" w:hAnsi="Times New Roman" w:cs="Times New Roman"/>
        </w:rPr>
        <w:t xml:space="preserve">, P.E. </w:t>
      </w:r>
    </w:p>
    <w:p w:rsidR="003D783A" w:rsidRPr="003D783A" w:rsidRDefault="003D783A" w:rsidP="003D783A">
      <w:pPr>
        <w:rPr>
          <w:rFonts w:ascii="Times New Roman" w:hAnsi="Times New Roman" w:cs="Times New Roman"/>
        </w:rPr>
      </w:pPr>
      <w:r w:rsidRPr="003D783A">
        <w:rPr>
          <w:rFonts w:ascii="Times New Roman" w:hAnsi="Times New Roman" w:cs="Times New Roman"/>
        </w:rPr>
        <w:t>Environmental Program Manager</w:t>
      </w:r>
    </w:p>
    <w:p w:rsidR="003D783A" w:rsidRPr="003D783A" w:rsidRDefault="003D783A" w:rsidP="003D783A">
      <w:pPr>
        <w:rPr>
          <w:rFonts w:ascii="Times New Roman" w:hAnsi="Times New Roman" w:cs="Times New Roman"/>
        </w:rPr>
      </w:pPr>
      <w:r w:rsidRPr="003D783A">
        <w:rPr>
          <w:rFonts w:ascii="Times New Roman" w:hAnsi="Times New Roman" w:cs="Times New Roman"/>
        </w:rPr>
        <w:t>Waterways and Wetlands Program</w:t>
      </w:r>
    </w:p>
    <w:p w:rsidR="003D783A" w:rsidRPr="003D783A" w:rsidRDefault="003D783A" w:rsidP="003D783A">
      <w:pPr>
        <w:rPr>
          <w:rFonts w:ascii="Times New Roman" w:hAnsi="Times New Roman" w:cs="Times New Roman"/>
        </w:rPr>
      </w:pPr>
      <w:r w:rsidRPr="003D783A">
        <w:rPr>
          <w:rFonts w:ascii="Times New Roman" w:hAnsi="Times New Roman" w:cs="Times New Roman"/>
        </w:rPr>
        <w:t>Department of Environmental Protection</w:t>
      </w:r>
    </w:p>
    <w:p w:rsidR="003D783A" w:rsidRPr="003D783A" w:rsidRDefault="003D783A" w:rsidP="003D783A">
      <w:pPr>
        <w:rPr>
          <w:rFonts w:ascii="Times New Roman" w:hAnsi="Times New Roman" w:cs="Times New Roman"/>
        </w:rPr>
      </w:pPr>
      <w:r w:rsidRPr="003D783A">
        <w:rPr>
          <w:rFonts w:ascii="Times New Roman" w:hAnsi="Times New Roman" w:cs="Times New Roman"/>
        </w:rPr>
        <w:t>North-central Regional Office</w:t>
      </w:r>
    </w:p>
    <w:p w:rsidR="003D783A" w:rsidRPr="003D783A" w:rsidRDefault="003D783A" w:rsidP="003D783A">
      <w:pPr>
        <w:rPr>
          <w:rFonts w:ascii="Times New Roman" w:hAnsi="Times New Roman" w:cs="Times New Roman"/>
        </w:rPr>
      </w:pPr>
      <w:r w:rsidRPr="003D783A">
        <w:rPr>
          <w:rFonts w:ascii="Times New Roman" w:hAnsi="Times New Roman" w:cs="Times New Roman"/>
        </w:rPr>
        <w:t>208 West Third Street, Suite 101</w:t>
      </w:r>
    </w:p>
    <w:p w:rsidR="003D783A" w:rsidRPr="003D783A" w:rsidRDefault="003D783A" w:rsidP="003D783A">
      <w:pPr>
        <w:rPr>
          <w:rFonts w:ascii="Times New Roman" w:hAnsi="Times New Roman" w:cs="Times New Roman"/>
        </w:rPr>
      </w:pPr>
      <w:r w:rsidRPr="003D783A">
        <w:rPr>
          <w:rFonts w:ascii="Times New Roman" w:hAnsi="Times New Roman" w:cs="Times New Roman"/>
        </w:rPr>
        <w:t>Williamsport, PA 17701</w:t>
      </w:r>
    </w:p>
    <w:p w:rsidR="003D783A" w:rsidRDefault="003D783A" w:rsidP="001B6D21">
      <w:pPr>
        <w:rPr>
          <w:rFonts w:ascii="Times New Roman" w:hAnsi="Times New Roman" w:cs="Times New Roman"/>
        </w:rPr>
      </w:pPr>
    </w:p>
    <w:p w:rsidR="003D783A" w:rsidRPr="00850BCF" w:rsidRDefault="003D783A" w:rsidP="001B6D21">
      <w:pPr>
        <w:rPr>
          <w:rFonts w:ascii="Times New Roman" w:hAnsi="Times New Roman" w:cs="Times New Roman"/>
          <w:b/>
        </w:rPr>
      </w:pPr>
      <w:r w:rsidRPr="00850BCF">
        <w:rPr>
          <w:rFonts w:ascii="Times New Roman" w:hAnsi="Times New Roman" w:cs="Times New Roman"/>
          <w:b/>
        </w:rPr>
        <w:t>RE:</w:t>
      </w:r>
      <w:r w:rsidR="00850BCF" w:rsidRPr="00850BCF">
        <w:rPr>
          <w:rFonts w:ascii="Times New Roman" w:hAnsi="Times New Roman" w:cs="Times New Roman"/>
          <w:b/>
        </w:rPr>
        <w:t xml:space="preserve"> Transcontinental Gas Pipe Line Company, LLC’s Chapter 105 Water Obstruction and Encroachment </w:t>
      </w:r>
      <w:r w:rsidR="00800C78">
        <w:rPr>
          <w:rFonts w:ascii="Times New Roman" w:hAnsi="Times New Roman" w:cs="Times New Roman"/>
          <w:b/>
        </w:rPr>
        <w:t>P</w:t>
      </w:r>
      <w:r w:rsidR="00850BCF" w:rsidRPr="00850BCF">
        <w:rPr>
          <w:rFonts w:ascii="Times New Roman" w:hAnsi="Times New Roman" w:cs="Times New Roman"/>
          <w:b/>
        </w:rPr>
        <w:t xml:space="preserve">ermit </w:t>
      </w:r>
      <w:r w:rsidR="00800C78">
        <w:rPr>
          <w:rFonts w:ascii="Times New Roman" w:hAnsi="Times New Roman" w:cs="Times New Roman"/>
          <w:b/>
        </w:rPr>
        <w:t>A</w:t>
      </w:r>
      <w:r w:rsidR="00850BCF" w:rsidRPr="00850BCF">
        <w:rPr>
          <w:rFonts w:ascii="Times New Roman" w:hAnsi="Times New Roman" w:cs="Times New Roman"/>
          <w:b/>
        </w:rPr>
        <w:t>pplications and Chapter 102 Erosion and Sediment Control General Permit for Earth Disturbance Associated with Oil and Gas Exploration, Production, Processing or Treatment Operations or Transmission Facilities (ESCGP-2) for the Atlantic Sunrise Project</w:t>
      </w:r>
    </w:p>
    <w:p w:rsidR="003D783A" w:rsidRDefault="003D783A" w:rsidP="001B6D21">
      <w:pPr>
        <w:rPr>
          <w:rFonts w:ascii="Times New Roman" w:hAnsi="Times New Roman" w:cs="Times New Roman"/>
        </w:rPr>
      </w:pPr>
    </w:p>
    <w:p w:rsidR="00F84901" w:rsidRDefault="00CE5B40" w:rsidP="001B6D21">
      <w:pPr>
        <w:rPr>
          <w:rFonts w:ascii="Times New Roman" w:hAnsi="Times New Roman" w:cs="Times New Roman"/>
        </w:rPr>
      </w:pPr>
      <w:r w:rsidRPr="003D783A">
        <w:rPr>
          <w:rFonts w:ascii="Times New Roman" w:hAnsi="Times New Roman" w:cs="Times New Roman"/>
        </w:rPr>
        <w:t>On behalf of the Pennsylvania Chamber of Business and Industry (PA Chamber), the largest, broad-based business advocacy group in the Commonwealth, I am writing in support the Transcontinental Gas Pipe Line Company LLC’s Chapter 105 Water Obstruction and Encroachment permit applications and Chapter 102 Erosion and Sediment Control General Permit for Earth Disturbance Associated with Oil and Gas Exploration, Production, Processing or Treatment Operations or Transmission Facilities (ESCGP-2) Notice of Intent, as published in the Pennsylvania Bulletin on May 27, 2017 (47 Pa.B. 2982)</w:t>
      </w:r>
      <w:r w:rsidR="00850BCF">
        <w:rPr>
          <w:rFonts w:ascii="Times New Roman" w:hAnsi="Times New Roman" w:cs="Times New Roman"/>
        </w:rPr>
        <w:t>, for the Atlantic Sunrise Project</w:t>
      </w:r>
      <w:r w:rsidRPr="003D783A">
        <w:rPr>
          <w:rFonts w:ascii="Times New Roman" w:hAnsi="Times New Roman" w:cs="Times New Roman"/>
        </w:rPr>
        <w:t xml:space="preserve">. </w:t>
      </w:r>
      <w:r w:rsidR="00F84901">
        <w:rPr>
          <w:rFonts w:ascii="Times New Roman" w:hAnsi="Times New Roman" w:cs="Times New Roman"/>
        </w:rPr>
        <w:t>These comments supplement my oral remarks at the Department’s June 12 hearing in Lancaster on the same matter.</w:t>
      </w:r>
    </w:p>
    <w:p w:rsidR="00F84901" w:rsidRDefault="00F84901" w:rsidP="001B6D21">
      <w:pPr>
        <w:rPr>
          <w:rFonts w:ascii="Times New Roman" w:hAnsi="Times New Roman" w:cs="Times New Roman"/>
        </w:rPr>
      </w:pPr>
    </w:p>
    <w:p w:rsidR="00CE5B40" w:rsidRPr="003D783A" w:rsidRDefault="00F84901" w:rsidP="001B6D21">
      <w:pPr>
        <w:rPr>
          <w:rFonts w:ascii="Times New Roman" w:hAnsi="Times New Roman" w:cs="Times New Roman"/>
        </w:rPr>
      </w:pPr>
      <w:r>
        <w:rPr>
          <w:rFonts w:ascii="Times New Roman" w:hAnsi="Times New Roman" w:cs="Times New Roman"/>
        </w:rPr>
        <w:t xml:space="preserve">The PA Chamber thanks the Department for their thorough, thoughtful and extensive review of this project and urges a final determination, granting these permits and authorizing construction for this important project, be made as quickly as possible. </w:t>
      </w:r>
    </w:p>
    <w:p w:rsidR="00CE5B40" w:rsidRPr="003D783A" w:rsidRDefault="00CE5B40" w:rsidP="001B6D21">
      <w:pPr>
        <w:rPr>
          <w:rFonts w:ascii="Times New Roman" w:hAnsi="Times New Roman" w:cs="Times New Roman"/>
        </w:rPr>
      </w:pPr>
    </w:p>
    <w:p w:rsidR="001B6D21" w:rsidRPr="003D783A" w:rsidRDefault="001B6D21" w:rsidP="001B6D21">
      <w:pPr>
        <w:rPr>
          <w:rFonts w:ascii="Times New Roman" w:hAnsi="Times New Roman" w:cs="Times New Roman"/>
          <w:bCs/>
        </w:rPr>
      </w:pPr>
      <w:r w:rsidRPr="003D783A">
        <w:rPr>
          <w:rFonts w:ascii="Times New Roman" w:hAnsi="Times New Roman" w:cs="Times New Roman"/>
        </w:rPr>
        <w:t xml:space="preserve">Pennsylvania’s Chapter 105 regulations (relating to waterways and wetlands encroachments) note in particular that </w:t>
      </w:r>
      <w:r w:rsidR="00880637">
        <w:rPr>
          <w:rFonts w:ascii="Times New Roman" w:hAnsi="Times New Roman" w:cs="Times New Roman"/>
        </w:rPr>
        <w:t>an application will be approved provided the Department find</w:t>
      </w:r>
      <w:r w:rsidR="0099675E">
        <w:rPr>
          <w:rFonts w:ascii="Times New Roman" w:hAnsi="Times New Roman" w:cs="Times New Roman"/>
        </w:rPr>
        <w:t>s</w:t>
      </w:r>
      <w:r w:rsidR="00880637">
        <w:rPr>
          <w:rFonts w:ascii="Times New Roman" w:hAnsi="Times New Roman" w:cs="Times New Roman"/>
        </w:rPr>
        <w:t xml:space="preserve"> </w:t>
      </w:r>
      <w:r w:rsidRPr="003D783A">
        <w:rPr>
          <w:rFonts w:ascii="Times New Roman" w:hAnsi="Times New Roman" w:cs="Times New Roman"/>
        </w:rPr>
        <w:t>“that the public benefits of the proposed project outweigh the harm to the environment and public natural resources.</w:t>
      </w:r>
      <w:r w:rsidR="00B66A3D" w:rsidRPr="003D783A">
        <w:rPr>
          <w:rFonts w:ascii="Times New Roman" w:hAnsi="Times New Roman" w:cs="Times New Roman"/>
        </w:rPr>
        <w:t>”</w:t>
      </w:r>
      <w:r w:rsidRPr="003D783A">
        <w:rPr>
          <w:rFonts w:ascii="Times New Roman" w:hAnsi="Times New Roman" w:cs="Times New Roman"/>
        </w:rPr>
        <w:t xml:space="preserve"> These benefits may include protection of public health and safety, development of energy resources, creation or preservation of significant employment, provision of public utility services, and other essential social and economic development which benefits a substantial portion of the public (</w:t>
      </w:r>
      <w:bookmarkStart w:id="1" w:name="105.16."/>
      <w:r w:rsidRPr="003D783A">
        <w:rPr>
          <w:rFonts w:ascii="Times New Roman" w:hAnsi="Times New Roman" w:cs="Times New Roman"/>
          <w:bCs/>
        </w:rPr>
        <w:t>§ 105.16</w:t>
      </w:r>
      <w:bookmarkEnd w:id="1"/>
      <w:r w:rsidRPr="003D783A">
        <w:rPr>
          <w:rFonts w:ascii="Times New Roman" w:hAnsi="Times New Roman" w:cs="Times New Roman"/>
          <w:bCs/>
        </w:rPr>
        <w:t>(b)).</w:t>
      </w:r>
    </w:p>
    <w:p w:rsidR="001B6D21" w:rsidRPr="003D783A" w:rsidRDefault="001B6D21" w:rsidP="001B6D21">
      <w:pPr>
        <w:rPr>
          <w:rFonts w:ascii="Times New Roman" w:hAnsi="Times New Roman" w:cs="Times New Roman"/>
          <w:bCs/>
        </w:rPr>
      </w:pPr>
    </w:p>
    <w:p w:rsidR="001B6D21" w:rsidRPr="003D783A" w:rsidRDefault="001B6D21" w:rsidP="001B6D21">
      <w:pPr>
        <w:rPr>
          <w:rFonts w:ascii="Times New Roman" w:hAnsi="Times New Roman" w:cs="Times New Roman"/>
          <w:bCs/>
        </w:rPr>
      </w:pPr>
      <w:r w:rsidRPr="003D783A">
        <w:rPr>
          <w:rFonts w:ascii="Times New Roman" w:hAnsi="Times New Roman" w:cs="Times New Roman"/>
          <w:bCs/>
        </w:rPr>
        <w:lastRenderedPageBreak/>
        <w:t xml:space="preserve">With respect to </w:t>
      </w:r>
      <w:r w:rsidR="0099675E">
        <w:rPr>
          <w:rFonts w:ascii="Times New Roman" w:hAnsi="Times New Roman" w:cs="Times New Roman"/>
          <w:bCs/>
        </w:rPr>
        <w:t xml:space="preserve">any </w:t>
      </w:r>
      <w:r w:rsidRPr="003D783A">
        <w:rPr>
          <w:rFonts w:ascii="Times New Roman" w:hAnsi="Times New Roman" w:cs="Times New Roman"/>
          <w:bCs/>
        </w:rPr>
        <w:t>impacts to the environment, as they relate to waterways and wetlands, the PA Chamber supports and agrees with the findings of the Federal Energy Regulatory Commission in its final Environmental Impact Statement.</w:t>
      </w:r>
      <w:r w:rsidR="00B81415">
        <w:rPr>
          <w:rStyle w:val="FootnoteReference"/>
          <w:rFonts w:ascii="Times New Roman" w:hAnsi="Times New Roman" w:cs="Times New Roman"/>
          <w:bCs/>
        </w:rPr>
        <w:footnoteReference w:id="1"/>
      </w:r>
      <w:r w:rsidRPr="003D783A">
        <w:rPr>
          <w:rFonts w:ascii="Times New Roman" w:hAnsi="Times New Roman" w:cs="Times New Roman"/>
          <w:bCs/>
        </w:rPr>
        <w:t xml:space="preserve"> FERC’s FEIS notes that</w:t>
      </w:r>
      <w:r w:rsidR="00EB5DB5">
        <w:rPr>
          <w:rFonts w:ascii="Times New Roman" w:hAnsi="Times New Roman" w:cs="Times New Roman"/>
          <w:bCs/>
        </w:rPr>
        <w:t>:</w:t>
      </w:r>
    </w:p>
    <w:p w:rsidR="001B6D21" w:rsidRPr="003D783A" w:rsidRDefault="001B6D21" w:rsidP="001B6D21">
      <w:pPr>
        <w:rPr>
          <w:rFonts w:ascii="Times New Roman" w:hAnsi="Times New Roman" w:cs="Times New Roman"/>
          <w:bCs/>
        </w:rPr>
      </w:pPr>
    </w:p>
    <w:p w:rsidR="001B6D21" w:rsidRPr="00EB5DB5" w:rsidRDefault="00834D9F" w:rsidP="00EB5DB5">
      <w:pPr>
        <w:pStyle w:val="ListParagraph"/>
        <w:numPr>
          <w:ilvl w:val="0"/>
          <w:numId w:val="1"/>
        </w:numPr>
        <w:jc w:val="both"/>
        <w:rPr>
          <w:rFonts w:ascii="Times New Roman" w:hAnsi="Times New Roman" w:cs="Times New Roman"/>
          <w:bCs/>
          <w:sz w:val="20"/>
          <w:szCs w:val="20"/>
        </w:rPr>
      </w:pPr>
      <w:r w:rsidRPr="00EB5DB5">
        <w:rPr>
          <w:rFonts w:ascii="Times New Roman" w:hAnsi="Times New Roman" w:cs="Times New Roman"/>
          <w:bCs/>
          <w:sz w:val="20"/>
          <w:szCs w:val="20"/>
        </w:rPr>
        <w:t xml:space="preserve">“No long-term impacts on groundwater are anticipated form construction and operation of the Project because disturbance would be temporary, erosion controls would be implemented, natural ground contours would be restored, and the right-of-way would be revegetated. Implementation of Transco’s ECP and Spill Plan, as </w:t>
      </w:r>
      <w:r w:rsidR="007E4192">
        <w:rPr>
          <w:rFonts w:ascii="Times New Roman" w:hAnsi="Times New Roman" w:cs="Times New Roman"/>
          <w:bCs/>
          <w:sz w:val="20"/>
          <w:szCs w:val="20"/>
        </w:rPr>
        <w:t>well as [FERC’s recommendations]</w:t>
      </w:r>
      <w:r w:rsidRPr="00EB5DB5">
        <w:rPr>
          <w:rFonts w:ascii="Times New Roman" w:hAnsi="Times New Roman" w:cs="Times New Roman"/>
          <w:bCs/>
          <w:sz w:val="20"/>
          <w:szCs w:val="20"/>
        </w:rPr>
        <w:t xml:space="preserve"> would limit impacts from construction on groundwater resources.” (4-52)</w:t>
      </w:r>
    </w:p>
    <w:p w:rsidR="00834D9F" w:rsidRPr="00EB5DB5" w:rsidRDefault="00834D9F" w:rsidP="00EB5DB5">
      <w:pPr>
        <w:jc w:val="both"/>
        <w:rPr>
          <w:rFonts w:ascii="Times New Roman" w:hAnsi="Times New Roman" w:cs="Times New Roman"/>
          <w:bCs/>
          <w:sz w:val="20"/>
          <w:szCs w:val="20"/>
        </w:rPr>
      </w:pPr>
    </w:p>
    <w:p w:rsidR="00834D9F" w:rsidRPr="00EB5DB5" w:rsidRDefault="00834D9F" w:rsidP="00EB5DB5">
      <w:pPr>
        <w:pStyle w:val="ListParagraph"/>
        <w:numPr>
          <w:ilvl w:val="0"/>
          <w:numId w:val="1"/>
        </w:numPr>
        <w:jc w:val="both"/>
        <w:rPr>
          <w:rFonts w:ascii="Times New Roman" w:hAnsi="Times New Roman" w:cs="Times New Roman"/>
          <w:bCs/>
          <w:sz w:val="20"/>
          <w:szCs w:val="20"/>
        </w:rPr>
      </w:pPr>
      <w:r w:rsidRPr="00EB5DB5">
        <w:rPr>
          <w:rFonts w:ascii="Times New Roman" w:hAnsi="Times New Roman" w:cs="Times New Roman"/>
          <w:bCs/>
          <w:sz w:val="20"/>
          <w:szCs w:val="20"/>
        </w:rPr>
        <w:t xml:space="preserve">“No long-term effects on surface waters are anticipated as a result of construction and operation of the </w:t>
      </w:r>
      <w:r w:rsidR="00880825" w:rsidRPr="00EB5DB5">
        <w:rPr>
          <w:rFonts w:ascii="Times New Roman" w:hAnsi="Times New Roman" w:cs="Times New Roman"/>
          <w:bCs/>
          <w:sz w:val="20"/>
          <w:szCs w:val="20"/>
        </w:rPr>
        <w:t>Project</w:t>
      </w:r>
      <w:r w:rsidRPr="00EB5DB5">
        <w:rPr>
          <w:rFonts w:ascii="Times New Roman" w:hAnsi="Times New Roman" w:cs="Times New Roman"/>
          <w:bCs/>
          <w:sz w:val="20"/>
          <w:szCs w:val="20"/>
        </w:rPr>
        <w:t xml:space="preserve">. No </w:t>
      </w:r>
      <w:r w:rsidR="00880825" w:rsidRPr="00EB5DB5">
        <w:rPr>
          <w:rFonts w:ascii="Times New Roman" w:hAnsi="Times New Roman" w:cs="Times New Roman"/>
          <w:bCs/>
          <w:sz w:val="20"/>
          <w:szCs w:val="20"/>
        </w:rPr>
        <w:t>designated</w:t>
      </w:r>
      <w:r w:rsidRPr="00EB5DB5">
        <w:rPr>
          <w:rFonts w:ascii="Times New Roman" w:hAnsi="Times New Roman" w:cs="Times New Roman"/>
          <w:bCs/>
          <w:sz w:val="20"/>
          <w:szCs w:val="20"/>
        </w:rPr>
        <w:t xml:space="preserve"> water uses would be permanently affected because the pipeline would be buried beneath the bed of the water</w:t>
      </w:r>
      <w:r w:rsidR="00880825" w:rsidRPr="00EB5DB5">
        <w:rPr>
          <w:rFonts w:ascii="Times New Roman" w:hAnsi="Times New Roman" w:cs="Times New Roman"/>
          <w:bCs/>
          <w:sz w:val="20"/>
          <w:szCs w:val="20"/>
        </w:rPr>
        <w:t xml:space="preserve"> </w:t>
      </w:r>
      <w:r w:rsidRPr="00EB5DB5">
        <w:rPr>
          <w:rFonts w:ascii="Times New Roman" w:hAnsi="Times New Roman" w:cs="Times New Roman"/>
          <w:bCs/>
          <w:sz w:val="20"/>
          <w:szCs w:val="20"/>
        </w:rPr>
        <w:t xml:space="preserve">bodies, erosion controls would be implemented during construction, and streambanks and streambed </w:t>
      </w:r>
      <w:r w:rsidR="00880825" w:rsidRPr="00EB5DB5">
        <w:rPr>
          <w:rFonts w:ascii="Times New Roman" w:hAnsi="Times New Roman" w:cs="Times New Roman"/>
          <w:bCs/>
          <w:sz w:val="20"/>
          <w:szCs w:val="20"/>
        </w:rPr>
        <w:t>contours</w:t>
      </w:r>
      <w:r w:rsidRPr="00EB5DB5">
        <w:rPr>
          <w:rFonts w:ascii="Times New Roman" w:hAnsi="Times New Roman" w:cs="Times New Roman"/>
          <w:bCs/>
          <w:sz w:val="20"/>
          <w:szCs w:val="20"/>
        </w:rPr>
        <w:t xml:space="preserve"> would be restored as close as possible to preconstruction condition. Operation of the Project would not result in any surface water effects[.]” (4-72)</w:t>
      </w:r>
    </w:p>
    <w:p w:rsidR="00834D9F" w:rsidRPr="00EB5DB5" w:rsidRDefault="00834D9F" w:rsidP="00EB5DB5">
      <w:pPr>
        <w:jc w:val="both"/>
        <w:rPr>
          <w:rFonts w:ascii="Times New Roman" w:hAnsi="Times New Roman" w:cs="Times New Roman"/>
          <w:bCs/>
          <w:sz w:val="20"/>
          <w:szCs w:val="20"/>
        </w:rPr>
      </w:pPr>
    </w:p>
    <w:p w:rsidR="00834D9F" w:rsidRPr="00EB5DB5" w:rsidRDefault="00880825" w:rsidP="00EB5DB5">
      <w:pPr>
        <w:pStyle w:val="ListParagraph"/>
        <w:numPr>
          <w:ilvl w:val="0"/>
          <w:numId w:val="1"/>
        </w:numPr>
        <w:jc w:val="both"/>
        <w:rPr>
          <w:rFonts w:ascii="Times New Roman" w:hAnsi="Times New Roman" w:cs="Times New Roman"/>
          <w:bCs/>
          <w:sz w:val="20"/>
          <w:szCs w:val="20"/>
        </w:rPr>
      </w:pPr>
      <w:r w:rsidRPr="00EB5DB5">
        <w:rPr>
          <w:rFonts w:ascii="Times New Roman" w:hAnsi="Times New Roman" w:cs="Times New Roman"/>
          <w:bCs/>
          <w:sz w:val="20"/>
          <w:szCs w:val="20"/>
        </w:rPr>
        <w:t>“While minor adverse and long-term effects on wetlands would occur, with adherence to Transco’s ECP and Procedures, we conclude that construction and operation of the Project would result in minor effects on wetlands that would be appropriately mitigated and reduced to less than significant levels. In addition, impacts on wetlands, including exceptional value wetlands, would be further mitigated through Transco’s implementation of an agency-approved PRM Plan.” (4-78</w:t>
      </w:r>
      <w:r w:rsidR="00EB5DB5" w:rsidRPr="00EB5DB5">
        <w:rPr>
          <w:rFonts w:ascii="Times New Roman" w:hAnsi="Times New Roman" w:cs="Times New Roman"/>
          <w:bCs/>
          <w:sz w:val="20"/>
          <w:szCs w:val="20"/>
        </w:rPr>
        <w:t>)</w:t>
      </w:r>
    </w:p>
    <w:p w:rsidR="00880825" w:rsidRPr="003D783A" w:rsidRDefault="00880825" w:rsidP="001B6D21">
      <w:pPr>
        <w:rPr>
          <w:rFonts w:ascii="Times New Roman" w:hAnsi="Times New Roman" w:cs="Times New Roman"/>
          <w:bCs/>
        </w:rPr>
      </w:pPr>
    </w:p>
    <w:p w:rsidR="00880825" w:rsidRPr="003D783A" w:rsidRDefault="00880825" w:rsidP="001B6D21">
      <w:pPr>
        <w:rPr>
          <w:rFonts w:ascii="Times New Roman" w:hAnsi="Times New Roman" w:cs="Times New Roman"/>
          <w:bCs/>
        </w:rPr>
      </w:pPr>
      <w:r w:rsidRPr="003D783A">
        <w:rPr>
          <w:rFonts w:ascii="Times New Roman" w:hAnsi="Times New Roman" w:cs="Times New Roman"/>
          <w:bCs/>
        </w:rPr>
        <w:t xml:space="preserve">Transco’s application materials to DEP further delineate </w:t>
      </w:r>
      <w:r w:rsidR="00EB5DB5">
        <w:rPr>
          <w:rFonts w:ascii="Times New Roman" w:hAnsi="Times New Roman" w:cs="Times New Roman"/>
          <w:bCs/>
        </w:rPr>
        <w:t xml:space="preserve">and describe </w:t>
      </w:r>
      <w:r w:rsidRPr="003D783A">
        <w:rPr>
          <w:rFonts w:ascii="Times New Roman" w:hAnsi="Times New Roman" w:cs="Times New Roman"/>
          <w:bCs/>
        </w:rPr>
        <w:t>the extent to which the project’s construction will satisfy relevant regulatory criteria, such as properly avoiding, minimizing and mitigating wetlands impacts, minimizing earth disturbance</w:t>
      </w:r>
      <w:r w:rsidR="00F84901">
        <w:rPr>
          <w:rFonts w:ascii="Times New Roman" w:hAnsi="Times New Roman" w:cs="Times New Roman"/>
          <w:bCs/>
        </w:rPr>
        <w:t>,</w:t>
      </w:r>
      <w:r w:rsidRPr="003D783A">
        <w:rPr>
          <w:rFonts w:ascii="Times New Roman" w:hAnsi="Times New Roman" w:cs="Times New Roman"/>
          <w:bCs/>
        </w:rPr>
        <w:t xml:space="preserve"> preventing stormwater runoff</w:t>
      </w:r>
      <w:r w:rsidR="00F84901">
        <w:rPr>
          <w:rFonts w:ascii="Times New Roman" w:hAnsi="Times New Roman" w:cs="Times New Roman"/>
          <w:bCs/>
        </w:rPr>
        <w:t>, compl</w:t>
      </w:r>
      <w:r w:rsidR="00CC3FB9">
        <w:rPr>
          <w:rFonts w:ascii="Times New Roman" w:hAnsi="Times New Roman" w:cs="Times New Roman"/>
          <w:bCs/>
        </w:rPr>
        <w:t>y</w:t>
      </w:r>
      <w:r w:rsidR="00F84901">
        <w:rPr>
          <w:rFonts w:ascii="Times New Roman" w:hAnsi="Times New Roman" w:cs="Times New Roman"/>
          <w:bCs/>
        </w:rPr>
        <w:t>ing with th</w:t>
      </w:r>
      <w:r w:rsidR="00CC3FB9">
        <w:rPr>
          <w:rFonts w:ascii="Times New Roman" w:hAnsi="Times New Roman" w:cs="Times New Roman"/>
          <w:bCs/>
        </w:rPr>
        <w:t>e state’s anti-degradation requirements and avoiding, minimizing and mitigating impacts to wildlife, including migratory birds</w:t>
      </w:r>
      <w:r w:rsidRPr="003D783A">
        <w:rPr>
          <w:rFonts w:ascii="Times New Roman" w:hAnsi="Times New Roman" w:cs="Times New Roman"/>
          <w:bCs/>
        </w:rPr>
        <w:t xml:space="preserve">. </w:t>
      </w:r>
      <w:r w:rsidR="00F84901">
        <w:rPr>
          <w:rFonts w:ascii="Times New Roman" w:hAnsi="Times New Roman" w:cs="Times New Roman"/>
          <w:bCs/>
        </w:rPr>
        <w:t xml:space="preserve">The applications </w:t>
      </w:r>
      <w:r w:rsidR="00CC3FB9">
        <w:rPr>
          <w:rFonts w:ascii="Times New Roman" w:hAnsi="Times New Roman" w:cs="Times New Roman"/>
          <w:bCs/>
        </w:rPr>
        <w:t xml:space="preserve">also </w:t>
      </w:r>
      <w:r w:rsidR="00F84901">
        <w:rPr>
          <w:rFonts w:ascii="Times New Roman" w:hAnsi="Times New Roman" w:cs="Times New Roman"/>
          <w:bCs/>
        </w:rPr>
        <w:t>note the company will employ full-time environmental inspectors during construction to oversee and ensure these BMPs comply with Pennsylvania’s regulations and permit conditions. The applications also note that, in addition to adjustments to in-field routing, Transco has taken great strides to appropriately avoid and minimize wetlands impacts, with no net loss of wetland acreage occurring. Wetlands in the rights-of-way will be preserved, and new wetlands outside of the rights-of-way will be created, restored and enhanced, appropriately mitigating against any deleterious cumulative impact.</w:t>
      </w:r>
      <w:r w:rsidR="00F213DD">
        <w:rPr>
          <w:rFonts w:ascii="Times New Roman" w:hAnsi="Times New Roman" w:cs="Times New Roman"/>
          <w:bCs/>
        </w:rPr>
        <w:t xml:space="preserve"> With respect to threatened and endangered species, it is our understanding the U.S. Fish and Wildlife Service concurred with Transco that the project will not adversely affect bald eagles and will sufficiently avoid and minimize impacts to the bog turtle. </w:t>
      </w:r>
    </w:p>
    <w:p w:rsidR="001B6D21" w:rsidRPr="003D783A" w:rsidRDefault="001B6D21" w:rsidP="001B6D21">
      <w:pPr>
        <w:rPr>
          <w:rFonts w:ascii="Times New Roman" w:hAnsi="Times New Roman" w:cs="Times New Roman"/>
          <w:bCs/>
        </w:rPr>
      </w:pPr>
    </w:p>
    <w:p w:rsidR="001B6D21" w:rsidRPr="003D783A" w:rsidRDefault="001B6D21" w:rsidP="001B6D21">
      <w:pPr>
        <w:rPr>
          <w:rFonts w:ascii="Times New Roman" w:hAnsi="Times New Roman" w:cs="Times New Roman"/>
          <w:bCs/>
        </w:rPr>
      </w:pPr>
      <w:r w:rsidRPr="003D783A">
        <w:rPr>
          <w:rFonts w:ascii="Times New Roman" w:hAnsi="Times New Roman" w:cs="Times New Roman"/>
          <w:bCs/>
        </w:rPr>
        <w:t xml:space="preserve">In regard to the social and economic benefits as they relate to Chapter 105.16(b), </w:t>
      </w:r>
      <w:r w:rsidR="00126208">
        <w:rPr>
          <w:rFonts w:ascii="Times New Roman" w:hAnsi="Times New Roman" w:cs="Times New Roman"/>
          <w:bCs/>
        </w:rPr>
        <w:t xml:space="preserve">beyond the FERC Certificate of Public Convenience that found this project to be in the public interest, </w:t>
      </w:r>
      <w:r w:rsidRPr="003D783A">
        <w:rPr>
          <w:rFonts w:ascii="Times New Roman" w:hAnsi="Times New Roman" w:cs="Times New Roman"/>
          <w:bCs/>
        </w:rPr>
        <w:t>the PA Chamber submits for the record the economic analysis conducted by researchers at Penn State University in 2015</w:t>
      </w:r>
      <w:r w:rsidR="00EB5DB5">
        <w:rPr>
          <w:rFonts w:ascii="Times New Roman" w:hAnsi="Times New Roman" w:cs="Times New Roman"/>
          <w:bCs/>
        </w:rPr>
        <w:t>, attached as an electronic submission to this comment letter</w:t>
      </w:r>
      <w:r w:rsidRPr="003D783A">
        <w:rPr>
          <w:rFonts w:ascii="Times New Roman" w:hAnsi="Times New Roman" w:cs="Times New Roman"/>
          <w:bCs/>
        </w:rPr>
        <w:t>.</w:t>
      </w:r>
      <w:r w:rsidRPr="003D783A">
        <w:rPr>
          <w:rFonts w:ascii="Times New Roman" w:hAnsi="Times New Roman" w:cs="Times New Roman"/>
          <w:bCs/>
          <w:vertAlign w:val="superscript"/>
        </w:rPr>
        <w:footnoteReference w:id="2"/>
      </w:r>
      <w:r w:rsidRPr="003D783A">
        <w:rPr>
          <w:rFonts w:ascii="Times New Roman" w:hAnsi="Times New Roman" w:cs="Times New Roman"/>
          <w:bCs/>
        </w:rPr>
        <w:t xml:space="preserve"> The economic analysis notes that additional utility cost savings for consumers, economic growth and environmental progress will be secured with the Atlantic Sunrise Project. The Atlantic Sunrise Project is expected to support 2,300 jobs, with an additional 3,700 induced jobs and $1.6 billion in economic activity, in the ten Pennsylvania </w:t>
      </w:r>
      <w:r w:rsidR="00060AE5">
        <w:rPr>
          <w:rFonts w:ascii="Times New Roman" w:hAnsi="Times New Roman" w:cs="Times New Roman"/>
          <w:bCs/>
        </w:rPr>
        <w:t xml:space="preserve">county area for the </w:t>
      </w:r>
      <w:r w:rsidRPr="003D783A">
        <w:rPr>
          <w:rFonts w:ascii="Times New Roman" w:hAnsi="Times New Roman" w:cs="Times New Roman"/>
          <w:bCs/>
        </w:rPr>
        <w:t>project. Had Atlantic Sunrise been in place during the winters of 2012, 2013 and 2014,</w:t>
      </w:r>
      <w:r w:rsidR="00800C78">
        <w:rPr>
          <w:rFonts w:ascii="Times New Roman" w:hAnsi="Times New Roman" w:cs="Times New Roman"/>
          <w:bCs/>
        </w:rPr>
        <w:t xml:space="preserve"> the economic analysis notes that</w:t>
      </w:r>
      <w:r w:rsidRPr="003D783A">
        <w:rPr>
          <w:rFonts w:ascii="Times New Roman" w:hAnsi="Times New Roman" w:cs="Times New Roman"/>
          <w:bCs/>
        </w:rPr>
        <w:t xml:space="preserve"> Mid-Atlantic consumers would have saved $2.6 billion in utility costs. </w:t>
      </w:r>
      <w:r w:rsidRPr="003D783A">
        <w:rPr>
          <w:rFonts w:ascii="Times New Roman" w:hAnsi="Times New Roman" w:cs="Times New Roman"/>
          <w:bCs/>
        </w:rPr>
        <w:lastRenderedPageBreak/>
        <w:t>These benefits are substantial, and fall within the relevant categories of public benefits that § 105.16(b) authorizes the Department to consider in balance to any environmental impact. The PA Chamber urges that the Department find these benefits to outweigh any impact</w:t>
      </w:r>
      <w:r w:rsidR="003D783A" w:rsidRPr="003D783A">
        <w:rPr>
          <w:rFonts w:ascii="Times New Roman" w:hAnsi="Times New Roman" w:cs="Times New Roman"/>
          <w:bCs/>
        </w:rPr>
        <w:t>s – impacts which FERC has noted to be in large part minor, temporary and appropriately mitigated</w:t>
      </w:r>
      <w:r w:rsidRPr="003D783A">
        <w:rPr>
          <w:rFonts w:ascii="Times New Roman" w:hAnsi="Times New Roman" w:cs="Times New Roman"/>
          <w:bCs/>
        </w:rPr>
        <w:t xml:space="preserve">. </w:t>
      </w:r>
    </w:p>
    <w:p w:rsidR="003D783A" w:rsidRPr="003D783A" w:rsidRDefault="003D783A" w:rsidP="001B6D21">
      <w:pPr>
        <w:rPr>
          <w:rFonts w:ascii="Times New Roman" w:hAnsi="Times New Roman" w:cs="Times New Roman"/>
          <w:bCs/>
        </w:rPr>
      </w:pPr>
    </w:p>
    <w:p w:rsidR="003D783A" w:rsidRPr="003D783A" w:rsidRDefault="003D783A" w:rsidP="001B6D21">
      <w:pPr>
        <w:rPr>
          <w:rFonts w:ascii="Times New Roman" w:hAnsi="Times New Roman" w:cs="Times New Roman"/>
          <w:bCs/>
        </w:rPr>
      </w:pPr>
      <w:r w:rsidRPr="003D783A">
        <w:rPr>
          <w:rFonts w:ascii="Times New Roman" w:hAnsi="Times New Roman" w:cs="Times New Roman"/>
          <w:bCs/>
        </w:rPr>
        <w:t>Given the significant economic and public health benefits that will be realized with the construction and operation of this project, which will be managed using appropriate environmental measures and in compliance with relevant state and federal requirements, I urge you to grant final approval of these Chapter 102 and 105 permits for this project.</w:t>
      </w:r>
    </w:p>
    <w:p w:rsidR="003D783A" w:rsidRPr="003D783A" w:rsidRDefault="003D783A" w:rsidP="001B6D21">
      <w:pPr>
        <w:rPr>
          <w:rFonts w:ascii="Times New Roman" w:hAnsi="Times New Roman" w:cs="Times New Roman"/>
          <w:bCs/>
        </w:rPr>
      </w:pPr>
    </w:p>
    <w:p w:rsidR="003D783A" w:rsidRPr="003D783A" w:rsidRDefault="003D783A" w:rsidP="001B6D21">
      <w:pPr>
        <w:rPr>
          <w:rFonts w:ascii="Times New Roman" w:hAnsi="Times New Roman" w:cs="Times New Roman"/>
          <w:bCs/>
        </w:rPr>
      </w:pPr>
      <w:r w:rsidRPr="003D783A">
        <w:rPr>
          <w:rFonts w:ascii="Times New Roman" w:hAnsi="Times New Roman" w:cs="Times New Roman"/>
          <w:bCs/>
        </w:rPr>
        <w:t>Sincerely,</w:t>
      </w:r>
    </w:p>
    <w:p w:rsidR="003D783A" w:rsidRPr="003D783A" w:rsidRDefault="003D783A" w:rsidP="003D783A">
      <w:pPr>
        <w:rPr>
          <w:rFonts w:ascii="Times New Roman" w:hAnsi="Times New Roman" w:cs="Times New Roman"/>
          <w:bCs/>
        </w:rPr>
      </w:pPr>
      <w:r w:rsidRPr="003D783A">
        <w:rPr>
          <w:rFonts w:ascii="Times New Roman" w:hAnsi="Times New Roman" w:cs="Times New Roman"/>
          <w:bCs/>
          <w:noProof/>
        </w:rPr>
        <w:drawing>
          <wp:inline distT="0" distB="0" distL="0" distR="0">
            <wp:extent cx="858774" cy="363648"/>
            <wp:effectExtent l="19050" t="0" r="0" b="0"/>
            <wp:docPr id="1" name="Picture 1" descr="C:\Users\ksunday@pachamber.org\AppData\Local\Microsoft\Windows\Temporary Internet Files\Content.Outlook\ISTOV9VZ\Kevin Sunda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unday@pachamber.org\AppData\Local\Microsoft\Windows\Temporary Internet Files\Content.Outlook\ISTOV9VZ\Kevin Sunday Signature.jpg"/>
                    <pic:cNvPicPr>
                      <a:picLocks noChangeAspect="1" noChangeArrowheads="1"/>
                    </pic:cNvPicPr>
                  </pic:nvPicPr>
                  <pic:blipFill>
                    <a:blip r:embed="rId9" cstate="print"/>
                    <a:srcRect/>
                    <a:stretch>
                      <a:fillRect/>
                    </a:stretch>
                  </pic:blipFill>
                  <pic:spPr bwMode="auto">
                    <a:xfrm>
                      <a:off x="0" y="0"/>
                      <a:ext cx="858884" cy="363695"/>
                    </a:xfrm>
                    <a:prstGeom prst="rect">
                      <a:avLst/>
                    </a:prstGeom>
                    <a:noFill/>
                    <a:ln w="9525">
                      <a:noFill/>
                      <a:miter lim="800000"/>
                      <a:headEnd/>
                      <a:tailEnd/>
                    </a:ln>
                  </pic:spPr>
                </pic:pic>
              </a:graphicData>
            </a:graphic>
          </wp:inline>
        </w:drawing>
      </w:r>
    </w:p>
    <w:p w:rsidR="003D783A" w:rsidRPr="003D783A" w:rsidRDefault="003D783A" w:rsidP="003D783A">
      <w:pPr>
        <w:rPr>
          <w:rFonts w:ascii="Times New Roman" w:hAnsi="Times New Roman" w:cs="Times New Roman"/>
          <w:bCs/>
        </w:rPr>
      </w:pPr>
      <w:r w:rsidRPr="003D783A">
        <w:rPr>
          <w:rFonts w:ascii="Times New Roman" w:hAnsi="Times New Roman" w:cs="Times New Roman"/>
          <w:bCs/>
        </w:rPr>
        <w:t>Kevin Sunday</w:t>
      </w:r>
    </w:p>
    <w:p w:rsidR="003D783A" w:rsidRPr="003D783A" w:rsidRDefault="003D783A" w:rsidP="003D783A">
      <w:pPr>
        <w:rPr>
          <w:rFonts w:ascii="Times New Roman" w:hAnsi="Times New Roman" w:cs="Times New Roman"/>
          <w:bCs/>
        </w:rPr>
      </w:pPr>
      <w:r w:rsidRPr="003D783A">
        <w:rPr>
          <w:rFonts w:ascii="Times New Roman" w:hAnsi="Times New Roman" w:cs="Times New Roman"/>
          <w:bCs/>
        </w:rPr>
        <w:t>Director, Government Affairs</w:t>
      </w:r>
    </w:p>
    <w:p w:rsidR="00BD5164" w:rsidRPr="003D783A" w:rsidRDefault="003D783A">
      <w:pPr>
        <w:rPr>
          <w:rFonts w:ascii="Times New Roman" w:hAnsi="Times New Roman" w:cs="Times New Roman"/>
        </w:rPr>
      </w:pPr>
      <w:r w:rsidRPr="003D783A">
        <w:rPr>
          <w:rFonts w:ascii="Times New Roman" w:hAnsi="Times New Roman" w:cs="Times New Roman"/>
          <w:bCs/>
        </w:rPr>
        <w:t>Pennsylvania Chamber of Business and Industry</w:t>
      </w:r>
    </w:p>
    <w:sectPr w:rsidR="00BD5164" w:rsidRPr="003D783A" w:rsidSect="003C6EBC">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4C" w:rsidRDefault="00942B4C" w:rsidP="001B6D21">
      <w:r>
        <w:separator/>
      </w:r>
    </w:p>
  </w:endnote>
  <w:endnote w:type="continuationSeparator" w:id="0">
    <w:p w:rsidR="00942B4C" w:rsidRDefault="00942B4C" w:rsidP="001B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4C" w:rsidRDefault="00942B4C" w:rsidP="001B6D21">
      <w:r>
        <w:separator/>
      </w:r>
    </w:p>
  </w:footnote>
  <w:footnote w:type="continuationSeparator" w:id="0">
    <w:p w:rsidR="00942B4C" w:rsidRDefault="00942B4C" w:rsidP="001B6D21">
      <w:r>
        <w:continuationSeparator/>
      </w:r>
    </w:p>
  </w:footnote>
  <w:footnote w:id="1">
    <w:p w:rsidR="00B81415" w:rsidRPr="00B81415" w:rsidRDefault="00B81415">
      <w:pPr>
        <w:pStyle w:val="FootnoteText"/>
        <w:rPr>
          <w:sz w:val="16"/>
          <w:szCs w:val="16"/>
        </w:rPr>
      </w:pPr>
      <w:r w:rsidRPr="00B81415">
        <w:rPr>
          <w:rStyle w:val="FootnoteReference"/>
          <w:sz w:val="16"/>
          <w:szCs w:val="16"/>
        </w:rPr>
        <w:footnoteRef/>
      </w:r>
      <w:r w:rsidRPr="00B81415">
        <w:rPr>
          <w:sz w:val="16"/>
          <w:szCs w:val="16"/>
        </w:rPr>
        <w:t xml:space="preserve"> Final Environmental Impact Statement, Volume 1: Atlantic Sunrise Project Docket CP15-138-000. Federal Energy Regulatory Commission, December 2016. </w:t>
      </w:r>
      <w:hyperlink r:id="rId1" w:history="1">
        <w:r w:rsidRPr="00B81415">
          <w:rPr>
            <w:rStyle w:val="Hyperlink"/>
            <w:sz w:val="16"/>
            <w:szCs w:val="16"/>
          </w:rPr>
          <w:t>https://www.ferc.gov/industries/gas/enviro/eis/2016/12-30-16-FEIS/volume-I-part-1.pdf</w:t>
        </w:r>
      </w:hyperlink>
    </w:p>
  </w:footnote>
  <w:footnote w:id="2">
    <w:p w:rsidR="001B6D21" w:rsidRPr="00E77BAD" w:rsidRDefault="001B6D21" w:rsidP="001B6D21">
      <w:pPr>
        <w:pStyle w:val="FootnoteText"/>
        <w:rPr>
          <w:sz w:val="16"/>
          <w:szCs w:val="16"/>
        </w:rPr>
      </w:pPr>
      <w:r w:rsidRPr="00E77BAD">
        <w:rPr>
          <w:rStyle w:val="FootnoteReference"/>
        </w:rPr>
        <w:footnoteRef/>
      </w:r>
      <w:r w:rsidRPr="00E77BAD">
        <w:rPr>
          <w:sz w:val="16"/>
          <w:szCs w:val="16"/>
        </w:rPr>
        <w:t xml:space="preserve"> Economic Impacts of the Atlantic Sunrise Project. Pennsylvania State University, Jan. 9, 2015. </w:t>
      </w:r>
      <w:hyperlink r:id="rId2" w:history="1">
        <w:r w:rsidRPr="001B6D21">
          <w:rPr>
            <w:rStyle w:val="Hyperlink"/>
            <w:sz w:val="16"/>
            <w:szCs w:val="16"/>
          </w:rPr>
          <w:t>http://atlanticsunriseexpansion.com/wp-content/uploads/2015/03/AtlanticSunrise_EconomicImpactStudy.pdf</w:t>
        </w:r>
      </w:hyperlink>
      <w:r w:rsidRPr="00E77BA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CF" w:rsidRPr="00060AE5" w:rsidRDefault="00850BCF" w:rsidP="00850BCF">
    <w:pPr>
      <w:pStyle w:val="Header"/>
      <w:rPr>
        <w:sz w:val="20"/>
        <w:szCs w:val="20"/>
      </w:rPr>
    </w:pPr>
    <w:r w:rsidRPr="00060AE5">
      <w:rPr>
        <w:sz w:val="20"/>
        <w:szCs w:val="20"/>
      </w:rPr>
      <w:t>Mr. Joseph Buczynksi and Mr. David Garg</w:t>
    </w:r>
  </w:p>
  <w:p w:rsidR="00850BCF" w:rsidRPr="00060AE5" w:rsidRDefault="00850BCF" w:rsidP="00850BCF">
    <w:pPr>
      <w:pStyle w:val="Header"/>
      <w:rPr>
        <w:sz w:val="20"/>
        <w:szCs w:val="20"/>
      </w:rPr>
    </w:pPr>
    <w:r w:rsidRPr="00060AE5">
      <w:rPr>
        <w:sz w:val="20"/>
        <w:szCs w:val="20"/>
      </w:rPr>
      <w:t>PA DEP NERO and NCRO Waterways and Wetlands Program</w:t>
    </w:r>
  </w:p>
  <w:p w:rsidR="00850BCF" w:rsidRPr="00060AE5" w:rsidRDefault="00850BCF" w:rsidP="00850BCF">
    <w:pPr>
      <w:pStyle w:val="Header"/>
      <w:rPr>
        <w:sz w:val="20"/>
        <w:szCs w:val="20"/>
      </w:rPr>
    </w:pPr>
    <w:r w:rsidRPr="00060AE5">
      <w:rPr>
        <w:sz w:val="20"/>
        <w:szCs w:val="20"/>
      </w:rPr>
      <w:t>June 12, 2017</w:t>
    </w:r>
  </w:p>
  <w:p w:rsidR="00850BCF" w:rsidRPr="00060AE5" w:rsidRDefault="00850BCF" w:rsidP="00850BCF">
    <w:pPr>
      <w:pStyle w:val="Header"/>
      <w:rPr>
        <w:sz w:val="20"/>
        <w:szCs w:val="20"/>
      </w:rPr>
    </w:pPr>
    <w:r w:rsidRPr="00060AE5">
      <w:rPr>
        <w:sz w:val="20"/>
        <w:szCs w:val="20"/>
      </w:rPr>
      <w:t xml:space="preserve">RE: </w:t>
    </w:r>
    <w:r w:rsidRPr="00060AE5">
      <w:rPr>
        <w:bCs/>
        <w:sz w:val="20"/>
        <w:szCs w:val="20"/>
      </w:rPr>
      <w:t>Transco (Atlantic Sunrise) Ch. 102 and 105 applications</w:t>
    </w:r>
  </w:p>
  <w:p w:rsidR="00850BCF" w:rsidRPr="00060AE5" w:rsidRDefault="00850BCF" w:rsidP="00850BCF">
    <w:pPr>
      <w:pStyle w:val="Header"/>
      <w:rPr>
        <w:sz w:val="20"/>
        <w:szCs w:val="20"/>
      </w:rPr>
    </w:pPr>
    <w:r w:rsidRPr="00060AE5">
      <w:rPr>
        <w:sz w:val="20"/>
        <w:szCs w:val="20"/>
      </w:rPr>
      <w:t xml:space="preserve">Page </w:t>
    </w:r>
    <w:r w:rsidR="00164B64" w:rsidRPr="00060AE5">
      <w:rPr>
        <w:sz w:val="20"/>
        <w:szCs w:val="20"/>
      </w:rPr>
      <w:fldChar w:fldCharType="begin"/>
    </w:r>
    <w:r w:rsidR="00C26CAA" w:rsidRPr="00060AE5">
      <w:rPr>
        <w:sz w:val="20"/>
        <w:szCs w:val="20"/>
      </w:rPr>
      <w:instrText xml:space="preserve"> PAGE   \* MERGEFORMAT </w:instrText>
    </w:r>
    <w:r w:rsidR="00164B64" w:rsidRPr="00060AE5">
      <w:rPr>
        <w:sz w:val="20"/>
        <w:szCs w:val="20"/>
      </w:rPr>
      <w:fldChar w:fldCharType="separate"/>
    </w:r>
    <w:r w:rsidR="0003132C">
      <w:rPr>
        <w:noProof/>
        <w:sz w:val="20"/>
        <w:szCs w:val="20"/>
      </w:rPr>
      <w:t>3</w:t>
    </w:r>
    <w:r w:rsidR="00164B64" w:rsidRPr="00060AE5">
      <w:rPr>
        <w:sz w:val="20"/>
        <w:szCs w:val="20"/>
      </w:rPr>
      <w:fldChar w:fldCharType="end"/>
    </w:r>
  </w:p>
  <w:p w:rsidR="00850BCF" w:rsidRDefault="00850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A5D67"/>
    <w:multiLevelType w:val="hybridMultilevel"/>
    <w:tmpl w:val="17D6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21"/>
    <w:rsid w:val="00021284"/>
    <w:rsid w:val="0003132C"/>
    <w:rsid w:val="00060AE5"/>
    <w:rsid w:val="000829C0"/>
    <w:rsid w:val="00107034"/>
    <w:rsid w:val="00126208"/>
    <w:rsid w:val="00164B64"/>
    <w:rsid w:val="001B3FA1"/>
    <w:rsid w:val="001B6D21"/>
    <w:rsid w:val="00205081"/>
    <w:rsid w:val="002265C9"/>
    <w:rsid w:val="003B2B52"/>
    <w:rsid w:val="003C6EBC"/>
    <w:rsid w:val="003D783A"/>
    <w:rsid w:val="00431017"/>
    <w:rsid w:val="004328BF"/>
    <w:rsid w:val="00693A33"/>
    <w:rsid w:val="00747923"/>
    <w:rsid w:val="007E4192"/>
    <w:rsid w:val="00800C78"/>
    <w:rsid w:val="00834D9F"/>
    <w:rsid w:val="00850BCF"/>
    <w:rsid w:val="00880637"/>
    <w:rsid w:val="00880825"/>
    <w:rsid w:val="00894A4A"/>
    <w:rsid w:val="00906FA4"/>
    <w:rsid w:val="00942B4C"/>
    <w:rsid w:val="0099675E"/>
    <w:rsid w:val="009F777C"/>
    <w:rsid w:val="00B17DBC"/>
    <w:rsid w:val="00B66A3D"/>
    <w:rsid w:val="00B81415"/>
    <w:rsid w:val="00B8638C"/>
    <w:rsid w:val="00C26CAA"/>
    <w:rsid w:val="00C65723"/>
    <w:rsid w:val="00CC3FB9"/>
    <w:rsid w:val="00CD5420"/>
    <w:rsid w:val="00CE5B40"/>
    <w:rsid w:val="00D23B72"/>
    <w:rsid w:val="00EB5DB5"/>
    <w:rsid w:val="00ED0D48"/>
    <w:rsid w:val="00F213DD"/>
    <w:rsid w:val="00F6056C"/>
    <w:rsid w:val="00F74FEC"/>
    <w:rsid w:val="00F8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7B945-74E0-4A8C-9DA8-0305A3C5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4A4A"/>
  </w:style>
  <w:style w:type="paragraph" w:styleId="Heading1">
    <w:name w:val="heading 1"/>
    <w:basedOn w:val="Normal"/>
    <w:link w:val="Heading1Char"/>
    <w:uiPriority w:val="9"/>
    <w:qFormat/>
    <w:rsid w:val="00894A4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1B6D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4A"/>
    <w:rPr>
      <w:rFonts w:ascii="Times New Roman" w:eastAsia="Times New Roman" w:hAnsi="Times New Roman" w:cs="Times New Roman"/>
      <w:b/>
      <w:bCs/>
      <w:kern w:val="36"/>
      <w:sz w:val="48"/>
      <w:szCs w:val="48"/>
    </w:rPr>
  </w:style>
  <w:style w:type="paragraph" w:styleId="TOCHeading">
    <w:name w:val="TOC Heading"/>
    <w:basedOn w:val="Heading1"/>
    <w:next w:val="Normal"/>
    <w:uiPriority w:val="39"/>
    <w:semiHidden/>
    <w:unhideWhenUsed/>
    <w:qFormat/>
    <w:rsid w:val="00894A4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ing4Char">
    <w:name w:val="Heading 4 Char"/>
    <w:basedOn w:val="DefaultParagraphFont"/>
    <w:link w:val="Heading4"/>
    <w:uiPriority w:val="9"/>
    <w:semiHidden/>
    <w:rsid w:val="001B6D21"/>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B6D21"/>
    <w:rPr>
      <w:sz w:val="20"/>
      <w:szCs w:val="20"/>
    </w:rPr>
  </w:style>
  <w:style w:type="character" w:customStyle="1" w:styleId="FootnoteTextChar">
    <w:name w:val="Footnote Text Char"/>
    <w:basedOn w:val="DefaultParagraphFont"/>
    <w:link w:val="FootnoteText"/>
    <w:uiPriority w:val="99"/>
    <w:semiHidden/>
    <w:rsid w:val="001B6D21"/>
    <w:rPr>
      <w:sz w:val="20"/>
      <w:szCs w:val="20"/>
    </w:rPr>
  </w:style>
  <w:style w:type="character" w:styleId="FootnoteReference">
    <w:name w:val="footnote reference"/>
    <w:basedOn w:val="DefaultParagraphFont"/>
    <w:uiPriority w:val="99"/>
    <w:semiHidden/>
    <w:unhideWhenUsed/>
    <w:rsid w:val="001B6D21"/>
    <w:rPr>
      <w:vertAlign w:val="superscript"/>
    </w:rPr>
  </w:style>
  <w:style w:type="character" w:styleId="Hyperlink">
    <w:name w:val="Hyperlink"/>
    <w:basedOn w:val="DefaultParagraphFont"/>
    <w:uiPriority w:val="99"/>
    <w:unhideWhenUsed/>
    <w:rsid w:val="001B6D21"/>
    <w:rPr>
      <w:color w:val="0000FF" w:themeColor="hyperlink"/>
      <w:u w:val="single"/>
    </w:rPr>
  </w:style>
  <w:style w:type="character" w:styleId="FollowedHyperlink">
    <w:name w:val="FollowedHyperlink"/>
    <w:basedOn w:val="DefaultParagraphFont"/>
    <w:uiPriority w:val="99"/>
    <w:semiHidden/>
    <w:unhideWhenUsed/>
    <w:rsid w:val="001B6D21"/>
    <w:rPr>
      <w:color w:val="800080" w:themeColor="followedHyperlink"/>
      <w:u w:val="single"/>
    </w:rPr>
  </w:style>
  <w:style w:type="paragraph" w:styleId="BalloonText">
    <w:name w:val="Balloon Text"/>
    <w:basedOn w:val="Normal"/>
    <w:link w:val="BalloonTextChar"/>
    <w:uiPriority w:val="99"/>
    <w:semiHidden/>
    <w:unhideWhenUsed/>
    <w:rsid w:val="003D783A"/>
    <w:rPr>
      <w:rFonts w:ascii="Tahoma" w:hAnsi="Tahoma" w:cs="Tahoma"/>
      <w:sz w:val="16"/>
      <w:szCs w:val="16"/>
    </w:rPr>
  </w:style>
  <w:style w:type="character" w:customStyle="1" w:styleId="BalloonTextChar">
    <w:name w:val="Balloon Text Char"/>
    <w:basedOn w:val="DefaultParagraphFont"/>
    <w:link w:val="BalloonText"/>
    <w:uiPriority w:val="99"/>
    <w:semiHidden/>
    <w:rsid w:val="003D783A"/>
    <w:rPr>
      <w:rFonts w:ascii="Tahoma" w:hAnsi="Tahoma" w:cs="Tahoma"/>
      <w:sz w:val="16"/>
      <w:szCs w:val="16"/>
    </w:rPr>
  </w:style>
  <w:style w:type="paragraph" w:styleId="Header">
    <w:name w:val="header"/>
    <w:basedOn w:val="Normal"/>
    <w:link w:val="HeaderChar"/>
    <w:uiPriority w:val="99"/>
    <w:semiHidden/>
    <w:unhideWhenUsed/>
    <w:rsid w:val="00850BCF"/>
    <w:pPr>
      <w:tabs>
        <w:tab w:val="center" w:pos="4680"/>
        <w:tab w:val="right" w:pos="9360"/>
      </w:tabs>
    </w:pPr>
  </w:style>
  <w:style w:type="character" w:customStyle="1" w:styleId="HeaderChar">
    <w:name w:val="Header Char"/>
    <w:basedOn w:val="DefaultParagraphFont"/>
    <w:link w:val="Header"/>
    <w:uiPriority w:val="99"/>
    <w:semiHidden/>
    <w:rsid w:val="00850BCF"/>
  </w:style>
  <w:style w:type="paragraph" w:styleId="Footer">
    <w:name w:val="footer"/>
    <w:basedOn w:val="Normal"/>
    <w:link w:val="FooterChar"/>
    <w:uiPriority w:val="99"/>
    <w:semiHidden/>
    <w:unhideWhenUsed/>
    <w:rsid w:val="00850BCF"/>
    <w:pPr>
      <w:tabs>
        <w:tab w:val="center" w:pos="4680"/>
        <w:tab w:val="right" w:pos="9360"/>
      </w:tabs>
    </w:pPr>
  </w:style>
  <w:style w:type="character" w:customStyle="1" w:styleId="FooterChar">
    <w:name w:val="Footer Char"/>
    <w:basedOn w:val="DefaultParagraphFont"/>
    <w:link w:val="Footer"/>
    <w:uiPriority w:val="99"/>
    <w:semiHidden/>
    <w:rsid w:val="00850BCF"/>
  </w:style>
  <w:style w:type="paragraph" w:styleId="ListParagraph">
    <w:name w:val="List Paragraph"/>
    <w:basedOn w:val="Normal"/>
    <w:uiPriority w:val="34"/>
    <w:qFormat/>
    <w:rsid w:val="00EB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96876">
      <w:bodyDiv w:val="1"/>
      <w:marLeft w:val="0"/>
      <w:marRight w:val="0"/>
      <w:marTop w:val="0"/>
      <w:marBottom w:val="0"/>
      <w:divBdr>
        <w:top w:val="none" w:sz="0" w:space="0" w:color="auto"/>
        <w:left w:val="none" w:sz="0" w:space="0" w:color="auto"/>
        <w:bottom w:val="none" w:sz="0" w:space="0" w:color="auto"/>
        <w:right w:val="none" w:sz="0" w:space="0" w:color="auto"/>
      </w:divBdr>
    </w:div>
    <w:div w:id="12817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atlanticsunriseexpansion.com/wp-content/uploads/2015/03/AtlanticSunrise_EconomicImpactStudy.pdf%20" TargetMode="External"/><Relationship Id="rId1" Type="http://schemas.openxmlformats.org/officeDocument/2006/relationships/hyperlink" Target="https://www.ferc.gov/industries/gas/enviro/eis/2016/12-30-16-FEIS/volume-I-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E6B45-BF05-459E-A112-BCB36D75959C}">
  <ds:schemaRefs>
    <ds:schemaRef ds:uri="http://schemas.openxmlformats.org/officeDocument/2006/bibliography"/>
  </ds:schemaRefs>
</ds:datastoreItem>
</file>

<file path=customXml/itemProps2.xml><?xml version="1.0" encoding="utf-8"?>
<ds:datastoreItem xmlns:ds="http://schemas.openxmlformats.org/officeDocument/2006/customXml" ds:itemID="{CB7DBD7E-2909-4E52-A298-6875F2758D08}"/>
</file>

<file path=customXml/itemProps3.xml><?xml version="1.0" encoding="utf-8"?>
<ds:datastoreItem xmlns:ds="http://schemas.openxmlformats.org/officeDocument/2006/customXml" ds:itemID="{E2DB305C-A0BD-466C-A44B-18C3754528AB}"/>
</file>

<file path=customXml/itemProps4.xml><?xml version="1.0" encoding="utf-8"?>
<ds:datastoreItem xmlns:ds="http://schemas.openxmlformats.org/officeDocument/2006/customXml" ds:itemID="{F64E5A7F-E831-4AB5-97B0-B641FD28A5ED}"/>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PCI Services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ksunday</dc:creator>
  <cp:lastModifiedBy>Yordy, Karyn</cp:lastModifiedBy>
  <cp:revision>2</cp:revision>
  <dcterms:created xsi:type="dcterms:W3CDTF">2017-06-27T17:33:00Z</dcterms:created>
  <dcterms:modified xsi:type="dcterms:W3CDTF">2017-06-27T17:33:00Z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