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E3C21" w14:textId="301BD2D2" w:rsidR="00EA4B58" w:rsidRPr="00EA4B58" w:rsidRDefault="002E093C" w:rsidP="001E60B8">
      <w:pPr>
        <w:keepNext/>
        <w:jc w:val="center"/>
        <w:outlineLvl w:val="1"/>
        <w:rPr>
          <w:b/>
          <w:bCs/>
          <w:caps/>
          <w:color w:val="0000FF"/>
          <w:sz w:val="36"/>
          <w:szCs w:val="36"/>
        </w:rPr>
      </w:pPr>
      <w:r>
        <w:rPr>
          <w:b/>
          <w:bCs/>
          <w:color w:val="000000" w:themeColor="text1"/>
          <w:sz w:val="36"/>
          <w:szCs w:val="36"/>
        </w:rPr>
        <w:t xml:space="preserve">                                                                           </w:t>
      </w:r>
    </w:p>
    <w:p w14:paraId="379598E1" w14:textId="77777777" w:rsidR="00803371" w:rsidRPr="00EA4B58" w:rsidRDefault="00803371" w:rsidP="00EA4B58"/>
    <w:p w14:paraId="0C9F3596" w14:textId="4ECED919" w:rsidR="00EA4B58" w:rsidRDefault="00EA4B58" w:rsidP="007768FD">
      <w:pPr>
        <w:pStyle w:val="ListParagraph"/>
        <w:numPr>
          <w:ilvl w:val="0"/>
          <w:numId w:val="4"/>
        </w:numPr>
        <w:spacing w:after="160" w:line="259" w:lineRule="auto"/>
      </w:pPr>
      <w:r w:rsidRPr="007768FD">
        <w:rPr>
          <w:b/>
        </w:rPr>
        <w:t>Inflation Factor:</w:t>
      </w:r>
      <w:r>
        <w:t xml:space="preserve">  This factor is used to calculate the annual inflation protection option that, by law, is offered to subscribers.  </w:t>
      </w:r>
      <w:r w:rsidRPr="007768FD">
        <w:rPr>
          <w:b/>
          <w:color w:val="000000" w:themeColor="text1"/>
          <w:u w:val="single"/>
        </w:rPr>
        <w:t>The factor for Calendar Year 20</w:t>
      </w:r>
      <w:r w:rsidR="00187207" w:rsidRPr="007768FD">
        <w:rPr>
          <w:b/>
          <w:color w:val="000000" w:themeColor="text1"/>
          <w:u w:val="single"/>
        </w:rPr>
        <w:t>2</w:t>
      </w:r>
      <w:r w:rsidR="00FE2A4A">
        <w:rPr>
          <w:b/>
          <w:color w:val="000000" w:themeColor="text1"/>
          <w:u w:val="single"/>
        </w:rPr>
        <w:t>1</w:t>
      </w:r>
      <w:r w:rsidRPr="007768FD">
        <w:rPr>
          <w:b/>
          <w:color w:val="000000" w:themeColor="text1"/>
          <w:u w:val="single"/>
        </w:rPr>
        <w:t xml:space="preserve"> is </w:t>
      </w:r>
      <w:r w:rsidR="00FE2A4A">
        <w:rPr>
          <w:b/>
          <w:color w:val="000000" w:themeColor="text1"/>
          <w:u w:val="single"/>
        </w:rPr>
        <w:t>2.</w:t>
      </w:r>
      <w:r w:rsidRPr="007768FD">
        <w:rPr>
          <w:b/>
          <w:color w:val="000000" w:themeColor="text1"/>
          <w:u w:val="single"/>
        </w:rPr>
        <w:t>0%</w:t>
      </w:r>
      <w:r>
        <w:t xml:space="preserve">, </w:t>
      </w:r>
      <w:r w:rsidR="00F85CCC">
        <w:t xml:space="preserve">as </w:t>
      </w:r>
      <w:r>
        <w:t xml:space="preserve">calculated </w:t>
      </w:r>
      <w:r w:rsidR="00283912">
        <w:t xml:space="preserve">by </w:t>
      </w:r>
      <w:r>
        <w:t>using the most recent 12 months of data from the US Bureau of Labor Statistics, Producer Price Indexes (</w:t>
      </w:r>
      <w:r w:rsidRPr="007768FD">
        <w:rPr>
          <w:b/>
        </w:rPr>
        <w:t>PPI</w:t>
      </w:r>
      <w:r>
        <w:t>), Residential Construction Tables.</w:t>
      </w:r>
    </w:p>
    <w:p w14:paraId="52D76168" w14:textId="77777777" w:rsidR="00EA4B58" w:rsidRDefault="00EA4B58" w:rsidP="00EA4B58"/>
    <w:p w14:paraId="2BC0A92D" w14:textId="77777777" w:rsidR="00EA4B58" w:rsidRDefault="00EA4B58" w:rsidP="00EA4B58"/>
    <w:tbl>
      <w:tblPr>
        <w:tblStyle w:val="TableGrid"/>
        <w:tblW w:w="0" w:type="auto"/>
        <w:tblLook w:val="04A0" w:firstRow="1" w:lastRow="0" w:firstColumn="1" w:lastColumn="0" w:noHBand="0" w:noVBand="1"/>
      </w:tblPr>
      <w:tblGrid>
        <w:gridCol w:w="9350"/>
      </w:tblGrid>
      <w:tr w:rsidR="00EA4B58" w14:paraId="048771BF" w14:textId="77777777" w:rsidTr="00AD6460">
        <w:tc>
          <w:tcPr>
            <w:tcW w:w="9350" w:type="dxa"/>
          </w:tcPr>
          <w:p w14:paraId="1926E763" w14:textId="129F85A5" w:rsidR="00EA4B58" w:rsidRPr="00EA4B58" w:rsidRDefault="00EA4B58" w:rsidP="00EA4B58">
            <w:pPr>
              <w:jc w:val="center"/>
              <w:rPr>
                <w:b/>
              </w:rPr>
            </w:pPr>
            <w:r>
              <w:rPr>
                <w:b/>
              </w:rPr>
              <w:t>20</w:t>
            </w:r>
            <w:r w:rsidR="00825B08">
              <w:rPr>
                <w:b/>
              </w:rPr>
              <w:t>2</w:t>
            </w:r>
            <w:r w:rsidR="00C73BF8">
              <w:rPr>
                <w:b/>
              </w:rPr>
              <w:t>1</w:t>
            </w:r>
            <w:r>
              <w:rPr>
                <w:b/>
              </w:rPr>
              <w:t xml:space="preserve"> Inflation Factor Calculation</w:t>
            </w:r>
          </w:p>
        </w:tc>
      </w:tr>
      <w:tr w:rsidR="00EA4B58" w14:paraId="2FB254FD" w14:textId="77777777" w:rsidTr="00CF5DDE">
        <w:trPr>
          <w:trHeight w:val="1134"/>
        </w:trPr>
        <w:tc>
          <w:tcPr>
            <w:tcW w:w="9350" w:type="dxa"/>
          </w:tcPr>
          <w:p w14:paraId="5B236961" w14:textId="171159DB" w:rsidR="00EA4B58" w:rsidRDefault="00216FC8" w:rsidP="00EA4B58">
            <w:pPr>
              <w:rPr>
                <w:b/>
              </w:rPr>
            </w:pPr>
            <w:r w:rsidRPr="00E12D25">
              <w:rPr>
                <w:b/>
              </w:rPr>
              <w:t xml:space="preserve">          </w:t>
            </w:r>
            <w:r w:rsidR="007D5331">
              <w:rPr>
                <w:b/>
              </w:rPr>
              <w:t>10</w:t>
            </w:r>
            <w:r w:rsidR="00825B08" w:rsidRPr="00E12D25">
              <w:rPr>
                <w:b/>
              </w:rPr>
              <w:t>/</w:t>
            </w:r>
            <w:r w:rsidRPr="00E12D25">
              <w:rPr>
                <w:b/>
              </w:rPr>
              <w:t>01/20</w:t>
            </w:r>
            <w:r w:rsidR="007D5331">
              <w:rPr>
                <w:b/>
              </w:rPr>
              <w:t>20</w:t>
            </w:r>
            <w:r w:rsidRPr="00E12D25">
              <w:rPr>
                <w:b/>
              </w:rPr>
              <w:t xml:space="preserve">                    </w:t>
            </w:r>
            <w:r w:rsidR="00825B08" w:rsidRPr="00E12D25">
              <w:rPr>
                <w:b/>
              </w:rPr>
              <w:t xml:space="preserve">   </w:t>
            </w:r>
            <w:r w:rsidRPr="00E12D25">
              <w:rPr>
                <w:b/>
              </w:rPr>
              <w:t xml:space="preserve">   </w:t>
            </w:r>
            <w:r w:rsidR="007D5331">
              <w:rPr>
                <w:b/>
              </w:rPr>
              <w:t>10</w:t>
            </w:r>
            <w:r w:rsidRPr="00E12D25">
              <w:rPr>
                <w:b/>
              </w:rPr>
              <w:t>/01/201</w:t>
            </w:r>
            <w:r w:rsidR="007D5331">
              <w:rPr>
                <w:b/>
              </w:rPr>
              <w:t>9</w:t>
            </w:r>
            <w:r>
              <w:t xml:space="preserve">                                                    </w:t>
            </w:r>
            <w:r w:rsidRPr="00216FC8">
              <w:rPr>
                <w:b/>
              </w:rPr>
              <w:t>Inflation Factor</w:t>
            </w:r>
          </w:p>
          <w:p w14:paraId="788E8288" w14:textId="6220EF4C" w:rsidR="00216FC8" w:rsidRDefault="00014544" w:rsidP="00EA4B58">
            <w:r>
              <w:rPr>
                <w:u w:val="single"/>
              </w:rPr>
              <w:t xml:space="preserve"> </w:t>
            </w:r>
            <w:r w:rsidR="000D269B">
              <w:rPr>
                <w:u w:val="single"/>
              </w:rPr>
              <w:t xml:space="preserve"> </w:t>
            </w:r>
            <w:r>
              <w:rPr>
                <w:u w:val="single"/>
              </w:rPr>
              <w:t xml:space="preserve">        </w:t>
            </w:r>
            <w:r w:rsidR="00216FC8" w:rsidRPr="00216FC8">
              <w:rPr>
                <w:u w:val="single"/>
              </w:rPr>
              <w:t xml:space="preserve"> </w:t>
            </w:r>
            <w:r w:rsidR="00CD281B">
              <w:rPr>
                <w:u w:val="single"/>
              </w:rPr>
              <w:t xml:space="preserve">  </w:t>
            </w:r>
            <w:r w:rsidR="00216FC8" w:rsidRPr="00216FC8">
              <w:rPr>
                <w:u w:val="single"/>
              </w:rPr>
              <w:t>2</w:t>
            </w:r>
            <w:r w:rsidR="003279C2">
              <w:rPr>
                <w:u w:val="single"/>
              </w:rPr>
              <w:t>32</w:t>
            </w:r>
            <w:r w:rsidR="00216FC8" w:rsidRPr="00216FC8">
              <w:rPr>
                <w:u w:val="single"/>
              </w:rPr>
              <w:t xml:space="preserve">      </w:t>
            </w:r>
            <w:r w:rsidR="005200DC">
              <w:rPr>
                <w:u w:val="single"/>
              </w:rPr>
              <w:t xml:space="preserve">      </w:t>
            </w:r>
            <w:r w:rsidR="00216FC8" w:rsidRPr="00216FC8">
              <w:rPr>
                <w:u w:val="single"/>
              </w:rPr>
              <w:t xml:space="preserve">       </w:t>
            </w:r>
            <w:r w:rsidR="00216FC8" w:rsidRPr="00216FC8">
              <w:rPr>
                <w:b/>
                <w:u w:val="single"/>
              </w:rPr>
              <w:t>-</w:t>
            </w:r>
            <w:r w:rsidR="00216FC8" w:rsidRPr="00216FC8">
              <w:rPr>
                <w:u w:val="single"/>
              </w:rPr>
              <w:t xml:space="preserve">                  2</w:t>
            </w:r>
            <w:r w:rsidR="00CD281B">
              <w:rPr>
                <w:u w:val="single"/>
              </w:rPr>
              <w:t>27.5</w:t>
            </w:r>
            <w:r w:rsidR="00216FC8" w:rsidRPr="00216FC8">
              <w:rPr>
                <w:u w:val="single"/>
              </w:rPr>
              <w:t xml:space="preserve"> </w:t>
            </w:r>
            <w:r w:rsidR="00216FC8">
              <w:t xml:space="preserve">            X </w:t>
            </w:r>
            <w:r w:rsidR="00216C8D">
              <w:t xml:space="preserve">     </w:t>
            </w:r>
            <w:r w:rsidR="00216FC8">
              <w:t xml:space="preserve">100                </w:t>
            </w:r>
            <w:r w:rsidR="00216FC8" w:rsidRPr="00216FC8">
              <w:rPr>
                <w:b/>
              </w:rPr>
              <w:t>=</w:t>
            </w:r>
            <w:r w:rsidR="00216FC8">
              <w:t xml:space="preserve">                   </w:t>
            </w:r>
            <w:r w:rsidR="00FE2A4A">
              <w:t xml:space="preserve"> 2.0</w:t>
            </w:r>
            <w:r w:rsidR="00216FC8">
              <w:t xml:space="preserve"> %</w:t>
            </w:r>
          </w:p>
          <w:p w14:paraId="0E328283" w14:textId="4BD6CF69" w:rsidR="00216FC8" w:rsidRDefault="00216FC8" w:rsidP="00EA4B58">
            <w:r>
              <w:t xml:space="preserve">                                    2</w:t>
            </w:r>
            <w:r w:rsidR="00CD281B">
              <w:t>27.5</w:t>
            </w:r>
          </w:p>
          <w:p w14:paraId="42C58CAB" w14:textId="403A6AFA" w:rsidR="00216FC8" w:rsidRPr="00E12D25" w:rsidRDefault="00216FC8" w:rsidP="00EA4B58">
            <w:pPr>
              <w:rPr>
                <w:b/>
              </w:rPr>
            </w:pPr>
            <w:r>
              <w:t xml:space="preserve">                                  </w:t>
            </w:r>
            <w:r w:rsidR="00FE2A4A">
              <w:rPr>
                <w:b/>
                <w:bCs/>
              </w:rPr>
              <w:t>10</w:t>
            </w:r>
            <w:r w:rsidRPr="00E12D25">
              <w:rPr>
                <w:b/>
              </w:rPr>
              <w:t>/01/20</w:t>
            </w:r>
            <w:r w:rsidR="003279C2">
              <w:rPr>
                <w:b/>
              </w:rPr>
              <w:t>19</w:t>
            </w:r>
          </w:p>
        </w:tc>
      </w:tr>
    </w:tbl>
    <w:p w14:paraId="677331B8" w14:textId="77777777" w:rsidR="00EA4B58" w:rsidRPr="00EA4B58" w:rsidRDefault="00EA4B58" w:rsidP="00EA4B58"/>
    <w:p w14:paraId="49474872" w14:textId="77777777" w:rsidR="00EA4B58" w:rsidRPr="00EA4B58" w:rsidRDefault="00EA4B58" w:rsidP="00EA4B58"/>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1210"/>
      </w:tblGrid>
      <w:tr w:rsidR="00216FC8" w14:paraId="451786BD" w14:textId="77777777" w:rsidTr="00E17895">
        <w:tc>
          <w:tcPr>
            <w:tcW w:w="9625" w:type="dxa"/>
            <w:gridSpan w:val="10"/>
          </w:tcPr>
          <w:p w14:paraId="4EB306C5" w14:textId="77777777" w:rsidR="00216FC8" w:rsidRPr="00216FC8" w:rsidRDefault="00216FC8" w:rsidP="00216FC8">
            <w:pPr>
              <w:jc w:val="center"/>
              <w:rPr>
                <w:b/>
              </w:rPr>
            </w:pPr>
            <w:r>
              <w:rPr>
                <w:b/>
              </w:rPr>
              <w:t>10 YEAR MSI INFLATION FACTOR HISTORY</w:t>
            </w:r>
          </w:p>
        </w:tc>
      </w:tr>
      <w:tr w:rsidR="00216FC8" w14:paraId="3BD2F625" w14:textId="77777777" w:rsidTr="00E17895">
        <w:tc>
          <w:tcPr>
            <w:tcW w:w="935" w:type="dxa"/>
          </w:tcPr>
          <w:p w14:paraId="3298CBF7" w14:textId="29A76777" w:rsidR="00216FC8" w:rsidRPr="00216FC8" w:rsidRDefault="00216FC8" w:rsidP="0002719C">
            <w:pPr>
              <w:jc w:val="center"/>
              <w:rPr>
                <w:b/>
              </w:rPr>
            </w:pPr>
            <w:r w:rsidRPr="00216FC8">
              <w:rPr>
                <w:b/>
              </w:rPr>
              <w:t>201</w:t>
            </w:r>
            <w:r w:rsidR="007669E9">
              <w:rPr>
                <w:b/>
              </w:rPr>
              <w:t>2</w:t>
            </w:r>
          </w:p>
        </w:tc>
        <w:tc>
          <w:tcPr>
            <w:tcW w:w="935" w:type="dxa"/>
          </w:tcPr>
          <w:p w14:paraId="2AD58B43" w14:textId="5BBBD31C" w:rsidR="00216FC8" w:rsidRPr="00216FC8" w:rsidRDefault="00216FC8" w:rsidP="0002719C">
            <w:pPr>
              <w:jc w:val="center"/>
              <w:rPr>
                <w:b/>
              </w:rPr>
            </w:pPr>
            <w:r w:rsidRPr="00216FC8">
              <w:rPr>
                <w:b/>
              </w:rPr>
              <w:t>201</w:t>
            </w:r>
            <w:r w:rsidR="008303A7">
              <w:rPr>
                <w:b/>
              </w:rPr>
              <w:t>3</w:t>
            </w:r>
          </w:p>
        </w:tc>
        <w:tc>
          <w:tcPr>
            <w:tcW w:w="935" w:type="dxa"/>
          </w:tcPr>
          <w:p w14:paraId="5D4C5C95" w14:textId="3D89590B" w:rsidR="00216FC8" w:rsidRPr="00216FC8" w:rsidRDefault="00216FC8" w:rsidP="0002719C">
            <w:pPr>
              <w:jc w:val="center"/>
              <w:rPr>
                <w:b/>
              </w:rPr>
            </w:pPr>
            <w:r w:rsidRPr="00216FC8">
              <w:rPr>
                <w:b/>
              </w:rPr>
              <w:t>201</w:t>
            </w:r>
            <w:r w:rsidR="008303A7">
              <w:rPr>
                <w:b/>
              </w:rPr>
              <w:t>4</w:t>
            </w:r>
          </w:p>
        </w:tc>
        <w:tc>
          <w:tcPr>
            <w:tcW w:w="935" w:type="dxa"/>
          </w:tcPr>
          <w:p w14:paraId="5588B8C3" w14:textId="08E7A3BA" w:rsidR="00216FC8" w:rsidRPr="00216FC8" w:rsidRDefault="00216FC8" w:rsidP="0002719C">
            <w:pPr>
              <w:jc w:val="center"/>
              <w:rPr>
                <w:b/>
              </w:rPr>
            </w:pPr>
            <w:r w:rsidRPr="00216FC8">
              <w:rPr>
                <w:b/>
              </w:rPr>
              <w:t>201</w:t>
            </w:r>
            <w:r w:rsidR="008303A7">
              <w:rPr>
                <w:b/>
              </w:rPr>
              <w:t>5</w:t>
            </w:r>
          </w:p>
        </w:tc>
        <w:tc>
          <w:tcPr>
            <w:tcW w:w="935" w:type="dxa"/>
          </w:tcPr>
          <w:p w14:paraId="7924FB9C" w14:textId="14C09779" w:rsidR="00216FC8" w:rsidRPr="00216FC8" w:rsidRDefault="00216FC8" w:rsidP="0002719C">
            <w:pPr>
              <w:jc w:val="center"/>
              <w:rPr>
                <w:b/>
              </w:rPr>
            </w:pPr>
            <w:r w:rsidRPr="00216FC8">
              <w:rPr>
                <w:b/>
              </w:rPr>
              <w:t>201</w:t>
            </w:r>
            <w:r w:rsidR="008303A7">
              <w:rPr>
                <w:b/>
              </w:rPr>
              <w:t>6</w:t>
            </w:r>
          </w:p>
        </w:tc>
        <w:tc>
          <w:tcPr>
            <w:tcW w:w="935" w:type="dxa"/>
          </w:tcPr>
          <w:p w14:paraId="1AD589A8" w14:textId="64C0B537" w:rsidR="00216FC8" w:rsidRPr="00216FC8" w:rsidRDefault="00216FC8" w:rsidP="0002719C">
            <w:pPr>
              <w:jc w:val="center"/>
              <w:rPr>
                <w:b/>
              </w:rPr>
            </w:pPr>
            <w:r w:rsidRPr="00216FC8">
              <w:rPr>
                <w:b/>
              </w:rPr>
              <w:t>201</w:t>
            </w:r>
            <w:r w:rsidR="008303A7">
              <w:rPr>
                <w:b/>
              </w:rPr>
              <w:t>7</w:t>
            </w:r>
          </w:p>
        </w:tc>
        <w:tc>
          <w:tcPr>
            <w:tcW w:w="935" w:type="dxa"/>
          </w:tcPr>
          <w:p w14:paraId="0D0EC0C9" w14:textId="444897ED" w:rsidR="00216FC8" w:rsidRPr="00216FC8" w:rsidRDefault="00216FC8" w:rsidP="0002719C">
            <w:pPr>
              <w:jc w:val="center"/>
              <w:rPr>
                <w:b/>
              </w:rPr>
            </w:pPr>
            <w:r w:rsidRPr="00216FC8">
              <w:rPr>
                <w:b/>
              </w:rPr>
              <w:t>201</w:t>
            </w:r>
            <w:r w:rsidR="008303A7">
              <w:rPr>
                <w:b/>
              </w:rPr>
              <w:t>8</w:t>
            </w:r>
          </w:p>
        </w:tc>
        <w:tc>
          <w:tcPr>
            <w:tcW w:w="935" w:type="dxa"/>
          </w:tcPr>
          <w:p w14:paraId="0A068ED4" w14:textId="3CCEF92A" w:rsidR="00216FC8" w:rsidRPr="00216FC8" w:rsidRDefault="00216FC8" w:rsidP="0002719C">
            <w:pPr>
              <w:jc w:val="center"/>
              <w:rPr>
                <w:b/>
              </w:rPr>
            </w:pPr>
            <w:r w:rsidRPr="00216FC8">
              <w:rPr>
                <w:b/>
              </w:rPr>
              <w:t>201</w:t>
            </w:r>
            <w:r w:rsidR="008303A7">
              <w:rPr>
                <w:b/>
              </w:rPr>
              <w:t>9</w:t>
            </w:r>
          </w:p>
        </w:tc>
        <w:tc>
          <w:tcPr>
            <w:tcW w:w="935" w:type="dxa"/>
          </w:tcPr>
          <w:p w14:paraId="38A20A25" w14:textId="71950187" w:rsidR="00216FC8" w:rsidRPr="00216FC8" w:rsidRDefault="00216FC8" w:rsidP="0002719C">
            <w:pPr>
              <w:jc w:val="center"/>
              <w:rPr>
                <w:b/>
              </w:rPr>
            </w:pPr>
            <w:r w:rsidRPr="00216FC8">
              <w:rPr>
                <w:b/>
              </w:rPr>
              <w:t>20</w:t>
            </w:r>
            <w:r w:rsidR="00BA1ED4">
              <w:rPr>
                <w:b/>
              </w:rPr>
              <w:t>20</w:t>
            </w:r>
          </w:p>
        </w:tc>
        <w:tc>
          <w:tcPr>
            <w:tcW w:w="1210" w:type="dxa"/>
          </w:tcPr>
          <w:p w14:paraId="3B6C10F2" w14:textId="00F7E3C0" w:rsidR="00216FC8" w:rsidRPr="00216FC8" w:rsidRDefault="00216FC8" w:rsidP="0002719C">
            <w:pPr>
              <w:jc w:val="center"/>
              <w:rPr>
                <w:b/>
              </w:rPr>
            </w:pPr>
            <w:r w:rsidRPr="00216FC8">
              <w:rPr>
                <w:b/>
              </w:rPr>
              <w:t>20</w:t>
            </w:r>
            <w:r w:rsidR="00F95AE5">
              <w:rPr>
                <w:b/>
              </w:rPr>
              <w:t>2</w:t>
            </w:r>
            <w:r w:rsidR="00BA1ED4">
              <w:rPr>
                <w:b/>
              </w:rPr>
              <w:t>1</w:t>
            </w:r>
          </w:p>
        </w:tc>
      </w:tr>
      <w:tr w:rsidR="00216FC8" w14:paraId="68DC37BE" w14:textId="77777777" w:rsidTr="00E17895">
        <w:tc>
          <w:tcPr>
            <w:tcW w:w="935" w:type="dxa"/>
          </w:tcPr>
          <w:p w14:paraId="2739C84D" w14:textId="6642F7B2" w:rsidR="00216FC8" w:rsidRDefault="007669E9" w:rsidP="0002719C">
            <w:pPr>
              <w:jc w:val="center"/>
            </w:pPr>
            <w:r>
              <w:t>2</w:t>
            </w:r>
            <w:r w:rsidR="008303A7">
              <w:t>.2</w:t>
            </w:r>
            <w:r w:rsidR="0002719C">
              <w:t>%</w:t>
            </w:r>
          </w:p>
        </w:tc>
        <w:tc>
          <w:tcPr>
            <w:tcW w:w="935" w:type="dxa"/>
          </w:tcPr>
          <w:p w14:paraId="6EC60A29" w14:textId="1C7C2539" w:rsidR="00216FC8" w:rsidRDefault="008303A7" w:rsidP="0002719C">
            <w:pPr>
              <w:jc w:val="center"/>
            </w:pPr>
            <w:r>
              <w:t>3.8</w:t>
            </w:r>
            <w:r w:rsidR="0002719C">
              <w:t>%</w:t>
            </w:r>
          </w:p>
        </w:tc>
        <w:tc>
          <w:tcPr>
            <w:tcW w:w="935" w:type="dxa"/>
          </w:tcPr>
          <w:p w14:paraId="3E80BF14" w14:textId="4C90C7BC" w:rsidR="00216FC8" w:rsidRDefault="008303A7" w:rsidP="0002719C">
            <w:pPr>
              <w:jc w:val="center"/>
            </w:pPr>
            <w:r>
              <w:t>3.9</w:t>
            </w:r>
            <w:r w:rsidR="0002719C">
              <w:t>%</w:t>
            </w:r>
          </w:p>
        </w:tc>
        <w:tc>
          <w:tcPr>
            <w:tcW w:w="935" w:type="dxa"/>
          </w:tcPr>
          <w:p w14:paraId="6C2F4997" w14:textId="09A7890C" w:rsidR="00216FC8" w:rsidRDefault="008303A7" w:rsidP="0002719C">
            <w:pPr>
              <w:jc w:val="center"/>
            </w:pPr>
            <w:r>
              <w:t>2.0</w:t>
            </w:r>
            <w:r w:rsidR="0002719C">
              <w:t>%</w:t>
            </w:r>
          </w:p>
        </w:tc>
        <w:tc>
          <w:tcPr>
            <w:tcW w:w="935" w:type="dxa"/>
          </w:tcPr>
          <w:p w14:paraId="6D271233" w14:textId="2F4105BC" w:rsidR="00216FC8" w:rsidRDefault="008303A7" w:rsidP="0002719C">
            <w:pPr>
              <w:jc w:val="center"/>
            </w:pPr>
            <w:r>
              <w:t>0</w:t>
            </w:r>
            <w:r w:rsidR="00F95AE5">
              <w:t>.0</w:t>
            </w:r>
            <w:r w:rsidR="0002719C">
              <w:t>%</w:t>
            </w:r>
          </w:p>
        </w:tc>
        <w:tc>
          <w:tcPr>
            <w:tcW w:w="935" w:type="dxa"/>
          </w:tcPr>
          <w:p w14:paraId="0EF2218C" w14:textId="0014B79E" w:rsidR="00216FC8" w:rsidRDefault="00F95AE5" w:rsidP="0002719C">
            <w:pPr>
              <w:jc w:val="center"/>
            </w:pPr>
            <w:r>
              <w:t>0</w:t>
            </w:r>
            <w:r w:rsidR="0002719C">
              <w:t>.</w:t>
            </w:r>
            <w:r w:rsidR="008303A7">
              <w:t>6</w:t>
            </w:r>
            <w:r w:rsidR="0002719C">
              <w:t>%</w:t>
            </w:r>
          </w:p>
        </w:tc>
        <w:tc>
          <w:tcPr>
            <w:tcW w:w="935" w:type="dxa"/>
          </w:tcPr>
          <w:p w14:paraId="79FDA470" w14:textId="77525A38" w:rsidR="00216FC8" w:rsidRDefault="008303A7" w:rsidP="0002719C">
            <w:pPr>
              <w:jc w:val="center"/>
            </w:pPr>
            <w:r>
              <w:t>4.1</w:t>
            </w:r>
            <w:r w:rsidR="0002719C">
              <w:t>%</w:t>
            </w:r>
          </w:p>
        </w:tc>
        <w:tc>
          <w:tcPr>
            <w:tcW w:w="935" w:type="dxa"/>
          </w:tcPr>
          <w:p w14:paraId="129A5FD1" w14:textId="7CDA7F3C" w:rsidR="00216FC8" w:rsidRDefault="00BA1ED4" w:rsidP="0002719C">
            <w:pPr>
              <w:jc w:val="center"/>
            </w:pPr>
            <w:r>
              <w:t>7.0</w:t>
            </w:r>
            <w:r w:rsidR="0002719C">
              <w:t>%</w:t>
            </w:r>
          </w:p>
        </w:tc>
        <w:tc>
          <w:tcPr>
            <w:tcW w:w="935" w:type="dxa"/>
          </w:tcPr>
          <w:p w14:paraId="475A839B" w14:textId="2EA9661E" w:rsidR="00216FC8" w:rsidRDefault="00BA1ED4" w:rsidP="0002719C">
            <w:pPr>
              <w:jc w:val="center"/>
            </w:pPr>
            <w:r>
              <w:t>0</w:t>
            </w:r>
            <w:r w:rsidR="00151A81">
              <w:t>.</w:t>
            </w:r>
            <w:r w:rsidR="00F95AE5">
              <w:t>0</w:t>
            </w:r>
            <w:r w:rsidR="0002719C">
              <w:t>%</w:t>
            </w:r>
          </w:p>
        </w:tc>
        <w:tc>
          <w:tcPr>
            <w:tcW w:w="1210" w:type="dxa"/>
          </w:tcPr>
          <w:p w14:paraId="7677B15D" w14:textId="4099C84B" w:rsidR="00216FC8" w:rsidRPr="00976639" w:rsidRDefault="00976639" w:rsidP="00E17895">
            <w:r w:rsidRPr="00976639">
              <w:t xml:space="preserve">     2.0%</w:t>
            </w:r>
          </w:p>
        </w:tc>
      </w:tr>
    </w:tbl>
    <w:p w14:paraId="635350B5" w14:textId="77777777" w:rsidR="00EA4B58" w:rsidRPr="00EA4B58" w:rsidRDefault="00EA4B58" w:rsidP="00EA4B58"/>
    <w:p w14:paraId="0E4C240C" w14:textId="77777777" w:rsidR="00EA4B58" w:rsidRPr="00EA4B58" w:rsidRDefault="00EA4B58" w:rsidP="00EA4B58"/>
    <w:p w14:paraId="1A0F903E" w14:textId="4C405F6D" w:rsidR="00EA4B58" w:rsidRDefault="0002719C" w:rsidP="007768FD">
      <w:pPr>
        <w:pStyle w:val="ListParagraph"/>
        <w:numPr>
          <w:ilvl w:val="0"/>
          <w:numId w:val="4"/>
        </w:numPr>
      </w:pPr>
      <w:r w:rsidRPr="007768FD">
        <w:rPr>
          <w:b/>
        </w:rPr>
        <w:t>Premium Rates:</w:t>
      </w:r>
      <w:r>
        <w:t xml:space="preserve">  </w:t>
      </w:r>
      <w:r w:rsidR="001021CD">
        <w:t xml:space="preserve">After </w:t>
      </w:r>
      <w:r w:rsidR="00DA1F88">
        <w:t xml:space="preserve">reviewing the latest actuarial study </w:t>
      </w:r>
      <w:r w:rsidR="00537AA1">
        <w:t xml:space="preserve">MSI Management is proposing to the Board to </w:t>
      </w:r>
      <w:r w:rsidR="000E2EAB">
        <w:t>cut the premiums by half.  The new premium rate</w:t>
      </w:r>
      <w:r w:rsidR="002611D1">
        <w:t>s</w:t>
      </w:r>
      <w:r w:rsidR="000E2EAB">
        <w:t xml:space="preserve"> </w:t>
      </w:r>
      <w:r w:rsidR="002611D1">
        <w:t xml:space="preserve">for </w:t>
      </w:r>
      <w:r>
        <w:t xml:space="preserve">Residential and Non-Residential </w:t>
      </w:r>
      <w:r w:rsidR="002611D1">
        <w:t xml:space="preserve">policies would be </w:t>
      </w:r>
      <w:r w:rsidR="007864D3">
        <w:t xml:space="preserve">calculated as follows:  </w:t>
      </w:r>
      <w:r>
        <w:t>first $5,000 @ $0.00</w:t>
      </w:r>
      <w:r w:rsidR="007864D3">
        <w:t>1</w:t>
      </w:r>
      <w:r>
        <w:t>0/dollar and subsequent coverage @ $0.000</w:t>
      </w:r>
      <w:r w:rsidR="007864D3">
        <w:t>25</w:t>
      </w:r>
      <w:r>
        <w:t xml:space="preserve">/dollar.  Senior citizens </w:t>
      </w:r>
      <w:r w:rsidR="00F2553C">
        <w:t>discount remain</w:t>
      </w:r>
      <w:r w:rsidR="00C83D95">
        <w:t>s at a</w:t>
      </w:r>
      <w:r>
        <w:t xml:space="preserve"> 10% on their primary residence.  (See the attached Rate Chart.)</w:t>
      </w:r>
    </w:p>
    <w:p w14:paraId="621D509F" w14:textId="77777777" w:rsidR="0002719C" w:rsidRDefault="0002719C" w:rsidP="0002719C"/>
    <w:p w14:paraId="19AAC326" w14:textId="7D2DEE34" w:rsidR="0002719C" w:rsidRDefault="0002719C" w:rsidP="007768FD">
      <w:pPr>
        <w:pStyle w:val="ListParagraph"/>
        <w:numPr>
          <w:ilvl w:val="0"/>
          <w:numId w:val="4"/>
        </w:numPr>
      </w:pPr>
      <w:r w:rsidRPr="007768FD">
        <w:rPr>
          <w:b/>
        </w:rPr>
        <w:t>Claim Payment Deductibles:</w:t>
      </w:r>
      <w:r>
        <w:t xml:space="preserve">  No change is recommended to the current deductible, which the Board has established at $0.</w:t>
      </w:r>
    </w:p>
    <w:p w14:paraId="470D450C" w14:textId="77777777" w:rsidR="0002719C" w:rsidRDefault="0002719C" w:rsidP="0002719C">
      <w:pPr>
        <w:pStyle w:val="ListParagraph"/>
      </w:pPr>
    </w:p>
    <w:p w14:paraId="631EB8B2" w14:textId="14FFD145" w:rsidR="0002719C" w:rsidRDefault="00652753" w:rsidP="000C0E17">
      <w:pPr>
        <w:pStyle w:val="ListParagraph"/>
        <w:numPr>
          <w:ilvl w:val="0"/>
          <w:numId w:val="4"/>
        </w:numPr>
      </w:pPr>
      <w:r w:rsidRPr="000C0E17">
        <w:rPr>
          <w:b/>
        </w:rPr>
        <w:t>Incidental Costs:</w:t>
      </w:r>
      <w:r>
        <w:t xml:space="preserve">  No changes are proposed for the calculations of incidental cost payments</w:t>
      </w:r>
      <w:r w:rsidR="00946547">
        <w:t xml:space="preserve"> but the</w:t>
      </w:r>
      <w:r w:rsidR="00910879">
        <w:t xml:space="preserve"> Incidental Cost Table was adjusted up to</w:t>
      </w:r>
      <w:r w:rsidR="00A45E15">
        <w:t xml:space="preserve"> $1,000,000 to </w:t>
      </w:r>
      <w:r w:rsidR="00A13243">
        <w:t>the new proposed coverage limits</w:t>
      </w:r>
      <w:r>
        <w:t>.  (See attached Incidental Cost Table.)</w:t>
      </w:r>
    </w:p>
    <w:p w14:paraId="2CA06E9D" w14:textId="77777777" w:rsidR="00652753" w:rsidRDefault="00652753" w:rsidP="00652753">
      <w:pPr>
        <w:pStyle w:val="ListParagraph"/>
      </w:pPr>
    </w:p>
    <w:p w14:paraId="21C050BB" w14:textId="4E9BBB9E" w:rsidR="00652753" w:rsidRDefault="00CB17B7" w:rsidP="000C0E17">
      <w:pPr>
        <w:pStyle w:val="ListParagraph"/>
        <w:numPr>
          <w:ilvl w:val="0"/>
          <w:numId w:val="4"/>
        </w:numPr>
      </w:pPr>
      <w:r w:rsidRPr="00CB17B7">
        <w:rPr>
          <w:b/>
        </w:rPr>
        <w:t>Commission Rate:</w:t>
      </w:r>
      <w:r>
        <w:t xml:space="preserve">  No change is proposed to the commission rate that is used to determine the compensation paid to insurance producers for the sale of MSI policies, which is one half of the first year’s premium.</w:t>
      </w:r>
    </w:p>
    <w:p w14:paraId="69E5EBA6" w14:textId="77777777" w:rsidR="00CB17B7" w:rsidRDefault="00CB17B7" w:rsidP="00CB17B7">
      <w:pPr>
        <w:pStyle w:val="ListParagraph"/>
      </w:pPr>
    </w:p>
    <w:p w14:paraId="348E37B7" w14:textId="3AF57F5B" w:rsidR="00CB17B7" w:rsidRDefault="00CB17B7" w:rsidP="00745E51">
      <w:pPr>
        <w:pStyle w:val="ListParagraph"/>
        <w:numPr>
          <w:ilvl w:val="0"/>
          <w:numId w:val="4"/>
        </w:numPr>
      </w:pPr>
      <w:r>
        <w:rPr>
          <w:b/>
        </w:rPr>
        <w:t>Coverage Limits:</w:t>
      </w:r>
      <w:r>
        <w:t xml:space="preserve">  </w:t>
      </w:r>
      <w:r w:rsidR="009516E8">
        <w:t xml:space="preserve">After reviewing the latest actuarial study </w:t>
      </w:r>
      <w:r w:rsidR="008A2DDB">
        <w:t xml:space="preserve">MSI Management </w:t>
      </w:r>
      <w:r w:rsidR="00E179EA">
        <w:t xml:space="preserve">is </w:t>
      </w:r>
      <w:r w:rsidR="008A2DDB">
        <w:t xml:space="preserve">proposing to the Board a </w:t>
      </w:r>
      <w:r w:rsidR="00DD4551">
        <w:t xml:space="preserve">change </w:t>
      </w:r>
      <w:r w:rsidR="00306212">
        <w:t xml:space="preserve">in </w:t>
      </w:r>
      <w:r w:rsidR="00A45874">
        <w:t xml:space="preserve">the limits from $500,000 </w:t>
      </w:r>
      <w:r w:rsidR="006B76F6">
        <w:t xml:space="preserve">to $1,000,000 </w:t>
      </w:r>
      <w:r w:rsidR="00DD4551">
        <w:t>for both residential and non-residential policies.</w:t>
      </w:r>
      <w:r w:rsidR="00726021">
        <w:t xml:space="preserve">  </w:t>
      </w:r>
      <w:r w:rsidR="00F36D6C">
        <w:t xml:space="preserve">  </w:t>
      </w:r>
      <w:r w:rsidR="00DD4551">
        <w:t xml:space="preserve">                                                                                                                                          </w:t>
      </w:r>
    </w:p>
    <w:p w14:paraId="4EFC3D59" w14:textId="77777777" w:rsidR="00CB17B7" w:rsidRDefault="00CB17B7" w:rsidP="00CB17B7">
      <w:pPr>
        <w:pStyle w:val="ListParagraph"/>
      </w:pPr>
    </w:p>
    <w:p w14:paraId="73EBF774" w14:textId="0DF34896" w:rsidR="00CB17B7" w:rsidRDefault="00CB17B7" w:rsidP="00745E51">
      <w:pPr>
        <w:pStyle w:val="ListParagraph"/>
        <w:numPr>
          <w:ilvl w:val="0"/>
          <w:numId w:val="4"/>
        </w:numPr>
      </w:pPr>
      <w:r w:rsidRPr="00745E51">
        <w:rPr>
          <w:b/>
        </w:rPr>
        <w:t>Loan and Grant Funding Limit:</w:t>
      </w:r>
      <w:r>
        <w:t xml:space="preserve">  The limit for FY 20</w:t>
      </w:r>
      <w:r w:rsidR="003D3DFD">
        <w:t>2</w:t>
      </w:r>
      <w:r w:rsidR="00FF767F">
        <w:t>1</w:t>
      </w:r>
      <w:r>
        <w:t xml:space="preserve"> shall be $</w:t>
      </w:r>
      <w:r w:rsidR="004E287F" w:rsidRPr="00460315">
        <w:t>1,</w:t>
      </w:r>
      <w:r w:rsidR="00FF767F">
        <w:t>163,937</w:t>
      </w:r>
      <w:r w:rsidRPr="00460315">
        <w:t xml:space="preserve">.  </w:t>
      </w:r>
      <w:r>
        <w:t>The “Loan and Grant Funding Limit” formula, as established in 25 Pa. Code Chapter 401, is one percent of the “Unreserved Fund Balance” (0.01 x $</w:t>
      </w:r>
      <w:r w:rsidR="004E287F" w:rsidRPr="00460315">
        <w:t>1</w:t>
      </w:r>
      <w:r w:rsidR="00F44F93">
        <w:t>16,393,682</w:t>
      </w:r>
      <w:r>
        <w:t xml:space="preserve">).  NOTE:  For the purpose of this calculation, the “Unreserved Fund Balance” is not reduced by the amount of “Reserves in </w:t>
      </w:r>
      <w:r>
        <w:lastRenderedPageBreak/>
        <w:t>Lieu of Reinsurance” as it is in the “Financial Performance” documents provided by the Comptroller’s Office.  At the time when the “Loan and Grant Funding Limit” formula was developed, the “Unreserved Fund Balance” included the funds that are retained as “Reserves in Lieu of Reinsurance.”  See the Budget Detail, Attachment 6, for proposed loan and grant spending for FY 20</w:t>
      </w:r>
      <w:r w:rsidR="00D32F9C">
        <w:t>20</w:t>
      </w:r>
      <w:r>
        <w:t>.</w:t>
      </w:r>
    </w:p>
    <w:p w14:paraId="3E810A16" w14:textId="77777777" w:rsidR="00CB17B7" w:rsidRDefault="00CB17B7" w:rsidP="00CB17B7">
      <w:pPr>
        <w:pStyle w:val="ListParagraph"/>
      </w:pPr>
    </w:p>
    <w:p w14:paraId="776CCC06" w14:textId="39A87503" w:rsidR="00CB17B7" w:rsidRDefault="00EB0413" w:rsidP="00745E51">
      <w:pPr>
        <w:pStyle w:val="ListParagraph"/>
        <w:numPr>
          <w:ilvl w:val="0"/>
          <w:numId w:val="4"/>
        </w:numPr>
      </w:pPr>
      <w:r w:rsidRPr="00745E51">
        <w:rPr>
          <w:b/>
        </w:rPr>
        <w:t>Reserves in Lieu of Reinsurance:</w:t>
      </w:r>
      <w:r>
        <w:t xml:space="preserve">  No change is proposed to the range of factors that are used to calculate the amount of reserves to be held in lieu of the purchase of reinsurance.  The MSI Board has established that reserve factors within a range of $4.44 to $12.95 per $1,000 of “Underwritten Coverage” be used to maintain “Reserves in Lieu of Reinsurance” at levels that result in “Unreserved Fund Balances” of about $1 million.  Rounded to the nearest penny, the factor used at the end of FY 201</w:t>
      </w:r>
      <w:r w:rsidR="005942B5">
        <w:t>9</w:t>
      </w:r>
      <w:r>
        <w:t xml:space="preserve"> was $</w:t>
      </w:r>
      <w:r w:rsidRPr="00637552">
        <w:t>8.</w:t>
      </w:r>
      <w:r w:rsidR="005942B5">
        <w:t>43</w:t>
      </w:r>
      <w:r>
        <w:t>, which is well within the established range.</w:t>
      </w:r>
    </w:p>
    <w:p w14:paraId="23DC00D0" w14:textId="77777777" w:rsidR="00EB0413" w:rsidRDefault="00EB0413" w:rsidP="00EB0413">
      <w:pPr>
        <w:pStyle w:val="ListParagraph"/>
      </w:pPr>
    </w:p>
    <w:p w14:paraId="4A17DE24" w14:textId="3367C5EB" w:rsidR="00EB0413" w:rsidRDefault="00691DB3" w:rsidP="00745E51">
      <w:pPr>
        <w:pStyle w:val="ListParagraph"/>
        <w:numPr>
          <w:ilvl w:val="0"/>
          <w:numId w:val="4"/>
        </w:numPr>
      </w:pPr>
      <w:r w:rsidRPr="00745E51">
        <w:rPr>
          <w:b/>
        </w:rPr>
        <w:t>Premium Distribution:</w:t>
      </w:r>
      <w:r>
        <w:t xml:space="preserve">  A premium distribution is not proposed.</w:t>
      </w:r>
    </w:p>
    <w:p w14:paraId="10B1D5DC" w14:textId="77777777" w:rsidR="00691DB3" w:rsidRDefault="00691DB3" w:rsidP="00691DB3">
      <w:pPr>
        <w:pStyle w:val="ListParagraph"/>
      </w:pPr>
    </w:p>
    <w:p w14:paraId="1166170A" w14:textId="6A4F8A1C" w:rsidR="002E093C" w:rsidRDefault="00062779" w:rsidP="00F95CAF">
      <w:pPr>
        <w:pStyle w:val="ListParagraph"/>
        <w:numPr>
          <w:ilvl w:val="0"/>
          <w:numId w:val="4"/>
        </w:numPr>
      </w:pPr>
      <w:r w:rsidRPr="00F95CAF">
        <w:rPr>
          <w:b/>
          <w:bCs/>
        </w:rPr>
        <w:t xml:space="preserve">Evaluation of MSI Claims </w:t>
      </w:r>
      <w:r w:rsidR="002A6648" w:rsidRPr="00F95CAF">
        <w:rPr>
          <w:b/>
          <w:bCs/>
        </w:rPr>
        <w:t>for Fiscal Year 2019</w:t>
      </w:r>
      <w:r w:rsidR="00441D02">
        <w:rPr>
          <w:b/>
          <w:bCs/>
        </w:rPr>
        <w:t>:</w:t>
      </w:r>
      <w:r w:rsidR="002A6648" w:rsidRPr="00F95CAF">
        <w:rPr>
          <w:b/>
          <w:bCs/>
        </w:rPr>
        <w:t xml:space="preserve">  </w:t>
      </w:r>
      <w:r w:rsidR="008D6880">
        <w:t xml:space="preserve">Annual report requested by the Board to evaluate and summarize </w:t>
      </w:r>
      <w:r w:rsidR="00B90B2B">
        <w:t xml:space="preserve">MSI claim investigations.  </w:t>
      </w:r>
    </w:p>
    <w:p w14:paraId="0A31321C" w14:textId="77777777" w:rsidR="00F95CAF" w:rsidRPr="00F95CAF" w:rsidRDefault="00F95CAF" w:rsidP="00F95CAF">
      <w:pPr>
        <w:pStyle w:val="ListParagraph"/>
        <w:rPr>
          <w:color w:val="000000" w:themeColor="text1"/>
        </w:rPr>
      </w:pPr>
    </w:p>
    <w:p w14:paraId="4BC64D08" w14:textId="01145657" w:rsidR="00F95CAF" w:rsidRPr="00F95CAF" w:rsidRDefault="00F95CAF" w:rsidP="00F95CAF">
      <w:pPr>
        <w:pStyle w:val="ListParagraph"/>
        <w:numPr>
          <w:ilvl w:val="0"/>
          <w:numId w:val="4"/>
        </w:numPr>
        <w:rPr>
          <w:color w:val="000000" w:themeColor="text1"/>
        </w:rPr>
      </w:pPr>
      <w:r>
        <w:rPr>
          <w:b/>
          <w:bCs/>
          <w:color w:val="000000" w:themeColor="text1"/>
        </w:rPr>
        <w:t>MSI Marketi</w:t>
      </w:r>
      <w:r w:rsidR="00441D02">
        <w:rPr>
          <w:b/>
          <w:bCs/>
          <w:color w:val="000000" w:themeColor="text1"/>
        </w:rPr>
        <w:t xml:space="preserve">ng:  </w:t>
      </w:r>
      <w:r w:rsidR="00441D02">
        <w:rPr>
          <w:color w:val="000000" w:themeColor="text1"/>
        </w:rPr>
        <w:t xml:space="preserve">Open discussing on possible </w:t>
      </w:r>
      <w:r w:rsidR="00AE7A35">
        <w:rPr>
          <w:color w:val="000000" w:themeColor="text1"/>
        </w:rPr>
        <w:t xml:space="preserve">marketing means </w:t>
      </w:r>
      <w:bookmarkStart w:id="0" w:name="_GoBack"/>
      <w:bookmarkEnd w:id="0"/>
      <w:r w:rsidR="00AE7A35">
        <w:rPr>
          <w:color w:val="000000" w:themeColor="text1"/>
        </w:rPr>
        <w:t xml:space="preserve">of MSI to the public.  </w:t>
      </w:r>
    </w:p>
    <w:p w14:paraId="148EA45D" w14:textId="77777777" w:rsidR="002E093C" w:rsidRPr="00D316DF" w:rsidRDefault="002E093C" w:rsidP="002E093C">
      <w:pPr>
        <w:ind w:left="810" w:hanging="810"/>
        <w:rPr>
          <w:color w:val="000000" w:themeColor="text1"/>
        </w:rPr>
      </w:pPr>
    </w:p>
    <w:p w14:paraId="09AC3C60" w14:textId="2F94E32D" w:rsidR="00535ADB" w:rsidRDefault="00535ADB" w:rsidP="002E093C">
      <w:pPr>
        <w:ind w:left="720"/>
        <w:rPr>
          <w:color w:val="FF0000"/>
        </w:rPr>
      </w:pPr>
    </w:p>
    <w:p w14:paraId="7DDC06F1" w14:textId="7D034455" w:rsidR="00535ADB" w:rsidRDefault="00535ADB" w:rsidP="002E093C">
      <w:pPr>
        <w:ind w:left="720"/>
        <w:rPr>
          <w:color w:val="FF0000"/>
        </w:rPr>
      </w:pPr>
    </w:p>
    <w:p w14:paraId="01616998" w14:textId="111C9150" w:rsidR="00535ADB" w:rsidRDefault="00535ADB" w:rsidP="002E093C">
      <w:pPr>
        <w:ind w:left="720"/>
        <w:rPr>
          <w:color w:val="FF0000"/>
        </w:rPr>
      </w:pPr>
    </w:p>
    <w:p w14:paraId="0FFF5A2C" w14:textId="5232FA20" w:rsidR="00535ADB" w:rsidRDefault="00535ADB" w:rsidP="002E093C">
      <w:pPr>
        <w:ind w:left="720"/>
        <w:rPr>
          <w:color w:val="FF0000"/>
        </w:rPr>
      </w:pPr>
    </w:p>
    <w:p w14:paraId="08B27F4C" w14:textId="42CA445A" w:rsidR="00535ADB" w:rsidRDefault="00535ADB" w:rsidP="002E093C">
      <w:pPr>
        <w:ind w:left="720"/>
        <w:rPr>
          <w:color w:val="FF0000"/>
        </w:rPr>
      </w:pPr>
    </w:p>
    <w:p w14:paraId="64ACFDF2" w14:textId="77777777" w:rsidR="00535ADB" w:rsidRPr="00FE501D" w:rsidRDefault="00535ADB" w:rsidP="002E093C">
      <w:pPr>
        <w:ind w:left="720"/>
        <w:rPr>
          <w:color w:val="FF0000"/>
        </w:rPr>
      </w:pPr>
    </w:p>
    <w:sectPr w:rsidR="00535ADB" w:rsidRPr="00FE501D" w:rsidSect="00691DB3">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6010E" w14:textId="77777777" w:rsidR="00807420" w:rsidRDefault="00807420" w:rsidP="002E093C">
      <w:r>
        <w:separator/>
      </w:r>
    </w:p>
  </w:endnote>
  <w:endnote w:type="continuationSeparator" w:id="0">
    <w:p w14:paraId="3B8703A7" w14:textId="77777777" w:rsidR="00807420" w:rsidRDefault="00807420" w:rsidP="002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CC175" w14:textId="77777777" w:rsidR="00807420" w:rsidRDefault="00807420" w:rsidP="002E093C">
      <w:r>
        <w:separator/>
      </w:r>
    </w:p>
  </w:footnote>
  <w:footnote w:type="continuationSeparator" w:id="0">
    <w:p w14:paraId="6D2E9EF3" w14:textId="77777777" w:rsidR="00807420" w:rsidRDefault="00807420" w:rsidP="002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A4DC6"/>
    <w:multiLevelType w:val="hybridMultilevel"/>
    <w:tmpl w:val="D32CE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D2054"/>
    <w:multiLevelType w:val="hybridMultilevel"/>
    <w:tmpl w:val="7C8EDD24"/>
    <w:lvl w:ilvl="0" w:tplc="A76A3F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06DA1"/>
    <w:multiLevelType w:val="hybridMultilevel"/>
    <w:tmpl w:val="B6DCAE0C"/>
    <w:lvl w:ilvl="0" w:tplc="97D43840">
      <w:start w:val="1"/>
      <w:numFmt w:val="decimal"/>
      <w:lvlText w:val="%1)"/>
      <w:lvlJc w:val="left"/>
      <w:pPr>
        <w:ind w:left="2160" w:hanging="360"/>
      </w:pPr>
      <w:rPr>
        <w:b/>
      </w:rPr>
    </w:lvl>
    <w:lvl w:ilvl="1" w:tplc="04090019" w:tentative="1">
      <w:start w:val="1"/>
      <w:numFmt w:val="lowerLetter"/>
      <w:lvlText w:val="%2."/>
      <w:lvlJc w:val="left"/>
      <w:pPr>
        <w:ind w:left="2956" w:hanging="360"/>
      </w:pPr>
    </w:lvl>
    <w:lvl w:ilvl="2" w:tplc="0409001B" w:tentative="1">
      <w:start w:val="1"/>
      <w:numFmt w:val="lowerRoman"/>
      <w:lvlText w:val="%3."/>
      <w:lvlJc w:val="right"/>
      <w:pPr>
        <w:ind w:left="3676" w:hanging="180"/>
      </w:pPr>
    </w:lvl>
    <w:lvl w:ilvl="3" w:tplc="0409000F" w:tentative="1">
      <w:start w:val="1"/>
      <w:numFmt w:val="decimal"/>
      <w:lvlText w:val="%4."/>
      <w:lvlJc w:val="left"/>
      <w:pPr>
        <w:ind w:left="4396" w:hanging="360"/>
      </w:pPr>
    </w:lvl>
    <w:lvl w:ilvl="4" w:tplc="04090019" w:tentative="1">
      <w:start w:val="1"/>
      <w:numFmt w:val="lowerLetter"/>
      <w:lvlText w:val="%5."/>
      <w:lvlJc w:val="left"/>
      <w:pPr>
        <w:ind w:left="5116" w:hanging="360"/>
      </w:pPr>
    </w:lvl>
    <w:lvl w:ilvl="5" w:tplc="0409001B" w:tentative="1">
      <w:start w:val="1"/>
      <w:numFmt w:val="lowerRoman"/>
      <w:lvlText w:val="%6."/>
      <w:lvlJc w:val="right"/>
      <w:pPr>
        <w:ind w:left="5836" w:hanging="180"/>
      </w:pPr>
    </w:lvl>
    <w:lvl w:ilvl="6" w:tplc="0409000F" w:tentative="1">
      <w:start w:val="1"/>
      <w:numFmt w:val="decimal"/>
      <w:lvlText w:val="%7."/>
      <w:lvlJc w:val="left"/>
      <w:pPr>
        <w:ind w:left="6556" w:hanging="360"/>
      </w:pPr>
    </w:lvl>
    <w:lvl w:ilvl="7" w:tplc="04090019" w:tentative="1">
      <w:start w:val="1"/>
      <w:numFmt w:val="lowerLetter"/>
      <w:lvlText w:val="%8."/>
      <w:lvlJc w:val="left"/>
      <w:pPr>
        <w:ind w:left="7276" w:hanging="360"/>
      </w:pPr>
    </w:lvl>
    <w:lvl w:ilvl="8" w:tplc="0409001B" w:tentative="1">
      <w:start w:val="1"/>
      <w:numFmt w:val="lowerRoman"/>
      <w:lvlText w:val="%9."/>
      <w:lvlJc w:val="right"/>
      <w:pPr>
        <w:ind w:left="7996" w:hanging="180"/>
      </w:pPr>
    </w:lvl>
  </w:abstractNum>
  <w:abstractNum w:abstractNumId="3" w15:restartNumberingAfterBreak="0">
    <w:nsid w:val="5A134CF9"/>
    <w:multiLevelType w:val="hybridMultilevel"/>
    <w:tmpl w:val="57025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B58"/>
    <w:rsid w:val="000004D0"/>
    <w:rsid w:val="000133E4"/>
    <w:rsid w:val="00014544"/>
    <w:rsid w:val="0002719C"/>
    <w:rsid w:val="00056297"/>
    <w:rsid w:val="00062779"/>
    <w:rsid w:val="000B31B9"/>
    <w:rsid w:val="000C0E17"/>
    <w:rsid w:val="000C46AB"/>
    <w:rsid w:val="000D0BC5"/>
    <w:rsid w:val="000D269B"/>
    <w:rsid w:val="000E2EAB"/>
    <w:rsid w:val="000E6000"/>
    <w:rsid w:val="001021CD"/>
    <w:rsid w:val="00134AAA"/>
    <w:rsid w:val="00151A81"/>
    <w:rsid w:val="00187207"/>
    <w:rsid w:val="001E443A"/>
    <w:rsid w:val="001E60B8"/>
    <w:rsid w:val="00205AD8"/>
    <w:rsid w:val="002079E2"/>
    <w:rsid w:val="002110F1"/>
    <w:rsid w:val="00216C8D"/>
    <w:rsid w:val="00216FC8"/>
    <w:rsid w:val="00224731"/>
    <w:rsid w:val="002611D1"/>
    <w:rsid w:val="002802D7"/>
    <w:rsid w:val="00283912"/>
    <w:rsid w:val="002A6648"/>
    <w:rsid w:val="002E093C"/>
    <w:rsid w:val="002F5C69"/>
    <w:rsid w:val="00301195"/>
    <w:rsid w:val="00304762"/>
    <w:rsid w:val="00306212"/>
    <w:rsid w:val="003279C2"/>
    <w:rsid w:val="00391FC7"/>
    <w:rsid w:val="003A2346"/>
    <w:rsid w:val="003D3DFD"/>
    <w:rsid w:val="003D4A11"/>
    <w:rsid w:val="00441D02"/>
    <w:rsid w:val="00460315"/>
    <w:rsid w:val="00477AA0"/>
    <w:rsid w:val="00491B2A"/>
    <w:rsid w:val="004B035F"/>
    <w:rsid w:val="004D6D20"/>
    <w:rsid w:val="004E287F"/>
    <w:rsid w:val="00502A10"/>
    <w:rsid w:val="005168C0"/>
    <w:rsid w:val="005200DC"/>
    <w:rsid w:val="00535ADB"/>
    <w:rsid w:val="00537AA1"/>
    <w:rsid w:val="00584869"/>
    <w:rsid w:val="00591766"/>
    <w:rsid w:val="005942B5"/>
    <w:rsid w:val="005A6C9A"/>
    <w:rsid w:val="005D4E13"/>
    <w:rsid w:val="005E5577"/>
    <w:rsid w:val="00616D78"/>
    <w:rsid w:val="0062144B"/>
    <w:rsid w:val="0063178D"/>
    <w:rsid w:val="00637552"/>
    <w:rsid w:val="00652753"/>
    <w:rsid w:val="00655586"/>
    <w:rsid w:val="006615A9"/>
    <w:rsid w:val="00691DB3"/>
    <w:rsid w:val="006972BA"/>
    <w:rsid w:val="006B1A61"/>
    <w:rsid w:val="006B76F6"/>
    <w:rsid w:val="006E4281"/>
    <w:rsid w:val="00726021"/>
    <w:rsid w:val="00726059"/>
    <w:rsid w:val="00745E51"/>
    <w:rsid w:val="00765C1B"/>
    <w:rsid w:val="007669E9"/>
    <w:rsid w:val="007768FD"/>
    <w:rsid w:val="007864D3"/>
    <w:rsid w:val="007877AF"/>
    <w:rsid w:val="007928EF"/>
    <w:rsid w:val="00794476"/>
    <w:rsid w:val="007D5331"/>
    <w:rsid w:val="00803371"/>
    <w:rsid w:val="00807420"/>
    <w:rsid w:val="0082399B"/>
    <w:rsid w:val="00825B08"/>
    <w:rsid w:val="008303A7"/>
    <w:rsid w:val="008326B7"/>
    <w:rsid w:val="008402D6"/>
    <w:rsid w:val="00895424"/>
    <w:rsid w:val="008A2DDB"/>
    <w:rsid w:val="008B117C"/>
    <w:rsid w:val="008B3A4C"/>
    <w:rsid w:val="008D6880"/>
    <w:rsid w:val="008D765D"/>
    <w:rsid w:val="008E498E"/>
    <w:rsid w:val="00907D59"/>
    <w:rsid w:val="00910879"/>
    <w:rsid w:val="00916FD5"/>
    <w:rsid w:val="0091780E"/>
    <w:rsid w:val="00946547"/>
    <w:rsid w:val="009516E8"/>
    <w:rsid w:val="00976639"/>
    <w:rsid w:val="0098798E"/>
    <w:rsid w:val="00A13243"/>
    <w:rsid w:val="00A45874"/>
    <w:rsid w:val="00A45E15"/>
    <w:rsid w:val="00A83B8A"/>
    <w:rsid w:val="00A938E2"/>
    <w:rsid w:val="00AB3FEC"/>
    <w:rsid w:val="00AC6293"/>
    <w:rsid w:val="00AE7A35"/>
    <w:rsid w:val="00AF7820"/>
    <w:rsid w:val="00B02CF8"/>
    <w:rsid w:val="00B12519"/>
    <w:rsid w:val="00B22488"/>
    <w:rsid w:val="00B3131E"/>
    <w:rsid w:val="00B450DA"/>
    <w:rsid w:val="00B724C3"/>
    <w:rsid w:val="00B80B7C"/>
    <w:rsid w:val="00B90B2B"/>
    <w:rsid w:val="00B9415A"/>
    <w:rsid w:val="00BA1ED4"/>
    <w:rsid w:val="00BA4215"/>
    <w:rsid w:val="00BE37BD"/>
    <w:rsid w:val="00C202AD"/>
    <w:rsid w:val="00C2634A"/>
    <w:rsid w:val="00C35E28"/>
    <w:rsid w:val="00C60364"/>
    <w:rsid w:val="00C71643"/>
    <w:rsid w:val="00C73BF8"/>
    <w:rsid w:val="00C80E80"/>
    <w:rsid w:val="00C83D95"/>
    <w:rsid w:val="00CA674A"/>
    <w:rsid w:val="00CB17B7"/>
    <w:rsid w:val="00CD281B"/>
    <w:rsid w:val="00D316DF"/>
    <w:rsid w:val="00D32F9C"/>
    <w:rsid w:val="00D4012E"/>
    <w:rsid w:val="00D52F17"/>
    <w:rsid w:val="00DA1F88"/>
    <w:rsid w:val="00DB5857"/>
    <w:rsid w:val="00DC6040"/>
    <w:rsid w:val="00DD4551"/>
    <w:rsid w:val="00E122CF"/>
    <w:rsid w:val="00E12D25"/>
    <w:rsid w:val="00E17895"/>
    <w:rsid w:val="00E179EA"/>
    <w:rsid w:val="00E25FEE"/>
    <w:rsid w:val="00E933FA"/>
    <w:rsid w:val="00E966B3"/>
    <w:rsid w:val="00EA4B58"/>
    <w:rsid w:val="00EB0413"/>
    <w:rsid w:val="00EC7D58"/>
    <w:rsid w:val="00F03707"/>
    <w:rsid w:val="00F143A6"/>
    <w:rsid w:val="00F2553C"/>
    <w:rsid w:val="00F36D6C"/>
    <w:rsid w:val="00F44F93"/>
    <w:rsid w:val="00F85CCC"/>
    <w:rsid w:val="00F92C21"/>
    <w:rsid w:val="00F95AE5"/>
    <w:rsid w:val="00F95CAF"/>
    <w:rsid w:val="00FB1F98"/>
    <w:rsid w:val="00FD0232"/>
    <w:rsid w:val="00FE2A4A"/>
    <w:rsid w:val="00FE501D"/>
    <w:rsid w:val="00FF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91F8"/>
  <w15:chartTrackingRefBased/>
  <w15:docId w15:val="{A791DCDC-1CE7-498F-959C-86B25DC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B58"/>
    <w:pPr>
      <w:ind w:left="720"/>
      <w:contextualSpacing/>
    </w:pPr>
  </w:style>
  <w:style w:type="table" w:styleId="TableGrid">
    <w:name w:val="Table Grid"/>
    <w:basedOn w:val="TableNormal"/>
    <w:uiPriority w:val="39"/>
    <w:rsid w:val="00EA4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93C"/>
    <w:pPr>
      <w:tabs>
        <w:tab w:val="center" w:pos="4680"/>
        <w:tab w:val="right" w:pos="9360"/>
      </w:tabs>
    </w:pPr>
  </w:style>
  <w:style w:type="character" w:customStyle="1" w:styleId="HeaderChar">
    <w:name w:val="Header Char"/>
    <w:basedOn w:val="DefaultParagraphFont"/>
    <w:link w:val="Header"/>
    <w:uiPriority w:val="99"/>
    <w:rsid w:val="002E09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093C"/>
    <w:pPr>
      <w:tabs>
        <w:tab w:val="center" w:pos="4680"/>
        <w:tab w:val="right" w:pos="9360"/>
      </w:tabs>
    </w:pPr>
  </w:style>
  <w:style w:type="character" w:customStyle="1" w:styleId="FooterChar">
    <w:name w:val="Footer Char"/>
    <w:basedOn w:val="DefaultParagraphFont"/>
    <w:link w:val="Footer"/>
    <w:uiPriority w:val="99"/>
    <w:rsid w:val="002E09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3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3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42002">
      <w:bodyDiv w:val="1"/>
      <w:marLeft w:val="0"/>
      <w:marRight w:val="0"/>
      <w:marTop w:val="0"/>
      <w:marBottom w:val="0"/>
      <w:divBdr>
        <w:top w:val="none" w:sz="0" w:space="0" w:color="auto"/>
        <w:left w:val="none" w:sz="0" w:space="0" w:color="auto"/>
        <w:bottom w:val="none" w:sz="0" w:space="0" w:color="auto"/>
        <w:right w:val="none" w:sz="0" w:space="0" w:color="auto"/>
      </w:divBdr>
    </w:div>
    <w:div w:id="548806638">
      <w:bodyDiv w:val="1"/>
      <w:marLeft w:val="0"/>
      <w:marRight w:val="0"/>
      <w:marTop w:val="0"/>
      <w:marBottom w:val="0"/>
      <w:divBdr>
        <w:top w:val="none" w:sz="0" w:space="0" w:color="auto"/>
        <w:left w:val="none" w:sz="0" w:space="0" w:color="auto"/>
        <w:bottom w:val="none" w:sz="0" w:space="0" w:color="auto"/>
        <w:right w:val="none" w:sz="0" w:space="0" w:color="auto"/>
      </w:divBdr>
    </w:div>
    <w:div w:id="161929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83147DE5841428E3B055DF8E06B0F" ma:contentTypeVersion="9" ma:contentTypeDescription="Create a new document." ma:contentTypeScope="" ma:versionID="215d052203b5cc18ee9915b90cfb95b5">
  <xsd:schema xmlns:xsd="http://www.w3.org/2001/XMLSchema" xmlns:xs="http://www.w3.org/2001/XMLSchema" xmlns:p="http://schemas.microsoft.com/office/2006/metadata/properties" xmlns:ns2="f21fc0e8-0ea7-429d-b805-d35143cd6aa7" xmlns:ns3="075bf4ee-0d98-430d-925c-fe4ac2b36c96" targetNamespace="http://schemas.microsoft.com/office/2006/metadata/properties" ma:root="true" ma:fieldsID="737343089216a29e412b0edc8d6cff7e" ns2:_="" ns3:_="">
    <xsd:import namespace="f21fc0e8-0ea7-429d-b805-d35143cd6aa7"/>
    <xsd:import namespace="075bf4ee-0d98-430d-925c-fe4ac2b36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fc0e8-0ea7-429d-b805-d35143cd6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bf4ee-0d98-430d-925c-fe4ac2b36c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AA748-EDC0-4CB6-AA02-C0040F84C6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78775-AD6F-4483-BE30-C57A38A2B912}">
  <ds:schemaRefs>
    <ds:schemaRef ds:uri="http://schemas.microsoft.com/sharepoint/v3/contenttype/forms"/>
  </ds:schemaRefs>
</ds:datastoreItem>
</file>

<file path=customXml/itemProps3.xml><?xml version="1.0" encoding="utf-8"?>
<ds:datastoreItem xmlns:ds="http://schemas.openxmlformats.org/officeDocument/2006/customXml" ds:itemID="{5E4A2774-FF16-4162-9DD3-F69556C68561}"/>
</file>

<file path=docProps/app.xml><?xml version="1.0" encoding="utf-8"?>
<Properties xmlns="http://schemas.openxmlformats.org/officeDocument/2006/extended-properties" xmlns:vt="http://schemas.openxmlformats.org/officeDocument/2006/docPropsVTypes">
  <Template>Normal</Template>
  <TotalTime>107</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Shuvonna</dc:creator>
  <cp:keywords/>
  <dc:description/>
  <cp:lastModifiedBy>Charowsky, James</cp:lastModifiedBy>
  <cp:revision>132</cp:revision>
  <cp:lastPrinted>2018-11-20T17:29:00Z</cp:lastPrinted>
  <dcterms:created xsi:type="dcterms:W3CDTF">2019-11-01T17:56:00Z</dcterms:created>
  <dcterms:modified xsi:type="dcterms:W3CDTF">2020-11-30T20:45:00Z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0x01010086183147DE5841428E3B055DF8E06B0F</vt:lpwstr>
  </property>
</Properties>
</file>