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F8" w:rsidRDefault="00F665F8" w:rsidP="00F665F8">
      <w:pPr>
        <w:pStyle w:val="BodyText2"/>
        <w:rPr>
          <w:rFonts w:ascii="Arial" w:hAnsi="Arial" w:cs="Arial"/>
          <w:i/>
          <w:sz w:val="24"/>
        </w:rPr>
      </w:pPr>
      <w:r>
        <w:rPr>
          <w:rFonts w:ascii="Arial" w:hAnsi="Arial" w:cs="Arial"/>
          <w:i/>
          <w:noProof/>
          <w:sz w:val="24"/>
        </w:rPr>
        <w:drawing>
          <wp:inline distT="0" distB="0" distL="0" distR="0">
            <wp:extent cx="27051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2705100" cy="571500"/>
                    </a:xfrm>
                    <a:prstGeom prst="rect">
                      <a:avLst/>
                    </a:prstGeom>
                  </pic:spPr>
                </pic:pic>
              </a:graphicData>
            </a:graphic>
          </wp:inline>
        </w:drawing>
      </w:r>
    </w:p>
    <w:p w:rsidR="00D310F2" w:rsidRDefault="00D310F2" w:rsidP="00F665F8">
      <w:pPr>
        <w:pStyle w:val="BodyText2"/>
        <w:rPr>
          <w:rFonts w:ascii="Arial" w:hAnsi="Arial" w:cs="Arial"/>
          <w:i/>
          <w:sz w:val="24"/>
        </w:rPr>
      </w:pPr>
    </w:p>
    <w:p w:rsidR="00F665F8" w:rsidRDefault="00B81A3B" w:rsidP="00F665F8">
      <w:pPr>
        <w:pStyle w:val="BodyText2"/>
        <w:rPr>
          <w:rFonts w:ascii="Arial" w:hAnsi="Arial" w:cs="Arial"/>
          <w:i/>
          <w:sz w:val="24"/>
        </w:rPr>
      </w:pPr>
      <w:r>
        <w:rPr>
          <w:rFonts w:ascii="Arial" w:hAnsi="Arial" w:cs="Arial"/>
          <w:i/>
          <w:sz w:val="24"/>
        </w:rPr>
        <w:t>CAC Budget</w:t>
      </w:r>
      <w:r w:rsidR="00F665F8">
        <w:rPr>
          <w:rFonts w:ascii="Arial" w:hAnsi="Arial" w:cs="Arial"/>
          <w:i/>
          <w:sz w:val="24"/>
        </w:rPr>
        <w:t xml:space="preserve"> Review </w:t>
      </w:r>
    </w:p>
    <w:p w:rsidR="000900AE" w:rsidRPr="007255E3" w:rsidRDefault="004B2228" w:rsidP="00F665F8">
      <w:pPr>
        <w:pStyle w:val="BodyText2"/>
        <w:rPr>
          <w:rFonts w:ascii="Arial" w:hAnsi="Arial" w:cs="Arial"/>
          <w:i/>
          <w:sz w:val="24"/>
        </w:rPr>
      </w:pPr>
      <w:r>
        <w:rPr>
          <w:rFonts w:ascii="Arial" w:hAnsi="Arial" w:cs="Arial"/>
          <w:i/>
          <w:sz w:val="24"/>
        </w:rPr>
        <w:t>Tues</w:t>
      </w:r>
      <w:r w:rsidR="00FA1296" w:rsidRPr="007255E3">
        <w:rPr>
          <w:rFonts w:ascii="Arial" w:hAnsi="Arial" w:cs="Arial"/>
          <w:i/>
          <w:sz w:val="24"/>
        </w:rPr>
        <w:t>day</w:t>
      </w:r>
      <w:r w:rsidR="00ED2FEC" w:rsidRPr="007255E3">
        <w:rPr>
          <w:rFonts w:ascii="Arial" w:hAnsi="Arial" w:cs="Arial"/>
          <w:i/>
          <w:sz w:val="24"/>
        </w:rPr>
        <w:t xml:space="preserve">, </w:t>
      </w:r>
      <w:r>
        <w:rPr>
          <w:rFonts w:ascii="Arial" w:hAnsi="Arial" w:cs="Arial"/>
          <w:i/>
          <w:sz w:val="24"/>
        </w:rPr>
        <w:t>November 14</w:t>
      </w:r>
      <w:r w:rsidR="00186872" w:rsidRPr="007255E3">
        <w:rPr>
          <w:rFonts w:ascii="Arial" w:hAnsi="Arial" w:cs="Arial"/>
          <w:i/>
          <w:sz w:val="24"/>
        </w:rPr>
        <w:t>,</w:t>
      </w:r>
      <w:r w:rsidR="00FA1296" w:rsidRPr="007255E3">
        <w:rPr>
          <w:rFonts w:ascii="Arial" w:hAnsi="Arial" w:cs="Arial"/>
          <w:i/>
          <w:sz w:val="24"/>
        </w:rPr>
        <w:t xml:space="preserve"> 2017</w:t>
      </w:r>
    </w:p>
    <w:p w:rsidR="004D7112" w:rsidRDefault="004D7112">
      <w:pPr>
        <w:pStyle w:val="BodyText2"/>
        <w:rPr>
          <w:rFonts w:ascii="Arial" w:hAnsi="Arial" w:cs="Arial"/>
          <w:sz w:val="24"/>
        </w:rPr>
      </w:pPr>
    </w:p>
    <w:p w:rsidR="00CE44AE" w:rsidRPr="000B4BBC" w:rsidRDefault="00CE44AE" w:rsidP="000B4BBC">
      <w:pPr>
        <w:rPr>
          <w:rFonts w:ascii="Arial" w:hAnsi="Arial" w:cs="Arial"/>
          <w:b/>
          <w:bCs/>
          <w:i/>
        </w:rPr>
      </w:pPr>
      <w:r w:rsidRPr="000B4BBC">
        <w:rPr>
          <w:rFonts w:ascii="Arial" w:hAnsi="Arial" w:cs="Arial"/>
          <w:b/>
          <w:bCs/>
        </w:rPr>
        <w:t>SUMMARY BY FUND AND APPROPRIATION</w:t>
      </w:r>
      <w:r w:rsidR="009E404A" w:rsidRPr="000B4BBC">
        <w:rPr>
          <w:rFonts w:ascii="Arial" w:hAnsi="Arial" w:cs="Arial"/>
          <w:b/>
          <w:bCs/>
        </w:rPr>
        <w:t xml:space="preserve"> </w:t>
      </w:r>
    </w:p>
    <w:p w:rsidR="00CE44AE" w:rsidRPr="000B4BBC" w:rsidRDefault="00CE44AE" w:rsidP="000B4BBC">
      <w:pPr>
        <w:rPr>
          <w:rFonts w:ascii="Arial" w:hAnsi="Arial" w:cs="Arial"/>
          <w:b/>
          <w:bCs/>
        </w:rPr>
      </w:pPr>
    </w:p>
    <w:p w:rsidR="00436902" w:rsidRPr="000B4BBC" w:rsidRDefault="00436902" w:rsidP="000B4BBC">
      <w:pPr>
        <w:rPr>
          <w:rFonts w:ascii="Arial" w:hAnsi="Arial" w:cs="Arial"/>
          <w:bCs/>
          <w:i/>
        </w:rPr>
      </w:pPr>
      <w:r w:rsidRPr="000B4BBC">
        <w:rPr>
          <w:rFonts w:ascii="Arial" w:hAnsi="Arial" w:cs="Arial"/>
          <w:bCs/>
        </w:rPr>
        <w:t>This document</w:t>
      </w:r>
      <w:r w:rsidR="00CE44AE" w:rsidRPr="000B4BBC">
        <w:rPr>
          <w:rFonts w:ascii="Arial" w:hAnsi="Arial" w:cs="Arial"/>
          <w:bCs/>
        </w:rPr>
        <w:t xml:space="preserve"> is submitted as part of each fiscal year’s budget submission to the Governor’s Budget Office</w:t>
      </w:r>
      <w:r w:rsidR="00A35654" w:rsidRPr="000B4BBC">
        <w:rPr>
          <w:rFonts w:ascii="Arial" w:hAnsi="Arial" w:cs="Arial"/>
          <w:bCs/>
        </w:rPr>
        <w:t>.</w:t>
      </w:r>
      <w:r w:rsidR="00CE44AE" w:rsidRPr="000B4BBC">
        <w:rPr>
          <w:rFonts w:ascii="Arial" w:hAnsi="Arial" w:cs="Arial"/>
          <w:bCs/>
        </w:rPr>
        <w:t xml:space="preserve"> </w:t>
      </w:r>
      <w:r w:rsidR="00CE44AE" w:rsidRPr="000B4BBC">
        <w:rPr>
          <w:rFonts w:ascii="Arial" w:hAnsi="Arial" w:cs="Arial"/>
          <w:bCs/>
          <w:i/>
        </w:rPr>
        <w:t>(The example provided is part of DEP’s 2018-19 fiscal year budget submission)</w:t>
      </w:r>
      <w:r w:rsidR="00824BA8" w:rsidRPr="000B4BBC">
        <w:rPr>
          <w:rFonts w:ascii="Arial" w:hAnsi="Arial" w:cs="Arial"/>
          <w:bCs/>
          <w:i/>
        </w:rPr>
        <w:t xml:space="preserve"> </w:t>
      </w:r>
      <w:r w:rsidR="00F665F8" w:rsidRPr="000B4BBC">
        <w:rPr>
          <w:rFonts w:ascii="Arial" w:hAnsi="Arial" w:cs="Arial"/>
          <w:b/>
          <w:bCs/>
          <w:i/>
        </w:rPr>
        <w:t>(Attachment #1)</w:t>
      </w:r>
    </w:p>
    <w:p w:rsidR="00436902" w:rsidRPr="000B4BBC" w:rsidRDefault="00436902" w:rsidP="000B4BBC">
      <w:pPr>
        <w:rPr>
          <w:rFonts w:ascii="Arial" w:hAnsi="Arial" w:cs="Arial"/>
          <w:bCs/>
          <w:i/>
        </w:rPr>
      </w:pPr>
    </w:p>
    <w:p w:rsidR="00292BC9" w:rsidRPr="000B4BBC" w:rsidRDefault="00292BC9" w:rsidP="000B4BBC">
      <w:pPr>
        <w:rPr>
          <w:rFonts w:ascii="Arial" w:hAnsi="Arial" w:cs="Arial"/>
          <w:bCs/>
        </w:rPr>
      </w:pPr>
      <w:r w:rsidRPr="000B4BBC">
        <w:rPr>
          <w:rFonts w:ascii="Arial" w:hAnsi="Arial" w:cs="Arial"/>
          <w:bCs/>
        </w:rPr>
        <w:t>A portion of</w:t>
      </w:r>
      <w:r w:rsidR="00824BA8" w:rsidRPr="000B4BBC">
        <w:rPr>
          <w:rFonts w:ascii="Arial" w:hAnsi="Arial" w:cs="Arial"/>
          <w:bCs/>
        </w:rPr>
        <w:t xml:space="preserve"> this document will appear in the Governor’s Executive Budget when it is presented in </w:t>
      </w:r>
      <w:r w:rsidR="00A35654" w:rsidRPr="000B4BBC">
        <w:rPr>
          <w:rFonts w:ascii="Arial" w:hAnsi="Arial" w:cs="Arial"/>
          <w:bCs/>
        </w:rPr>
        <w:t>February</w:t>
      </w:r>
      <w:r w:rsidR="00824BA8" w:rsidRPr="000B4BBC">
        <w:rPr>
          <w:rFonts w:ascii="Arial" w:hAnsi="Arial" w:cs="Arial"/>
          <w:bCs/>
        </w:rPr>
        <w:t xml:space="preserve"> 2018</w:t>
      </w:r>
      <w:r w:rsidR="00A35654" w:rsidRPr="000B4BBC">
        <w:rPr>
          <w:rFonts w:ascii="Arial" w:hAnsi="Arial" w:cs="Arial"/>
          <w:bCs/>
        </w:rPr>
        <w:t xml:space="preserve">. The document lists DEP </w:t>
      </w:r>
      <w:r w:rsidR="00867330" w:rsidRPr="000B4BBC">
        <w:rPr>
          <w:rFonts w:ascii="Arial" w:hAnsi="Arial" w:cs="Arial"/>
          <w:b/>
          <w:bCs/>
          <w:i/>
          <w:u w:val="single"/>
        </w:rPr>
        <w:t>plann</w:t>
      </w:r>
      <w:r w:rsidR="00436902" w:rsidRPr="000B4BBC">
        <w:rPr>
          <w:rFonts w:ascii="Arial" w:hAnsi="Arial" w:cs="Arial"/>
          <w:b/>
          <w:bCs/>
          <w:i/>
          <w:u w:val="single"/>
        </w:rPr>
        <w:t>ed</w:t>
      </w:r>
      <w:r w:rsidR="00867330" w:rsidRPr="000B4BBC">
        <w:rPr>
          <w:rFonts w:ascii="Arial" w:hAnsi="Arial" w:cs="Arial"/>
          <w:b/>
          <w:bCs/>
          <w:i/>
          <w:u w:val="single"/>
        </w:rPr>
        <w:t xml:space="preserve"> spending</w:t>
      </w:r>
      <w:r w:rsidR="00C51B6C" w:rsidRPr="000B4BBC">
        <w:rPr>
          <w:rFonts w:ascii="Arial" w:hAnsi="Arial" w:cs="Arial"/>
          <w:bCs/>
        </w:rPr>
        <w:t xml:space="preserve"> in the current and following fiscal years</w:t>
      </w:r>
      <w:r w:rsidR="00A35654" w:rsidRPr="000B4BBC">
        <w:rPr>
          <w:rFonts w:ascii="Arial" w:hAnsi="Arial" w:cs="Arial"/>
          <w:bCs/>
        </w:rPr>
        <w:t>:</w:t>
      </w:r>
    </w:p>
    <w:p w:rsidR="00CE44AE" w:rsidRPr="000B4BBC" w:rsidRDefault="00CE44AE" w:rsidP="000B4BBC">
      <w:pPr>
        <w:rPr>
          <w:rFonts w:ascii="Arial" w:hAnsi="Arial" w:cs="Arial"/>
          <w:bCs/>
        </w:rPr>
      </w:pPr>
    </w:p>
    <w:p w:rsidR="00CE44AE" w:rsidRPr="000B4BBC" w:rsidRDefault="00CE44AE" w:rsidP="000B4BBC">
      <w:pPr>
        <w:pStyle w:val="ListParagraph"/>
        <w:numPr>
          <w:ilvl w:val="0"/>
          <w:numId w:val="6"/>
        </w:numPr>
        <w:rPr>
          <w:rFonts w:ascii="Arial" w:hAnsi="Arial" w:cs="Arial"/>
          <w:bCs/>
        </w:rPr>
      </w:pPr>
      <w:r w:rsidRPr="000B4BBC">
        <w:rPr>
          <w:rFonts w:ascii="Arial" w:hAnsi="Arial" w:cs="Arial"/>
          <w:bCs/>
        </w:rPr>
        <w:t>By type of funding</w:t>
      </w:r>
      <w:r w:rsidR="00292BC9" w:rsidRPr="000B4BBC">
        <w:rPr>
          <w:rFonts w:ascii="Arial" w:hAnsi="Arial" w:cs="Arial"/>
          <w:bCs/>
        </w:rPr>
        <w:t xml:space="preserve"> and fund name</w:t>
      </w:r>
    </w:p>
    <w:p w:rsidR="00292BC9" w:rsidRPr="000B4BBC" w:rsidRDefault="00292BC9" w:rsidP="000B4BBC">
      <w:pPr>
        <w:pStyle w:val="ListParagraph"/>
        <w:numPr>
          <w:ilvl w:val="0"/>
          <w:numId w:val="6"/>
        </w:numPr>
        <w:rPr>
          <w:rFonts w:ascii="Arial" w:hAnsi="Arial" w:cs="Arial"/>
          <w:bCs/>
        </w:rPr>
      </w:pPr>
      <w:r w:rsidRPr="000B4BBC">
        <w:rPr>
          <w:rFonts w:ascii="Arial" w:hAnsi="Arial" w:cs="Arial"/>
          <w:bCs/>
        </w:rPr>
        <w:t>Three</w:t>
      </w:r>
      <w:r w:rsidR="00CE44AE" w:rsidRPr="000B4BBC">
        <w:rPr>
          <w:rFonts w:ascii="Arial" w:hAnsi="Arial" w:cs="Arial"/>
          <w:bCs/>
        </w:rPr>
        <w:t xml:space="preserve"> prior fiscal years</w:t>
      </w:r>
      <w:r w:rsidR="00C4730F" w:rsidRPr="000B4BBC">
        <w:rPr>
          <w:rFonts w:ascii="Arial" w:hAnsi="Arial" w:cs="Arial"/>
          <w:bCs/>
        </w:rPr>
        <w:t xml:space="preserve"> </w:t>
      </w:r>
    </w:p>
    <w:p w:rsidR="00292BC9" w:rsidRPr="000B4BBC" w:rsidRDefault="00292BC9" w:rsidP="000B4BBC">
      <w:pPr>
        <w:pStyle w:val="ListParagraph"/>
        <w:numPr>
          <w:ilvl w:val="0"/>
          <w:numId w:val="6"/>
        </w:numPr>
        <w:rPr>
          <w:rFonts w:ascii="Arial" w:hAnsi="Arial" w:cs="Arial"/>
          <w:bCs/>
        </w:rPr>
      </w:pPr>
      <w:r w:rsidRPr="000B4BBC">
        <w:rPr>
          <w:rFonts w:ascii="Arial" w:hAnsi="Arial" w:cs="Arial"/>
          <w:bCs/>
        </w:rPr>
        <w:t>C</w:t>
      </w:r>
      <w:r w:rsidR="00CE44AE" w:rsidRPr="000B4BBC">
        <w:rPr>
          <w:rFonts w:ascii="Arial" w:hAnsi="Arial" w:cs="Arial"/>
          <w:bCs/>
        </w:rPr>
        <w:t xml:space="preserve">urrent fiscal year available </w:t>
      </w:r>
      <w:r w:rsidRPr="000B4BBC">
        <w:rPr>
          <w:rFonts w:ascii="Arial" w:hAnsi="Arial" w:cs="Arial"/>
          <w:bCs/>
        </w:rPr>
        <w:t>funding</w:t>
      </w:r>
    </w:p>
    <w:p w:rsidR="00292BC9" w:rsidRPr="000B4BBC" w:rsidRDefault="00292BC9" w:rsidP="000B4BBC">
      <w:pPr>
        <w:pStyle w:val="ListParagraph"/>
        <w:numPr>
          <w:ilvl w:val="0"/>
          <w:numId w:val="6"/>
        </w:numPr>
        <w:rPr>
          <w:rFonts w:ascii="Arial" w:hAnsi="Arial" w:cs="Arial"/>
          <w:bCs/>
        </w:rPr>
      </w:pPr>
      <w:r w:rsidRPr="000B4BBC">
        <w:rPr>
          <w:rFonts w:ascii="Arial" w:hAnsi="Arial" w:cs="Arial"/>
          <w:bCs/>
        </w:rPr>
        <w:t xml:space="preserve">Next fiscal year’s </w:t>
      </w:r>
      <w:r w:rsidR="00CE44AE" w:rsidRPr="000B4BBC">
        <w:rPr>
          <w:rFonts w:ascii="Arial" w:hAnsi="Arial" w:cs="Arial"/>
          <w:bCs/>
        </w:rPr>
        <w:t>budget request</w:t>
      </w:r>
    </w:p>
    <w:p w:rsidR="00CE44AE" w:rsidRPr="000B4BBC" w:rsidRDefault="00292BC9" w:rsidP="000B4BBC">
      <w:pPr>
        <w:pStyle w:val="ListParagraph"/>
        <w:numPr>
          <w:ilvl w:val="0"/>
          <w:numId w:val="6"/>
        </w:numPr>
        <w:rPr>
          <w:rFonts w:ascii="Arial" w:hAnsi="Arial" w:cs="Arial"/>
          <w:bCs/>
        </w:rPr>
      </w:pPr>
      <w:r w:rsidRPr="000B4BBC">
        <w:rPr>
          <w:rFonts w:ascii="Arial" w:hAnsi="Arial" w:cs="Arial"/>
          <w:bCs/>
        </w:rPr>
        <w:t xml:space="preserve">Four </w:t>
      </w:r>
      <w:r w:rsidR="00CE44AE" w:rsidRPr="000B4BBC">
        <w:rPr>
          <w:rFonts w:ascii="Arial" w:hAnsi="Arial" w:cs="Arial"/>
          <w:bCs/>
        </w:rPr>
        <w:t>planning years – starting with fiscal year 2019-20</w:t>
      </w:r>
    </w:p>
    <w:p w:rsidR="00CE44AE" w:rsidRPr="000B4BBC" w:rsidRDefault="00CE44AE" w:rsidP="000B4BBC">
      <w:pPr>
        <w:pStyle w:val="ListParagraph"/>
        <w:ind w:left="1440"/>
        <w:rPr>
          <w:rFonts w:ascii="Arial" w:hAnsi="Arial" w:cs="Arial"/>
          <w:bCs/>
        </w:rPr>
      </w:pPr>
    </w:p>
    <w:p w:rsidR="00CE44AE" w:rsidRPr="000B4BBC" w:rsidRDefault="00CE44AE" w:rsidP="000B4BBC">
      <w:pPr>
        <w:rPr>
          <w:rFonts w:ascii="Arial" w:hAnsi="Arial" w:cs="Arial"/>
          <w:b/>
          <w:bCs/>
        </w:rPr>
      </w:pPr>
      <w:r w:rsidRPr="000B4BBC">
        <w:rPr>
          <w:rFonts w:ascii="Arial" w:hAnsi="Arial" w:cs="Arial"/>
          <w:b/>
          <w:bCs/>
        </w:rPr>
        <w:t>DEP FUNDING SOURCES</w:t>
      </w:r>
    </w:p>
    <w:p w:rsidR="004333BE" w:rsidRPr="000B4BBC" w:rsidRDefault="004333BE" w:rsidP="000B4BBC">
      <w:pPr>
        <w:rPr>
          <w:rFonts w:ascii="Arial" w:hAnsi="Arial" w:cs="Arial"/>
          <w:b/>
          <w:bCs/>
        </w:rPr>
      </w:pPr>
    </w:p>
    <w:p w:rsidR="004333BE" w:rsidRPr="000B4BBC" w:rsidRDefault="004333BE" w:rsidP="000B4BBC">
      <w:pPr>
        <w:pStyle w:val="ListParagraph"/>
        <w:numPr>
          <w:ilvl w:val="0"/>
          <w:numId w:val="51"/>
        </w:numPr>
        <w:rPr>
          <w:rFonts w:ascii="Arial" w:hAnsi="Arial" w:cs="Arial"/>
          <w:b/>
          <w:bCs/>
        </w:rPr>
      </w:pPr>
      <w:r w:rsidRPr="00D310F2">
        <w:rPr>
          <w:rFonts w:ascii="Arial" w:hAnsi="Arial" w:cs="Arial"/>
          <w:b/>
          <w:bCs/>
        </w:rPr>
        <w:t>General Fund</w:t>
      </w:r>
      <w:r w:rsidR="00853449" w:rsidRPr="000B4BBC">
        <w:rPr>
          <w:rFonts w:ascii="Arial" w:hAnsi="Arial" w:cs="Arial"/>
          <w:bCs/>
        </w:rPr>
        <w:t xml:space="preserve"> </w:t>
      </w:r>
      <w:r w:rsidR="0080615A" w:rsidRPr="000B4BBC">
        <w:rPr>
          <w:rFonts w:ascii="Arial" w:hAnsi="Arial" w:cs="Arial"/>
          <w:bCs/>
        </w:rPr>
        <w:t xml:space="preserve">– </w:t>
      </w:r>
      <w:r w:rsidR="007B61CE" w:rsidRPr="000B4BBC">
        <w:rPr>
          <w:rFonts w:ascii="Arial" w:hAnsi="Arial" w:cs="Arial"/>
          <w:bCs/>
        </w:rPr>
        <w:t>21</w:t>
      </w:r>
      <w:r w:rsidR="00853449" w:rsidRPr="000B4BBC">
        <w:rPr>
          <w:rFonts w:ascii="Arial" w:hAnsi="Arial" w:cs="Arial"/>
          <w:bCs/>
        </w:rPr>
        <w:t>%</w:t>
      </w:r>
      <w:r w:rsidR="00BB1C68" w:rsidRPr="000B4BBC">
        <w:rPr>
          <w:rFonts w:ascii="Arial" w:hAnsi="Arial" w:cs="Arial"/>
          <w:bCs/>
        </w:rPr>
        <w:t xml:space="preserve"> of Overall DEP Funding</w:t>
      </w:r>
      <w:r w:rsidR="009E404A" w:rsidRPr="000B4BBC">
        <w:rPr>
          <w:rFonts w:ascii="Arial" w:hAnsi="Arial" w:cs="Arial"/>
          <w:bCs/>
        </w:rPr>
        <w:t xml:space="preserve"> </w:t>
      </w:r>
      <w:r w:rsidR="009E404A" w:rsidRPr="000B4BBC">
        <w:rPr>
          <w:rFonts w:ascii="Arial" w:hAnsi="Arial" w:cs="Arial"/>
          <w:b/>
          <w:bCs/>
          <w:i/>
        </w:rPr>
        <w:t>(Attachment #2)</w:t>
      </w:r>
    </w:p>
    <w:p w:rsidR="004333BE" w:rsidRPr="000B4BBC" w:rsidRDefault="004333BE" w:rsidP="000B4BBC">
      <w:pPr>
        <w:pStyle w:val="ListParagraph"/>
        <w:numPr>
          <w:ilvl w:val="1"/>
          <w:numId w:val="51"/>
        </w:numPr>
        <w:rPr>
          <w:rFonts w:ascii="Arial" w:hAnsi="Arial" w:cs="Arial"/>
          <w:b/>
          <w:bCs/>
        </w:rPr>
      </w:pPr>
      <w:r w:rsidRPr="000B4BBC">
        <w:rPr>
          <w:rFonts w:ascii="Arial" w:hAnsi="Arial" w:cs="Arial"/>
          <w:bCs/>
        </w:rPr>
        <w:t>General revenues of the State</w:t>
      </w:r>
      <w:r w:rsidR="00867330" w:rsidRPr="000B4BBC">
        <w:rPr>
          <w:rFonts w:ascii="Arial" w:hAnsi="Arial" w:cs="Arial"/>
          <w:bCs/>
        </w:rPr>
        <w:t xml:space="preserve">, </w:t>
      </w:r>
      <w:r w:rsidRPr="000B4BBC">
        <w:rPr>
          <w:rFonts w:ascii="Arial" w:hAnsi="Arial" w:cs="Arial"/>
          <w:bCs/>
        </w:rPr>
        <w:t>appropriated by the Legislature to pay for general expenses of the Department</w:t>
      </w:r>
    </w:p>
    <w:p w:rsidR="004333BE" w:rsidRPr="000B4BBC" w:rsidRDefault="00135FCA" w:rsidP="000B4BBC">
      <w:pPr>
        <w:pStyle w:val="ListParagraph"/>
        <w:numPr>
          <w:ilvl w:val="2"/>
          <w:numId w:val="51"/>
        </w:numPr>
        <w:rPr>
          <w:rFonts w:ascii="Arial" w:hAnsi="Arial" w:cs="Arial"/>
          <w:b/>
          <w:bCs/>
        </w:rPr>
      </w:pPr>
      <w:r w:rsidRPr="000B4BBC">
        <w:rPr>
          <w:rFonts w:ascii="Arial" w:hAnsi="Arial" w:cs="Arial"/>
          <w:bCs/>
        </w:rPr>
        <w:t>Examples of DEP General Funds:</w:t>
      </w:r>
    </w:p>
    <w:p w:rsidR="00135FCA" w:rsidRPr="000B4BBC" w:rsidRDefault="00135FCA" w:rsidP="000B4BBC">
      <w:pPr>
        <w:pStyle w:val="ListParagraph"/>
        <w:numPr>
          <w:ilvl w:val="3"/>
          <w:numId w:val="51"/>
        </w:numPr>
        <w:rPr>
          <w:rFonts w:ascii="Arial" w:hAnsi="Arial" w:cs="Arial"/>
          <w:b/>
          <w:bCs/>
        </w:rPr>
      </w:pPr>
      <w:r w:rsidRPr="000B4BBC">
        <w:rPr>
          <w:rFonts w:ascii="Arial" w:hAnsi="Arial" w:cs="Arial"/>
          <w:bCs/>
        </w:rPr>
        <w:t>General Government Operations</w:t>
      </w:r>
    </w:p>
    <w:p w:rsidR="00135FCA" w:rsidRPr="000B4BBC" w:rsidRDefault="00135FCA" w:rsidP="000B4BBC">
      <w:pPr>
        <w:pStyle w:val="ListParagraph"/>
        <w:numPr>
          <w:ilvl w:val="3"/>
          <w:numId w:val="51"/>
        </w:numPr>
        <w:rPr>
          <w:rFonts w:ascii="Arial" w:hAnsi="Arial" w:cs="Arial"/>
          <w:b/>
          <w:bCs/>
        </w:rPr>
      </w:pPr>
      <w:r w:rsidRPr="000B4BBC">
        <w:rPr>
          <w:rFonts w:ascii="Arial" w:hAnsi="Arial" w:cs="Arial"/>
          <w:bCs/>
        </w:rPr>
        <w:t>Environmental Program Management</w:t>
      </w:r>
    </w:p>
    <w:p w:rsidR="00135FCA" w:rsidRPr="000B4BBC" w:rsidRDefault="00135FCA" w:rsidP="000B4BBC">
      <w:pPr>
        <w:pStyle w:val="ListParagraph"/>
        <w:numPr>
          <w:ilvl w:val="3"/>
          <w:numId w:val="51"/>
        </w:numPr>
        <w:rPr>
          <w:rFonts w:ascii="Arial" w:hAnsi="Arial" w:cs="Arial"/>
          <w:b/>
          <w:bCs/>
        </w:rPr>
      </w:pPr>
      <w:r w:rsidRPr="000B4BBC">
        <w:rPr>
          <w:rFonts w:ascii="Arial" w:hAnsi="Arial" w:cs="Arial"/>
          <w:bCs/>
        </w:rPr>
        <w:t>Environmental Protection Operations</w:t>
      </w:r>
    </w:p>
    <w:p w:rsidR="00867330" w:rsidRPr="000B4BBC" w:rsidRDefault="00867330" w:rsidP="000B4BBC">
      <w:pPr>
        <w:pStyle w:val="ListParagraph"/>
        <w:numPr>
          <w:ilvl w:val="3"/>
          <w:numId w:val="51"/>
        </w:numPr>
        <w:rPr>
          <w:rFonts w:ascii="Arial" w:hAnsi="Arial" w:cs="Arial"/>
          <w:b/>
          <w:bCs/>
        </w:rPr>
      </w:pPr>
      <w:r w:rsidRPr="000B4BBC">
        <w:rPr>
          <w:rFonts w:ascii="Arial" w:hAnsi="Arial" w:cs="Arial"/>
          <w:bCs/>
        </w:rPr>
        <w:t>Black Fly Control</w:t>
      </w:r>
    </w:p>
    <w:p w:rsidR="00E234E2" w:rsidRPr="000B4BBC" w:rsidRDefault="00867330" w:rsidP="000B4BBC">
      <w:pPr>
        <w:pStyle w:val="ListParagraph"/>
        <w:numPr>
          <w:ilvl w:val="3"/>
          <w:numId w:val="51"/>
        </w:numPr>
        <w:rPr>
          <w:rFonts w:ascii="Arial" w:hAnsi="Arial" w:cs="Arial"/>
          <w:b/>
          <w:bCs/>
        </w:rPr>
      </w:pPr>
      <w:r w:rsidRPr="000B4BBC">
        <w:rPr>
          <w:rFonts w:ascii="Arial" w:hAnsi="Arial" w:cs="Arial"/>
          <w:bCs/>
        </w:rPr>
        <w:t>West Nile / Zika Virus</w:t>
      </w:r>
    </w:p>
    <w:p w:rsidR="00E234E2" w:rsidRPr="000B4BBC" w:rsidRDefault="00CE4F14" w:rsidP="000B4BBC">
      <w:pPr>
        <w:pStyle w:val="ListParagraph"/>
        <w:numPr>
          <w:ilvl w:val="1"/>
          <w:numId w:val="51"/>
        </w:numPr>
        <w:rPr>
          <w:rFonts w:ascii="Arial" w:hAnsi="Arial" w:cs="Arial"/>
          <w:b/>
          <w:bCs/>
        </w:rPr>
      </w:pPr>
      <w:r w:rsidRPr="000B4BBC">
        <w:rPr>
          <w:rFonts w:ascii="Arial" w:hAnsi="Arial" w:cs="Arial"/>
          <w:bCs/>
        </w:rPr>
        <w:t xml:space="preserve">Budget is prepared </w:t>
      </w:r>
    </w:p>
    <w:p w:rsidR="002B18D5" w:rsidRPr="000B4BBC" w:rsidRDefault="002B18D5" w:rsidP="000B4BBC">
      <w:pPr>
        <w:pStyle w:val="ListParagraph"/>
        <w:numPr>
          <w:ilvl w:val="2"/>
          <w:numId w:val="51"/>
        </w:numPr>
        <w:rPr>
          <w:rFonts w:ascii="Arial" w:hAnsi="Arial" w:cs="Arial"/>
          <w:b/>
          <w:bCs/>
        </w:rPr>
      </w:pPr>
      <w:r w:rsidRPr="000B4BBC">
        <w:rPr>
          <w:rFonts w:ascii="Arial" w:hAnsi="Arial" w:cs="Arial"/>
          <w:bCs/>
        </w:rPr>
        <w:t>Cost-to-carry</w:t>
      </w:r>
    </w:p>
    <w:p w:rsidR="00742B43" w:rsidRPr="000B4BBC" w:rsidRDefault="00742B43" w:rsidP="000B4BBC">
      <w:pPr>
        <w:pStyle w:val="ListParagraph"/>
        <w:numPr>
          <w:ilvl w:val="3"/>
          <w:numId w:val="51"/>
        </w:numPr>
        <w:rPr>
          <w:rFonts w:ascii="Arial" w:hAnsi="Arial" w:cs="Arial"/>
          <w:b/>
          <w:bCs/>
        </w:rPr>
      </w:pPr>
      <w:r w:rsidRPr="000B4BBC">
        <w:rPr>
          <w:rFonts w:ascii="Arial" w:hAnsi="Arial" w:cs="Arial"/>
          <w:bCs/>
        </w:rPr>
        <w:t>Any reductions or increases in anticipated costs based on program needs</w:t>
      </w:r>
    </w:p>
    <w:p w:rsidR="00E234E2" w:rsidRPr="000B4BBC" w:rsidRDefault="00E234E2" w:rsidP="000B4BBC">
      <w:pPr>
        <w:pStyle w:val="ListParagraph"/>
        <w:numPr>
          <w:ilvl w:val="3"/>
          <w:numId w:val="51"/>
        </w:numPr>
        <w:rPr>
          <w:rFonts w:ascii="Arial" w:hAnsi="Arial" w:cs="Arial"/>
          <w:b/>
          <w:bCs/>
        </w:rPr>
      </w:pPr>
      <w:r w:rsidRPr="000B4BBC">
        <w:rPr>
          <w:rFonts w:ascii="Arial" w:hAnsi="Arial" w:cs="Arial"/>
          <w:bCs/>
        </w:rPr>
        <w:t>B</w:t>
      </w:r>
      <w:r w:rsidR="00CE4F14" w:rsidRPr="000B4BBC">
        <w:rPr>
          <w:rFonts w:ascii="Arial" w:hAnsi="Arial" w:cs="Arial"/>
          <w:bCs/>
        </w:rPr>
        <w:t>ased on previous year’s actual expenditures</w:t>
      </w:r>
    </w:p>
    <w:p w:rsidR="00867330" w:rsidRPr="000B4BBC" w:rsidRDefault="00C4730F" w:rsidP="000B4BBC">
      <w:pPr>
        <w:pStyle w:val="ListParagraph"/>
        <w:numPr>
          <w:ilvl w:val="1"/>
          <w:numId w:val="51"/>
        </w:numPr>
        <w:rPr>
          <w:rFonts w:ascii="Arial" w:hAnsi="Arial" w:cs="Arial"/>
          <w:b/>
          <w:bCs/>
        </w:rPr>
      </w:pPr>
      <w:r w:rsidRPr="000B4BBC">
        <w:rPr>
          <w:rFonts w:ascii="Arial" w:hAnsi="Arial" w:cs="Arial"/>
          <w:bCs/>
        </w:rPr>
        <w:t>Any unused funds in a fiscal year are lapsed back into the Commonwealth’s General Fund</w:t>
      </w:r>
    </w:p>
    <w:p w:rsidR="009E404A" w:rsidRPr="000B4BBC" w:rsidRDefault="00867330" w:rsidP="000B4BBC">
      <w:pPr>
        <w:pStyle w:val="ListParagraph"/>
        <w:numPr>
          <w:ilvl w:val="0"/>
          <w:numId w:val="51"/>
        </w:numPr>
        <w:rPr>
          <w:rFonts w:ascii="Arial" w:hAnsi="Arial" w:cs="Arial"/>
          <w:b/>
          <w:bCs/>
        </w:rPr>
      </w:pPr>
      <w:r w:rsidRPr="00D310F2">
        <w:rPr>
          <w:rFonts w:ascii="Arial" w:hAnsi="Arial" w:cs="Arial"/>
          <w:b/>
          <w:bCs/>
        </w:rPr>
        <w:t>Augmentations</w:t>
      </w:r>
      <w:r w:rsidRPr="000B4BBC">
        <w:rPr>
          <w:rFonts w:ascii="Arial" w:hAnsi="Arial" w:cs="Arial"/>
          <w:bCs/>
        </w:rPr>
        <w:t xml:space="preserve"> </w:t>
      </w:r>
      <w:r w:rsidR="0080615A" w:rsidRPr="000B4BBC">
        <w:rPr>
          <w:rFonts w:ascii="Arial" w:hAnsi="Arial" w:cs="Arial"/>
          <w:bCs/>
        </w:rPr>
        <w:t>– 5</w:t>
      </w:r>
      <w:r w:rsidR="00B753CD" w:rsidRPr="000B4BBC">
        <w:rPr>
          <w:rFonts w:ascii="Arial" w:hAnsi="Arial" w:cs="Arial"/>
          <w:bCs/>
        </w:rPr>
        <w:t>% of Overall DEP Funding</w:t>
      </w:r>
      <w:r w:rsidR="009E404A" w:rsidRPr="000B4BBC">
        <w:rPr>
          <w:rFonts w:ascii="Arial" w:hAnsi="Arial" w:cs="Arial"/>
          <w:bCs/>
        </w:rPr>
        <w:t xml:space="preserve"> </w:t>
      </w:r>
      <w:r w:rsidR="009E404A" w:rsidRPr="000B4BBC">
        <w:rPr>
          <w:rFonts w:ascii="Arial" w:hAnsi="Arial" w:cs="Arial"/>
          <w:b/>
          <w:bCs/>
          <w:i/>
        </w:rPr>
        <w:t>(Attachment #3)</w:t>
      </w:r>
    </w:p>
    <w:p w:rsidR="00867330" w:rsidRPr="000B4BBC" w:rsidRDefault="00867330" w:rsidP="000B4BBC">
      <w:pPr>
        <w:pStyle w:val="ListParagraph"/>
        <w:numPr>
          <w:ilvl w:val="1"/>
          <w:numId w:val="51"/>
        </w:numPr>
        <w:rPr>
          <w:rFonts w:ascii="Arial" w:hAnsi="Arial" w:cs="Arial"/>
          <w:b/>
          <w:bCs/>
        </w:rPr>
      </w:pPr>
      <w:r w:rsidRPr="000B4BBC">
        <w:rPr>
          <w:rFonts w:ascii="Arial" w:hAnsi="Arial" w:cs="Arial"/>
          <w:bCs/>
        </w:rPr>
        <w:t xml:space="preserve">Monies received and credited to a specific State appropriation, usually received as a result of a billing or a fee </w:t>
      </w:r>
    </w:p>
    <w:p w:rsidR="00867330" w:rsidRPr="000B4BBC" w:rsidRDefault="00867330" w:rsidP="000B4BBC">
      <w:pPr>
        <w:pStyle w:val="ListParagraph"/>
        <w:numPr>
          <w:ilvl w:val="1"/>
          <w:numId w:val="51"/>
        </w:numPr>
        <w:rPr>
          <w:rFonts w:ascii="Arial" w:hAnsi="Arial" w:cs="Arial"/>
          <w:b/>
          <w:bCs/>
        </w:rPr>
      </w:pPr>
      <w:r w:rsidRPr="000B4BBC">
        <w:rPr>
          <w:rFonts w:ascii="Arial" w:hAnsi="Arial" w:cs="Arial"/>
          <w:bCs/>
        </w:rPr>
        <w:t>Examples of augmentations within DEP:</w:t>
      </w:r>
    </w:p>
    <w:p w:rsidR="00867330" w:rsidRPr="000B4BBC" w:rsidRDefault="00867330" w:rsidP="000B4BBC">
      <w:pPr>
        <w:pStyle w:val="ListParagraph"/>
        <w:numPr>
          <w:ilvl w:val="2"/>
          <w:numId w:val="51"/>
        </w:numPr>
        <w:rPr>
          <w:rFonts w:ascii="Arial" w:hAnsi="Arial" w:cs="Arial"/>
          <w:b/>
          <w:bCs/>
        </w:rPr>
      </w:pPr>
      <w:r w:rsidRPr="000B4BBC">
        <w:rPr>
          <w:rFonts w:ascii="Arial" w:hAnsi="Arial" w:cs="Arial"/>
          <w:bCs/>
        </w:rPr>
        <w:lastRenderedPageBreak/>
        <w:t xml:space="preserve">Bureau of Laboratories and IT chargebacks </w:t>
      </w:r>
      <w:r w:rsidR="00070E97" w:rsidRPr="000B4BBC">
        <w:rPr>
          <w:rFonts w:ascii="Arial" w:hAnsi="Arial" w:cs="Arial"/>
          <w:bCs/>
        </w:rPr>
        <w:t xml:space="preserve">– </w:t>
      </w:r>
      <w:r w:rsidRPr="000B4BBC">
        <w:rPr>
          <w:rFonts w:ascii="Arial" w:hAnsi="Arial" w:cs="Arial"/>
          <w:bCs/>
        </w:rPr>
        <w:t>for services</w:t>
      </w:r>
      <w:r w:rsidR="008D7764" w:rsidRPr="000B4BBC">
        <w:rPr>
          <w:rFonts w:ascii="Arial" w:hAnsi="Arial" w:cs="Arial"/>
          <w:bCs/>
        </w:rPr>
        <w:t xml:space="preserve"> provided</w:t>
      </w:r>
      <w:r w:rsidRPr="000B4BBC">
        <w:rPr>
          <w:rFonts w:ascii="Arial" w:hAnsi="Arial" w:cs="Arial"/>
          <w:bCs/>
        </w:rPr>
        <w:t xml:space="preserve"> to areas in the Department</w:t>
      </w:r>
    </w:p>
    <w:p w:rsidR="00867330" w:rsidRPr="000B4BBC" w:rsidRDefault="00867330" w:rsidP="000B4BBC">
      <w:pPr>
        <w:pStyle w:val="ListParagraph"/>
        <w:numPr>
          <w:ilvl w:val="2"/>
          <w:numId w:val="51"/>
        </w:numPr>
        <w:rPr>
          <w:rFonts w:ascii="Arial" w:hAnsi="Arial" w:cs="Arial"/>
          <w:b/>
          <w:bCs/>
        </w:rPr>
      </w:pPr>
      <w:r w:rsidRPr="000B4BBC">
        <w:rPr>
          <w:rFonts w:ascii="Arial" w:hAnsi="Arial" w:cs="Arial"/>
          <w:bCs/>
        </w:rPr>
        <w:t>Black Fly / West Nile/Zika Virus – reimbursement from counties for spraying services provided by the Department</w:t>
      </w:r>
    </w:p>
    <w:p w:rsidR="00EF254E" w:rsidRPr="000B4BBC" w:rsidRDefault="00A065DB" w:rsidP="000B4BBC">
      <w:pPr>
        <w:pStyle w:val="ListParagraph"/>
        <w:numPr>
          <w:ilvl w:val="2"/>
          <w:numId w:val="51"/>
        </w:numPr>
        <w:rPr>
          <w:rFonts w:ascii="Arial" w:hAnsi="Arial" w:cs="Arial"/>
          <w:b/>
          <w:bCs/>
        </w:rPr>
      </w:pPr>
      <w:r w:rsidRPr="000B4BBC">
        <w:rPr>
          <w:rFonts w:ascii="Arial" w:hAnsi="Arial" w:cs="Arial"/>
          <w:bCs/>
        </w:rPr>
        <w:t>Special Fund support to general fund for administrative and program</w:t>
      </w:r>
      <w:r w:rsidR="00526F31" w:rsidRPr="000B4BBC">
        <w:rPr>
          <w:rFonts w:ascii="Arial" w:hAnsi="Arial" w:cs="Arial"/>
          <w:bCs/>
        </w:rPr>
        <w:t xml:space="preserve"> costs</w:t>
      </w:r>
    </w:p>
    <w:p w:rsidR="009E3A0B" w:rsidRPr="000B4BBC" w:rsidRDefault="009E3A0B" w:rsidP="000B4BBC">
      <w:pPr>
        <w:pStyle w:val="ListParagraph"/>
        <w:numPr>
          <w:ilvl w:val="3"/>
          <w:numId w:val="51"/>
        </w:numPr>
        <w:rPr>
          <w:rFonts w:ascii="Arial" w:hAnsi="Arial" w:cs="Arial"/>
          <w:b/>
          <w:bCs/>
        </w:rPr>
      </w:pPr>
      <w:r w:rsidRPr="000B4BBC">
        <w:rPr>
          <w:rFonts w:ascii="Arial" w:hAnsi="Arial" w:cs="Arial"/>
          <w:bCs/>
        </w:rPr>
        <w:t>Programs charged for share of the total cost of program staff occupying each of DEP’s six leased regional office buildings</w:t>
      </w:r>
    </w:p>
    <w:p w:rsidR="00362C7E" w:rsidRPr="000B4BBC" w:rsidRDefault="00362C7E" w:rsidP="000B4BBC">
      <w:pPr>
        <w:pStyle w:val="ListParagraph"/>
        <w:numPr>
          <w:ilvl w:val="3"/>
          <w:numId w:val="51"/>
        </w:numPr>
        <w:rPr>
          <w:rFonts w:ascii="Arial" w:hAnsi="Arial" w:cs="Arial"/>
          <w:b/>
          <w:bCs/>
        </w:rPr>
      </w:pPr>
      <w:r w:rsidRPr="000B4BBC">
        <w:rPr>
          <w:rFonts w:ascii="Arial" w:hAnsi="Arial" w:cs="Arial"/>
          <w:bCs/>
        </w:rPr>
        <w:t>Programs charged to provide financial support to the General Fund for indirect cost charges including the Department’s executive offices, the Office of Administration and Management, the Chief Counsel’s Office and the regional directors’ offices.</w:t>
      </w:r>
    </w:p>
    <w:p w:rsidR="00362C7E" w:rsidRPr="000B4BBC" w:rsidRDefault="00362C7E" w:rsidP="000B4BBC">
      <w:pPr>
        <w:pStyle w:val="ListParagraph"/>
        <w:numPr>
          <w:ilvl w:val="3"/>
          <w:numId w:val="51"/>
        </w:numPr>
        <w:rPr>
          <w:rFonts w:ascii="Arial" w:hAnsi="Arial" w:cs="Arial"/>
          <w:b/>
          <w:bCs/>
        </w:rPr>
      </w:pPr>
      <w:r w:rsidRPr="000B4BBC">
        <w:rPr>
          <w:rFonts w:ascii="Arial" w:hAnsi="Arial" w:cs="Arial"/>
          <w:bCs/>
        </w:rPr>
        <w:t>These augmentations are only charged to a special fund if needed to provide enough funding for a general fund in a specific fiscal year</w:t>
      </w:r>
    </w:p>
    <w:p w:rsidR="00135FCA" w:rsidRPr="000B4BBC" w:rsidRDefault="00362C7E" w:rsidP="000B4BBC">
      <w:pPr>
        <w:pStyle w:val="ListParagraph"/>
        <w:numPr>
          <w:ilvl w:val="4"/>
          <w:numId w:val="51"/>
        </w:numPr>
        <w:rPr>
          <w:rFonts w:ascii="Arial" w:hAnsi="Arial" w:cs="Arial"/>
          <w:b/>
          <w:bCs/>
        </w:rPr>
      </w:pPr>
      <w:r w:rsidRPr="000B4BBC">
        <w:rPr>
          <w:rFonts w:ascii="Arial" w:hAnsi="Arial" w:cs="Arial"/>
          <w:bCs/>
        </w:rPr>
        <w:t xml:space="preserve">Decision on usage is made </w:t>
      </w:r>
      <w:r w:rsidR="007B4CE6" w:rsidRPr="000B4BBC">
        <w:rPr>
          <w:rFonts w:ascii="Arial" w:hAnsi="Arial" w:cs="Arial"/>
          <w:bCs/>
        </w:rPr>
        <w:t>close to</w:t>
      </w:r>
      <w:r w:rsidRPr="000B4BBC">
        <w:rPr>
          <w:rFonts w:ascii="Arial" w:hAnsi="Arial" w:cs="Arial"/>
          <w:bCs/>
        </w:rPr>
        <w:t xml:space="preserve"> the end of each fiscal year</w:t>
      </w:r>
    </w:p>
    <w:p w:rsidR="0056376B" w:rsidRPr="000B4BBC" w:rsidRDefault="00767461" w:rsidP="000B4BBC">
      <w:pPr>
        <w:pStyle w:val="ListParagraph"/>
        <w:numPr>
          <w:ilvl w:val="0"/>
          <w:numId w:val="51"/>
        </w:numPr>
        <w:rPr>
          <w:rFonts w:ascii="Arial" w:hAnsi="Arial" w:cs="Arial"/>
          <w:b/>
          <w:bCs/>
        </w:rPr>
      </w:pPr>
      <w:r w:rsidRPr="00D310F2">
        <w:rPr>
          <w:rFonts w:ascii="Arial" w:hAnsi="Arial" w:cs="Arial"/>
          <w:b/>
          <w:bCs/>
        </w:rPr>
        <w:t>Restricted Revenue</w:t>
      </w:r>
      <w:r w:rsidR="00931AA5" w:rsidRPr="00D310F2">
        <w:rPr>
          <w:rFonts w:ascii="Arial" w:hAnsi="Arial" w:cs="Arial"/>
          <w:b/>
          <w:bCs/>
        </w:rPr>
        <w:t>s</w:t>
      </w:r>
      <w:r w:rsidR="00931AA5" w:rsidRPr="000B4BBC">
        <w:rPr>
          <w:rFonts w:ascii="Arial" w:hAnsi="Arial" w:cs="Arial"/>
          <w:bCs/>
        </w:rPr>
        <w:t xml:space="preserve"> </w:t>
      </w:r>
      <w:r w:rsidR="007B61CE" w:rsidRPr="000B4BBC">
        <w:rPr>
          <w:rFonts w:ascii="Arial" w:hAnsi="Arial" w:cs="Arial"/>
          <w:bCs/>
        </w:rPr>
        <w:t>– 12</w:t>
      </w:r>
      <w:r w:rsidR="00B753CD" w:rsidRPr="000B4BBC">
        <w:rPr>
          <w:rFonts w:ascii="Arial" w:hAnsi="Arial" w:cs="Arial"/>
          <w:bCs/>
        </w:rPr>
        <w:t>% of Overall DEP Funding</w:t>
      </w:r>
      <w:r w:rsidR="0056376B" w:rsidRPr="000B4BBC">
        <w:rPr>
          <w:rFonts w:ascii="Arial" w:hAnsi="Arial" w:cs="Arial"/>
          <w:bCs/>
        </w:rPr>
        <w:t xml:space="preserve"> </w:t>
      </w:r>
      <w:r w:rsidR="0056376B" w:rsidRPr="000B4BBC">
        <w:rPr>
          <w:rFonts w:ascii="Arial" w:hAnsi="Arial" w:cs="Arial"/>
          <w:b/>
          <w:bCs/>
          <w:i/>
        </w:rPr>
        <w:t>(Attachment #4)</w:t>
      </w:r>
    </w:p>
    <w:p w:rsidR="00824BA8" w:rsidRPr="000B4BBC" w:rsidRDefault="00824BA8" w:rsidP="000B4BBC">
      <w:pPr>
        <w:pStyle w:val="ListParagraph"/>
        <w:numPr>
          <w:ilvl w:val="1"/>
          <w:numId w:val="51"/>
        </w:numPr>
        <w:rPr>
          <w:rFonts w:ascii="Arial" w:hAnsi="Arial" w:cs="Arial"/>
          <w:b/>
          <w:bCs/>
        </w:rPr>
      </w:pPr>
      <w:r w:rsidRPr="000B4BBC">
        <w:rPr>
          <w:rFonts w:ascii="Arial" w:hAnsi="Arial" w:cs="Arial"/>
          <w:bCs/>
        </w:rPr>
        <w:t>Revenues that are designated by law or administrative decision for a specific purpose</w:t>
      </w:r>
    </w:p>
    <w:p w:rsidR="00931AA5" w:rsidRPr="000B4BBC" w:rsidRDefault="00931AA5" w:rsidP="000B4BBC">
      <w:pPr>
        <w:pStyle w:val="ListParagraph"/>
        <w:numPr>
          <w:ilvl w:val="2"/>
          <w:numId w:val="51"/>
        </w:numPr>
        <w:rPr>
          <w:rFonts w:ascii="Arial" w:hAnsi="Arial" w:cs="Arial"/>
          <w:b/>
          <w:bCs/>
        </w:rPr>
      </w:pPr>
      <w:r w:rsidRPr="000B4BBC">
        <w:rPr>
          <w:rFonts w:ascii="Arial" w:hAnsi="Arial" w:cs="Arial"/>
          <w:bCs/>
        </w:rPr>
        <w:t>They f</w:t>
      </w:r>
      <w:r w:rsidR="00824BA8" w:rsidRPr="000B4BBC">
        <w:rPr>
          <w:rFonts w:ascii="Arial" w:hAnsi="Arial" w:cs="Arial"/>
          <w:bCs/>
        </w:rPr>
        <w:t>und a regular operation of the Department</w:t>
      </w:r>
    </w:p>
    <w:p w:rsidR="00AB4DBE" w:rsidRPr="000B4BBC" w:rsidRDefault="00931AA5" w:rsidP="000B4BBC">
      <w:pPr>
        <w:pStyle w:val="ListParagraph"/>
        <w:numPr>
          <w:ilvl w:val="2"/>
          <w:numId w:val="51"/>
        </w:numPr>
        <w:rPr>
          <w:rFonts w:ascii="Arial" w:hAnsi="Arial" w:cs="Arial"/>
          <w:b/>
          <w:bCs/>
        </w:rPr>
      </w:pPr>
      <w:r w:rsidRPr="000B4BBC">
        <w:rPr>
          <w:rFonts w:ascii="Arial" w:hAnsi="Arial" w:cs="Arial"/>
          <w:bCs/>
        </w:rPr>
        <w:t xml:space="preserve">In simplest of terms, continue from one year to the next – </w:t>
      </w:r>
      <w:r w:rsidR="00824BA8" w:rsidRPr="000B4BBC">
        <w:rPr>
          <w:rFonts w:ascii="Arial" w:hAnsi="Arial" w:cs="Arial"/>
          <w:bCs/>
        </w:rPr>
        <w:t>like a checking account</w:t>
      </w:r>
    </w:p>
    <w:p w:rsidR="00AB4DBE" w:rsidRPr="000B4BBC" w:rsidRDefault="00AB4DBE" w:rsidP="000B4BBC">
      <w:pPr>
        <w:pStyle w:val="ListParagraph"/>
        <w:numPr>
          <w:ilvl w:val="1"/>
          <w:numId w:val="51"/>
        </w:numPr>
        <w:rPr>
          <w:rFonts w:ascii="Arial" w:hAnsi="Arial" w:cs="Arial"/>
          <w:b/>
          <w:bCs/>
        </w:rPr>
      </w:pPr>
      <w:r w:rsidRPr="000B4BBC">
        <w:rPr>
          <w:rFonts w:ascii="Arial" w:hAnsi="Arial" w:cs="Arial"/>
          <w:bCs/>
        </w:rPr>
        <w:t>Revenues are generated by fees (permit, registration, etc.), fines, penalties</w:t>
      </w:r>
    </w:p>
    <w:p w:rsidR="003A2538" w:rsidRPr="000B4BBC" w:rsidRDefault="003A2538" w:rsidP="000B4BBC">
      <w:pPr>
        <w:pStyle w:val="ListParagraph"/>
        <w:numPr>
          <w:ilvl w:val="1"/>
          <w:numId w:val="51"/>
        </w:numPr>
        <w:rPr>
          <w:rFonts w:ascii="Arial" w:hAnsi="Arial" w:cs="Arial"/>
          <w:b/>
          <w:bCs/>
        </w:rPr>
      </w:pPr>
      <w:r w:rsidRPr="000B4BBC">
        <w:rPr>
          <w:rFonts w:ascii="Arial" w:hAnsi="Arial" w:cs="Arial"/>
          <w:bCs/>
        </w:rPr>
        <w:t>Examples of DEP Restricted Revenue Funds:</w:t>
      </w:r>
    </w:p>
    <w:p w:rsidR="0056376B" w:rsidRPr="000B4BBC" w:rsidRDefault="001F3C65" w:rsidP="000B4BBC">
      <w:pPr>
        <w:pStyle w:val="ListParagraph"/>
        <w:numPr>
          <w:ilvl w:val="2"/>
          <w:numId w:val="51"/>
        </w:numPr>
        <w:rPr>
          <w:rFonts w:ascii="Arial" w:hAnsi="Arial" w:cs="Arial"/>
          <w:b/>
          <w:bCs/>
        </w:rPr>
      </w:pPr>
      <w:r w:rsidRPr="000B4BBC">
        <w:rPr>
          <w:rFonts w:ascii="Arial" w:hAnsi="Arial" w:cs="Arial"/>
          <w:bCs/>
        </w:rPr>
        <w:t>Clean Water</w:t>
      </w:r>
      <w:r w:rsidR="00B65772" w:rsidRPr="000B4BBC">
        <w:rPr>
          <w:rFonts w:ascii="Arial" w:hAnsi="Arial" w:cs="Arial"/>
          <w:bCs/>
        </w:rPr>
        <w:t xml:space="preserve"> </w:t>
      </w:r>
      <w:r w:rsidR="0056376B" w:rsidRPr="000B4BBC">
        <w:rPr>
          <w:rFonts w:ascii="Arial" w:hAnsi="Arial" w:cs="Arial"/>
          <w:b/>
          <w:bCs/>
          <w:i/>
        </w:rPr>
        <w:t>(Financial Statement - Attachment #</w:t>
      </w:r>
      <w:r w:rsidR="00023FC2" w:rsidRPr="000B4BBC">
        <w:rPr>
          <w:rFonts w:ascii="Arial" w:hAnsi="Arial" w:cs="Arial"/>
          <w:b/>
          <w:bCs/>
          <w:i/>
        </w:rPr>
        <w:t>5</w:t>
      </w:r>
      <w:r w:rsidR="0056376B" w:rsidRPr="000B4BBC">
        <w:rPr>
          <w:rFonts w:ascii="Arial" w:hAnsi="Arial" w:cs="Arial"/>
          <w:b/>
          <w:bCs/>
          <w:i/>
        </w:rPr>
        <w:t>)</w:t>
      </w:r>
    </w:p>
    <w:p w:rsidR="0056376B" w:rsidRPr="000B4BBC" w:rsidRDefault="0056376B" w:rsidP="000B4BBC">
      <w:pPr>
        <w:pStyle w:val="ListParagraph"/>
        <w:numPr>
          <w:ilvl w:val="2"/>
          <w:numId w:val="51"/>
        </w:numPr>
        <w:rPr>
          <w:rFonts w:ascii="Arial" w:hAnsi="Arial" w:cs="Arial"/>
          <w:b/>
          <w:bCs/>
        </w:rPr>
      </w:pPr>
      <w:r w:rsidRPr="000B4BBC">
        <w:rPr>
          <w:rFonts w:ascii="Arial" w:hAnsi="Arial" w:cs="Arial"/>
          <w:bCs/>
        </w:rPr>
        <w:t xml:space="preserve">Safe Drinking Water </w:t>
      </w:r>
      <w:r w:rsidRPr="000B4BBC">
        <w:rPr>
          <w:rFonts w:ascii="Arial" w:hAnsi="Arial" w:cs="Arial"/>
          <w:b/>
          <w:bCs/>
          <w:i/>
        </w:rPr>
        <w:t>(Financial Statement - Attachment #</w:t>
      </w:r>
      <w:r w:rsidR="00023FC2" w:rsidRPr="000B4BBC">
        <w:rPr>
          <w:rFonts w:ascii="Arial" w:hAnsi="Arial" w:cs="Arial"/>
          <w:b/>
          <w:bCs/>
          <w:i/>
        </w:rPr>
        <w:t>6</w:t>
      </w:r>
      <w:r w:rsidRPr="000B4BBC">
        <w:rPr>
          <w:rFonts w:ascii="Arial" w:hAnsi="Arial" w:cs="Arial"/>
          <w:b/>
          <w:bCs/>
          <w:i/>
        </w:rPr>
        <w:t>)</w:t>
      </w:r>
    </w:p>
    <w:p w:rsidR="0056376B" w:rsidRPr="000B4BBC" w:rsidRDefault="0056376B" w:rsidP="000B4BBC">
      <w:pPr>
        <w:pStyle w:val="ListParagraph"/>
        <w:numPr>
          <w:ilvl w:val="2"/>
          <w:numId w:val="51"/>
        </w:numPr>
        <w:rPr>
          <w:rFonts w:ascii="Arial" w:hAnsi="Arial" w:cs="Arial"/>
          <w:b/>
          <w:bCs/>
        </w:rPr>
      </w:pPr>
      <w:r w:rsidRPr="000B4BBC">
        <w:rPr>
          <w:rFonts w:ascii="Arial" w:hAnsi="Arial" w:cs="Arial"/>
          <w:bCs/>
        </w:rPr>
        <w:t xml:space="preserve">Well Plugging (Oil &amp; Gas) </w:t>
      </w:r>
      <w:r w:rsidRPr="000B4BBC">
        <w:rPr>
          <w:rFonts w:ascii="Arial" w:hAnsi="Arial" w:cs="Arial"/>
          <w:b/>
          <w:bCs/>
          <w:i/>
        </w:rPr>
        <w:t>(Financial Statement - Attachment #</w:t>
      </w:r>
      <w:r w:rsidR="00023FC2" w:rsidRPr="000B4BBC">
        <w:rPr>
          <w:rFonts w:ascii="Arial" w:hAnsi="Arial" w:cs="Arial"/>
          <w:b/>
          <w:bCs/>
          <w:i/>
        </w:rPr>
        <w:t>7</w:t>
      </w:r>
      <w:r w:rsidRPr="000B4BBC">
        <w:rPr>
          <w:rFonts w:ascii="Arial" w:hAnsi="Arial" w:cs="Arial"/>
          <w:b/>
          <w:bCs/>
          <w:i/>
        </w:rPr>
        <w:t>)</w:t>
      </w:r>
    </w:p>
    <w:p w:rsidR="00CF45E9" w:rsidRPr="000B4BBC" w:rsidRDefault="00993246" w:rsidP="000B4BBC">
      <w:pPr>
        <w:pStyle w:val="ListParagraph"/>
        <w:numPr>
          <w:ilvl w:val="1"/>
          <w:numId w:val="51"/>
        </w:numPr>
        <w:rPr>
          <w:rFonts w:ascii="Arial" w:hAnsi="Arial" w:cs="Arial"/>
          <w:b/>
          <w:bCs/>
        </w:rPr>
      </w:pPr>
      <w:r w:rsidRPr="000B4BBC">
        <w:rPr>
          <w:rFonts w:ascii="Arial" w:hAnsi="Arial" w:cs="Arial"/>
          <w:bCs/>
        </w:rPr>
        <w:t xml:space="preserve">Interest </w:t>
      </w:r>
      <w:r w:rsidR="00BF5DFB" w:rsidRPr="000B4BBC">
        <w:rPr>
          <w:rFonts w:ascii="Arial" w:hAnsi="Arial" w:cs="Arial"/>
          <w:bCs/>
        </w:rPr>
        <w:t>is credited</w:t>
      </w:r>
      <w:r w:rsidRPr="000B4BBC">
        <w:rPr>
          <w:rFonts w:ascii="Arial" w:hAnsi="Arial" w:cs="Arial"/>
          <w:bCs/>
        </w:rPr>
        <w:t xml:space="preserve"> to the Commonwealth’s General Fund</w:t>
      </w:r>
      <w:r w:rsidR="00BF5DFB" w:rsidRPr="000B4BBC">
        <w:rPr>
          <w:rFonts w:ascii="Arial" w:hAnsi="Arial" w:cs="Arial"/>
          <w:bCs/>
        </w:rPr>
        <w:t>; not to DEP</w:t>
      </w:r>
    </w:p>
    <w:p w:rsidR="00767461" w:rsidRPr="000B4BBC" w:rsidRDefault="00767461" w:rsidP="000B4BBC">
      <w:pPr>
        <w:pStyle w:val="ListParagraph"/>
        <w:numPr>
          <w:ilvl w:val="0"/>
          <w:numId w:val="51"/>
        </w:numPr>
        <w:rPr>
          <w:rFonts w:ascii="Arial" w:hAnsi="Arial" w:cs="Arial"/>
          <w:b/>
          <w:bCs/>
        </w:rPr>
      </w:pPr>
      <w:r w:rsidRPr="00D310F2">
        <w:rPr>
          <w:rFonts w:ascii="Arial" w:hAnsi="Arial" w:cs="Arial"/>
          <w:b/>
          <w:bCs/>
        </w:rPr>
        <w:t>Special Funds</w:t>
      </w:r>
      <w:r w:rsidR="00853449" w:rsidRPr="000B4BBC">
        <w:rPr>
          <w:rFonts w:ascii="Arial" w:hAnsi="Arial" w:cs="Arial"/>
          <w:bCs/>
        </w:rPr>
        <w:t xml:space="preserve"> </w:t>
      </w:r>
      <w:r w:rsidR="007B61CE" w:rsidRPr="000B4BBC">
        <w:rPr>
          <w:rFonts w:ascii="Arial" w:hAnsi="Arial" w:cs="Arial"/>
          <w:bCs/>
        </w:rPr>
        <w:t>– 32</w:t>
      </w:r>
      <w:r w:rsidR="00B753CD" w:rsidRPr="000B4BBC">
        <w:rPr>
          <w:rFonts w:ascii="Arial" w:hAnsi="Arial" w:cs="Arial"/>
          <w:bCs/>
        </w:rPr>
        <w:t>% of Overall DEP Funding</w:t>
      </w:r>
      <w:r w:rsidR="0011586C" w:rsidRPr="000B4BBC">
        <w:rPr>
          <w:rFonts w:ascii="Arial" w:hAnsi="Arial" w:cs="Arial"/>
          <w:bCs/>
        </w:rPr>
        <w:t xml:space="preserve"> </w:t>
      </w:r>
      <w:r w:rsidR="0011586C" w:rsidRPr="000B4BBC">
        <w:rPr>
          <w:rFonts w:ascii="Arial" w:hAnsi="Arial" w:cs="Arial"/>
          <w:b/>
          <w:bCs/>
          <w:i/>
        </w:rPr>
        <w:t>(Attachment #</w:t>
      </w:r>
      <w:r w:rsidR="00023FC2" w:rsidRPr="000B4BBC">
        <w:rPr>
          <w:rFonts w:ascii="Arial" w:hAnsi="Arial" w:cs="Arial"/>
          <w:b/>
          <w:bCs/>
          <w:i/>
        </w:rPr>
        <w:t>8</w:t>
      </w:r>
      <w:r w:rsidR="0011586C" w:rsidRPr="000B4BBC">
        <w:rPr>
          <w:rFonts w:ascii="Arial" w:hAnsi="Arial" w:cs="Arial"/>
          <w:b/>
          <w:bCs/>
          <w:i/>
        </w:rPr>
        <w:t>)</w:t>
      </w:r>
    </w:p>
    <w:p w:rsidR="00767461" w:rsidRPr="000B4BBC" w:rsidRDefault="00767461" w:rsidP="000B4BBC">
      <w:pPr>
        <w:pStyle w:val="ListParagraph"/>
        <w:numPr>
          <w:ilvl w:val="1"/>
          <w:numId w:val="51"/>
        </w:numPr>
        <w:rPr>
          <w:rFonts w:ascii="Arial" w:hAnsi="Arial" w:cs="Arial"/>
          <w:b/>
          <w:bCs/>
        </w:rPr>
      </w:pPr>
      <w:r w:rsidRPr="000B4BBC">
        <w:rPr>
          <w:rFonts w:ascii="Arial" w:hAnsi="Arial" w:cs="Arial"/>
          <w:bCs/>
        </w:rPr>
        <w:t>Revenues raised from special sources named by law – earmarked revenue</w:t>
      </w:r>
    </w:p>
    <w:p w:rsidR="00767461" w:rsidRPr="000B4BBC" w:rsidRDefault="00767461" w:rsidP="000B4BBC">
      <w:pPr>
        <w:pStyle w:val="ListParagraph"/>
        <w:numPr>
          <w:ilvl w:val="2"/>
          <w:numId w:val="51"/>
        </w:numPr>
        <w:rPr>
          <w:rFonts w:ascii="Arial" w:hAnsi="Arial" w:cs="Arial"/>
          <w:b/>
          <w:bCs/>
        </w:rPr>
      </w:pPr>
      <w:r w:rsidRPr="000B4BBC">
        <w:rPr>
          <w:rFonts w:ascii="Arial" w:hAnsi="Arial" w:cs="Arial"/>
          <w:bCs/>
        </w:rPr>
        <w:t>Revenues can be spent only for purposes prescribed by the law and for which the revenues were collected</w:t>
      </w:r>
    </w:p>
    <w:p w:rsidR="00767461" w:rsidRPr="000B4BBC" w:rsidRDefault="00767461" w:rsidP="000B4BBC">
      <w:pPr>
        <w:pStyle w:val="ListParagraph"/>
        <w:numPr>
          <w:ilvl w:val="3"/>
          <w:numId w:val="51"/>
        </w:numPr>
        <w:rPr>
          <w:rFonts w:ascii="Arial" w:hAnsi="Arial" w:cs="Arial"/>
          <w:b/>
          <w:bCs/>
        </w:rPr>
      </w:pPr>
      <w:r w:rsidRPr="000B4BBC">
        <w:rPr>
          <w:rFonts w:ascii="Arial" w:hAnsi="Arial" w:cs="Arial"/>
          <w:bCs/>
        </w:rPr>
        <w:t>Examples of DEP Special Funds:</w:t>
      </w:r>
    </w:p>
    <w:p w:rsidR="00767461" w:rsidRPr="000B4BBC" w:rsidRDefault="00767461" w:rsidP="000B4BBC">
      <w:pPr>
        <w:pStyle w:val="ListParagraph"/>
        <w:numPr>
          <w:ilvl w:val="4"/>
          <w:numId w:val="51"/>
        </w:numPr>
        <w:rPr>
          <w:rFonts w:ascii="Arial" w:hAnsi="Arial" w:cs="Arial"/>
          <w:b/>
          <w:bCs/>
        </w:rPr>
      </w:pPr>
      <w:r w:rsidRPr="000B4BBC">
        <w:rPr>
          <w:rFonts w:ascii="Arial" w:hAnsi="Arial" w:cs="Arial"/>
          <w:bCs/>
        </w:rPr>
        <w:t>Clean Air</w:t>
      </w:r>
      <w:r w:rsidR="00B65772" w:rsidRPr="000B4BBC">
        <w:rPr>
          <w:rFonts w:ascii="Arial" w:hAnsi="Arial" w:cs="Arial"/>
          <w:bCs/>
        </w:rPr>
        <w:t xml:space="preserve"> </w:t>
      </w:r>
      <w:r w:rsidR="00501995" w:rsidRPr="000B4BBC">
        <w:rPr>
          <w:rFonts w:ascii="Arial" w:hAnsi="Arial" w:cs="Arial"/>
          <w:b/>
          <w:bCs/>
          <w:i/>
        </w:rPr>
        <w:t>(Fin</w:t>
      </w:r>
      <w:r w:rsidR="00023FC2" w:rsidRPr="000B4BBC">
        <w:rPr>
          <w:rFonts w:ascii="Arial" w:hAnsi="Arial" w:cs="Arial"/>
          <w:b/>
          <w:bCs/>
          <w:i/>
        </w:rPr>
        <w:t>ancial Statement - Attachment #9</w:t>
      </w:r>
      <w:r w:rsidR="00501995" w:rsidRPr="000B4BBC">
        <w:rPr>
          <w:rFonts w:ascii="Arial" w:hAnsi="Arial" w:cs="Arial"/>
          <w:b/>
          <w:bCs/>
          <w:i/>
        </w:rPr>
        <w:t>)</w:t>
      </w:r>
    </w:p>
    <w:p w:rsidR="00993246" w:rsidRPr="000B4BBC" w:rsidRDefault="00767461" w:rsidP="000B4BBC">
      <w:pPr>
        <w:pStyle w:val="ListParagraph"/>
        <w:numPr>
          <w:ilvl w:val="4"/>
          <w:numId w:val="51"/>
        </w:numPr>
        <w:rPr>
          <w:rFonts w:ascii="Arial" w:hAnsi="Arial" w:cs="Arial"/>
          <w:b/>
          <w:bCs/>
        </w:rPr>
      </w:pPr>
      <w:r w:rsidRPr="000B4BBC">
        <w:rPr>
          <w:rFonts w:ascii="Arial" w:hAnsi="Arial" w:cs="Arial"/>
          <w:bCs/>
        </w:rPr>
        <w:t>Hazardous Sites Cleanup Fun</w:t>
      </w:r>
      <w:r w:rsidR="00B65772" w:rsidRPr="000B4BBC">
        <w:rPr>
          <w:rFonts w:ascii="Arial" w:hAnsi="Arial" w:cs="Arial"/>
          <w:bCs/>
        </w:rPr>
        <w:t xml:space="preserve">d </w:t>
      </w:r>
      <w:r w:rsidR="00501995" w:rsidRPr="000B4BBC">
        <w:rPr>
          <w:rFonts w:ascii="Arial" w:hAnsi="Arial" w:cs="Arial"/>
          <w:b/>
          <w:bCs/>
          <w:i/>
        </w:rPr>
        <w:t>(Financial Statement - Attachment #</w:t>
      </w:r>
      <w:r w:rsidR="00023FC2" w:rsidRPr="000B4BBC">
        <w:rPr>
          <w:rFonts w:ascii="Arial" w:hAnsi="Arial" w:cs="Arial"/>
          <w:b/>
          <w:bCs/>
          <w:i/>
        </w:rPr>
        <w:t>10</w:t>
      </w:r>
      <w:r w:rsidR="00501995" w:rsidRPr="000B4BBC">
        <w:rPr>
          <w:rFonts w:ascii="Arial" w:hAnsi="Arial" w:cs="Arial"/>
          <w:b/>
          <w:bCs/>
          <w:i/>
        </w:rPr>
        <w:t>)</w:t>
      </w:r>
    </w:p>
    <w:p w:rsidR="00767461" w:rsidRPr="000B4BBC" w:rsidRDefault="00767461" w:rsidP="000B4BBC">
      <w:pPr>
        <w:pStyle w:val="ListParagraph"/>
        <w:numPr>
          <w:ilvl w:val="4"/>
          <w:numId w:val="51"/>
        </w:numPr>
        <w:rPr>
          <w:rFonts w:ascii="Arial" w:hAnsi="Arial" w:cs="Arial"/>
          <w:b/>
          <w:bCs/>
        </w:rPr>
      </w:pPr>
      <w:r w:rsidRPr="000B4BBC">
        <w:rPr>
          <w:rFonts w:ascii="Arial" w:hAnsi="Arial" w:cs="Arial"/>
          <w:bCs/>
        </w:rPr>
        <w:t>Recycling Fund</w:t>
      </w:r>
      <w:r w:rsidR="00B65772" w:rsidRPr="000B4BBC">
        <w:rPr>
          <w:rFonts w:ascii="Arial" w:hAnsi="Arial" w:cs="Arial"/>
          <w:bCs/>
        </w:rPr>
        <w:t xml:space="preserve"> </w:t>
      </w:r>
      <w:r w:rsidR="00501995" w:rsidRPr="000B4BBC">
        <w:rPr>
          <w:rFonts w:ascii="Arial" w:hAnsi="Arial" w:cs="Arial"/>
          <w:b/>
          <w:bCs/>
          <w:i/>
        </w:rPr>
        <w:t>(Financial Statement - Attachment #1</w:t>
      </w:r>
      <w:r w:rsidR="00023FC2" w:rsidRPr="000B4BBC">
        <w:rPr>
          <w:rFonts w:ascii="Arial" w:hAnsi="Arial" w:cs="Arial"/>
          <w:b/>
          <w:bCs/>
          <w:i/>
        </w:rPr>
        <w:t>1</w:t>
      </w:r>
      <w:r w:rsidR="00501995" w:rsidRPr="000B4BBC">
        <w:rPr>
          <w:rFonts w:ascii="Arial" w:hAnsi="Arial" w:cs="Arial"/>
          <w:b/>
          <w:bCs/>
          <w:i/>
        </w:rPr>
        <w:t>)</w:t>
      </w:r>
    </w:p>
    <w:p w:rsidR="007C7598" w:rsidRPr="000B4BBC" w:rsidRDefault="007C7598" w:rsidP="000B4BBC">
      <w:pPr>
        <w:pStyle w:val="ListParagraph"/>
        <w:numPr>
          <w:ilvl w:val="2"/>
          <w:numId w:val="51"/>
        </w:numPr>
        <w:rPr>
          <w:rFonts w:ascii="Arial" w:hAnsi="Arial" w:cs="Arial"/>
          <w:b/>
          <w:bCs/>
        </w:rPr>
      </w:pPr>
      <w:r w:rsidRPr="000B4BBC">
        <w:rPr>
          <w:rFonts w:ascii="Arial" w:hAnsi="Arial" w:cs="Arial"/>
          <w:bCs/>
        </w:rPr>
        <w:t>Revenues are generated by fees (permit, registration, etc.), fines, penalties</w:t>
      </w:r>
    </w:p>
    <w:p w:rsidR="004133F2" w:rsidRPr="000B4BBC" w:rsidRDefault="004133F2" w:rsidP="000B4BBC">
      <w:pPr>
        <w:pStyle w:val="ListParagraph"/>
        <w:numPr>
          <w:ilvl w:val="1"/>
          <w:numId w:val="51"/>
        </w:numPr>
        <w:rPr>
          <w:rFonts w:ascii="Arial" w:hAnsi="Arial" w:cs="Arial"/>
          <w:b/>
          <w:bCs/>
        </w:rPr>
      </w:pPr>
      <w:r w:rsidRPr="000B4BBC">
        <w:rPr>
          <w:rFonts w:ascii="Arial" w:hAnsi="Arial" w:cs="Arial"/>
          <w:bCs/>
        </w:rPr>
        <w:lastRenderedPageBreak/>
        <w:t xml:space="preserve">Funding requests by the Department that are authorized in the name of the Governor – previously </w:t>
      </w:r>
      <w:r w:rsidR="00336EAB" w:rsidRPr="000B4BBC">
        <w:rPr>
          <w:rFonts w:ascii="Arial" w:hAnsi="Arial" w:cs="Arial"/>
          <w:bCs/>
        </w:rPr>
        <w:t xml:space="preserve">were </w:t>
      </w:r>
      <w:r w:rsidRPr="000B4BBC">
        <w:rPr>
          <w:rFonts w:ascii="Arial" w:hAnsi="Arial" w:cs="Arial"/>
          <w:bCs/>
        </w:rPr>
        <w:t>appropriated through blanket action of the General Assembly</w:t>
      </w:r>
    </w:p>
    <w:p w:rsidR="0069055C" w:rsidRPr="000B4BBC" w:rsidRDefault="00824BA8" w:rsidP="000B4BBC">
      <w:pPr>
        <w:pStyle w:val="ListParagraph"/>
        <w:numPr>
          <w:ilvl w:val="2"/>
          <w:numId w:val="51"/>
        </w:numPr>
        <w:rPr>
          <w:rFonts w:ascii="Arial" w:hAnsi="Arial" w:cs="Arial"/>
          <w:b/>
          <w:bCs/>
        </w:rPr>
      </w:pPr>
      <w:r w:rsidRPr="000B4BBC">
        <w:rPr>
          <w:rFonts w:ascii="Arial" w:hAnsi="Arial" w:cs="Arial"/>
          <w:bCs/>
        </w:rPr>
        <w:t xml:space="preserve">Any unused funds in a fiscal year are </w:t>
      </w:r>
      <w:r w:rsidR="00C4730F" w:rsidRPr="000B4BBC">
        <w:rPr>
          <w:rFonts w:ascii="Arial" w:hAnsi="Arial" w:cs="Arial"/>
          <w:bCs/>
        </w:rPr>
        <w:t>lapsed back into the fund/</w:t>
      </w:r>
      <w:r w:rsidRPr="000B4BBC">
        <w:rPr>
          <w:rFonts w:ascii="Arial" w:hAnsi="Arial" w:cs="Arial"/>
          <w:bCs/>
        </w:rPr>
        <w:t>returned to the fund</w:t>
      </w:r>
    </w:p>
    <w:p w:rsidR="0069055C" w:rsidRPr="000B4BBC" w:rsidRDefault="0069055C" w:rsidP="000B4BBC">
      <w:pPr>
        <w:pStyle w:val="ListParagraph"/>
        <w:numPr>
          <w:ilvl w:val="1"/>
          <w:numId w:val="51"/>
        </w:numPr>
        <w:rPr>
          <w:rFonts w:ascii="Arial" w:hAnsi="Arial" w:cs="Arial"/>
          <w:b/>
          <w:bCs/>
        </w:rPr>
      </w:pPr>
      <w:r w:rsidRPr="000B4BBC">
        <w:rPr>
          <w:rFonts w:ascii="Arial" w:hAnsi="Arial" w:cs="Arial"/>
          <w:bCs/>
        </w:rPr>
        <w:t>Act 44 (HB674) of October 30, 2017 (Section 1726-G) – May impact DEP special funds and restricted accounts – impact to the Department not yet known.</w:t>
      </w:r>
    </w:p>
    <w:p w:rsidR="0069055C" w:rsidRPr="000B4BBC" w:rsidRDefault="0069055C" w:rsidP="000B4BBC">
      <w:pPr>
        <w:pStyle w:val="ListParagraph"/>
        <w:numPr>
          <w:ilvl w:val="2"/>
          <w:numId w:val="51"/>
        </w:numPr>
        <w:rPr>
          <w:rFonts w:ascii="Arial" w:hAnsi="Arial" w:cs="Arial"/>
          <w:b/>
          <w:bCs/>
        </w:rPr>
      </w:pPr>
      <w:r w:rsidRPr="000B4BBC">
        <w:rPr>
          <w:rFonts w:ascii="Arial" w:hAnsi="Arial" w:cs="Arial"/>
          <w:bCs/>
        </w:rPr>
        <w:t>As stated in the Act, the Secretary of the Budget is required to provide a list of funds and related amounts to the State Treasurer.</w:t>
      </w:r>
    </w:p>
    <w:p w:rsidR="00672E8B" w:rsidRPr="000B4BBC" w:rsidRDefault="003F2EE0" w:rsidP="000B4BBC">
      <w:pPr>
        <w:pStyle w:val="ListParagraph"/>
        <w:numPr>
          <w:ilvl w:val="2"/>
          <w:numId w:val="51"/>
        </w:numPr>
        <w:rPr>
          <w:rFonts w:ascii="Arial" w:hAnsi="Arial" w:cs="Arial"/>
          <w:b/>
          <w:bCs/>
        </w:rPr>
      </w:pPr>
      <w:r w:rsidRPr="000B4BBC">
        <w:rPr>
          <w:rFonts w:ascii="Arial" w:hAnsi="Arial" w:cs="Arial"/>
          <w:bCs/>
        </w:rPr>
        <w:t xml:space="preserve">Refer to </w:t>
      </w:r>
      <w:r w:rsidRPr="000B4BBC">
        <w:rPr>
          <w:rFonts w:ascii="Arial" w:hAnsi="Arial" w:cs="Arial"/>
          <w:b/>
          <w:bCs/>
          <w:i/>
        </w:rPr>
        <w:t>Attachments 12 &amp; 13</w:t>
      </w:r>
      <w:r w:rsidRPr="000B4BBC">
        <w:rPr>
          <w:rFonts w:ascii="Arial" w:hAnsi="Arial" w:cs="Arial"/>
          <w:bCs/>
        </w:rPr>
        <w:t xml:space="preserve">, letters from Secretary McDonnell to the </w:t>
      </w:r>
      <w:r w:rsidR="00FA3C14" w:rsidRPr="000B4BBC">
        <w:rPr>
          <w:rFonts w:ascii="Arial" w:hAnsi="Arial" w:cs="Arial"/>
          <w:bCs/>
        </w:rPr>
        <w:t xml:space="preserve">Environment Resources and Energy Committee Chairs in the </w:t>
      </w:r>
      <w:r w:rsidRPr="000B4BBC">
        <w:rPr>
          <w:rFonts w:ascii="Arial" w:hAnsi="Arial" w:cs="Arial"/>
          <w:bCs/>
        </w:rPr>
        <w:t>Legislature stressing the importance of special funds to the Department.</w:t>
      </w:r>
    </w:p>
    <w:p w:rsidR="00672E8B" w:rsidRPr="000B4BBC" w:rsidRDefault="00672E8B" w:rsidP="000B4BBC">
      <w:pPr>
        <w:pStyle w:val="ListParagraph"/>
        <w:numPr>
          <w:ilvl w:val="0"/>
          <w:numId w:val="51"/>
        </w:numPr>
        <w:rPr>
          <w:rFonts w:ascii="Arial" w:hAnsi="Arial" w:cs="Arial"/>
          <w:b/>
          <w:bCs/>
        </w:rPr>
      </w:pPr>
      <w:bookmarkStart w:id="0" w:name="_GoBack"/>
      <w:r w:rsidRPr="00D310F2">
        <w:rPr>
          <w:rFonts w:ascii="Arial" w:hAnsi="Arial" w:cs="Arial"/>
          <w:b/>
          <w:bCs/>
        </w:rPr>
        <w:t>Federal Funds</w:t>
      </w:r>
      <w:r w:rsidRPr="000B4BBC">
        <w:rPr>
          <w:rFonts w:ascii="Arial" w:hAnsi="Arial" w:cs="Arial"/>
          <w:bCs/>
        </w:rPr>
        <w:t xml:space="preserve"> </w:t>
      </w:r>
      <w:bookmarkEnd w:id="0"/>
      <w:r w:rsidRPr="000B4BBC">
        <w:rPr>
          <w:rFonts w:ascii="Arial" w:hAnsi="Arial" w:cs="Arial"/>
          <w:bCs/>
        </w:rPr>
        <w:t xml:space="preserve">– 30% of Overall DEP Funding </w:t>
      </w:r>
      <w:r w:rsidRPr="000B4BBC">
        <w:rPr>
          <w:rFonts w:ascii="Arial" w:hAnsi="Arial" w:cs="Arial"/>
          <w:b/>
          <w:bCs/>
          <w:i/>
        </w:rPr>
        <w:t>(Attachment #</w:t>
      </w:r>
      <w:r w:rsidR="00436902" w:rsidRPr="000B4BBC">
        <w:rPr>
          <w:rFonts w:ascii="Arial" w:hAnsi="Arial" w:cs="Arial"/>
          <w:b/>
          <w:bCs/>
          <w:i/>
        </w:rPr>
        <w:t>1</w:t>
      </w:r>
      <w:r w:rsidR="00331D6D" w:rsidRPr="000B4BBC">
        <w:rPr>
          <w:rFonts w:ascii="Arial" w:hAnsi="Arial" w:cs="Arial"/>
          <w:b/>
          <w:bCs/>
          <w:i/>
        </w:rPr>
        <w:t>4</w:t>
      </w:r>
      <w:r w:rsidRPr="000B4BBC">
        <w:rPr>
          <w:rFonts w:ascii="Arial" w:hAnsi="Arial" w:cs="Arial"/>
          <w:b/>
          <w:bCs/>
          <w:i/>
        </w:rPr>
        <w:t>)</w:t>
      </w:r>
    </w:p>
    <w:p w:rsidR="00672E8B" w:rsidRPr="000B4BBC" w:rsidRDefault="00672E8B" w:rsidP="000B4BBC">
      <w:pPr>
        <w:pStyle w:val="ListParagraph"/>
        <w:numPr>
          <w:ilvl w:val="1"/>
          <w:numId w:val="51"/>
        </w:numPr>
        <w:rPr>
          <w:rFonts w:ascii="Arial" w:hAnsi="Arial" w:cs="Arial"/>
          <w:b/>
          <w:bCs/>
        </w:rPr>
      </w:pPr>
      <w:r w:rsidRPr="000B4BBC">
        <w:rPr>
          <w:rFonts w:ascii="Arial" w:hAnsi="Arial" w:cs="Arial"/>
          <w:bCs/>
        </w:rPr>
        <w:t>Monies appropriated to the Department for a specific time period</w:t>
      </w:r>
    </w:p>
    <w:p w:rsidR="0069055C" w:rsidRPr="000B4BBC" w:rsidRDefault="00672E8B" w:rsidP="000B4BBC">
      <w:pPr>
        <w:pStyle w:val="ListParagraph"/>
        <w:numPr>
          <w:ilvl w:val="2"/>
          <w:numId w:val="51"/>
        </w:numPr>
        <w:rPr>
          <w:rFonts w:ascii="Arial" w:hAnsi="Arial" w:cs="Arial"/>
          <w:b/>
          <w:bCs/>
        </w:rPr>
      </w:pPr>
      <w:r w:rsidRPr="000B4BBC">
        <w:rPr>
          <w:rFonts w:ascii="Arial" w:hAnsi="Arial" w:cs="Arial"/>
          <w:bCs/>
        </w:rPr>
        <w:t xml:space="preserve">Represents the spending authority estimated to be needed </w:t>
      </w:r>
      <w:r w:rsidR="00456C0F" w:rsidRPr="000B4BBC">
        <w:rPr>
          <w:rFonts w:ascii="Arial" w:hAnsi="Arial" w:cs="Arial"/>
          <w:bCs/>
        </w:rPr>
        <w:t>by the Department for the estimated active federal grants for that fiscal year and grants that may become available during that fiscal year</w:t>
      </w:r>
    </w:p>
    <w:p w:rsidR="00712FFB" w:rsidRPr="000B4BBC" w:rsidRDefault="00436902" w:rsidP="000B4BBC">
      <w:pPr>
        <w:pStyle w:val="ListParagraph"/>
        <w:numPr>
          <w:ilvl w:val="0"/>
          <w:numId w:val="51"/>
        </w:numPr>
        <w:rPr>
          <w:rFonts w:ascii="Arial" w:hAnsi="Arial" w:cs="Arial"/>
          <w:b/>
          <w:bCs/>
        </w:rPr>
      </w:pPr>
      <w:r w:rsidRPr="000B4BBC">
        <w:rPr>
          <w:rFonts w:ascii="Arial" w:hAnsi="Arial" w:cs="Arial"/>
          <w:bCs/>
        </w:rPr>
        <w:t xml:space="preserve">Personnel Costs and the </w:t>
      </w:r>
      <w:r w:rsidR="00F56BEC" w:rsidRPr="000B4BBC">
        <w:rPr>
          <w:rFonts w:ascii="Arial" w:hAnsi="Arial" w:cs="Arial"/>
          <w:bCs/>
        </w:rPr>
        <w:t xml:space="preserve">Cross Application Time System </w:t>
      </w:r>
      <w:r w:rsidRPr="000B4BBC">
        <w:rPr>
          <w:rFonts w:ascii="Arial" w:hAnsi="Arial" w:cs="Arial"/>
          <w:bCs/>
        </w:rPr>
        <w:t>(CATS)</w:t>
      </w:r>
    </w:p>
    <w:p w:rsidR="00712FFB" w:rsidRPr="000B4BBC" w:rsidRDefault="00712FFB" w:rsidP="000B4BBC">
      <w:pPr>
        <w:pStyle w:val="ListParagraph"/>
        <w:numPr>
          <w:ilvl w:val="1"/>
          <w:numId w:val="51"/>
        </w:numPr>
        <w:rPr>
          <w:rFonts w:ascii="Arial" w:hAnsi="Arial" w:cs="Arial"/>
          <w:b/>
          <w:bCs/>
        </w:rPr>
      </w:pPr>
      <w:r w:rsidRPr="000B4BBC">
        <w:rPr>
          <w:rFonts w:ascii="Arial" w:hAnsi="Arial" w:cs="Arial"/>
          <w:bCs/>
        </w:rPr>
        <w:t>DEP uses the Cross Application Time System, commonly known as CATS</w:t>
      </w:r>
      <w:r w:rsidR="00E02D57" w:rsidRPr="000B4BBC">
        <w:rPr>
          <w:rFonts w:ascii="Arial" w:hAnsi="Arial" w:cs="Arial"/>
          <w:bCs/>
        </w:rPr>
        <w:t xml:space="preserve"> to capture employee work hours and distribute personnel costs to appropriate funding source</w:t>
      </w:r>
    </w:p>
    <w:p w:rsidR="007E13CD" w:rsidRPr="000B4BBC" w:rsidRDefault="00C51B6C" w:rsidP="000B4BBC">
      <w:pPr>
        <w:pStyle w:val="ListParagraph"/>
        <w:numPr>
          <w:ilvl w:val="2"/>
          <w:numId w:val="51"/>
        </w:numPr>
        <w:rPr>
          <w:rFonts w:ascii="Arial" w:hAnsi="Arial" w:cs="Arial"/>
          <w:b/>
          <w:bCs/>
        </w:rPr>
      </w:pPr>
      <w:r w:rsidRPr="000B4BBC">
        <w:rPr>
          <w:rFonts w:ascii="Arial" w:hAnsi="Arial" w:cs="Arial"/>
          <w:bCs/>
        </w:rPr>
        <w:t>This is p</w:t>
      </w:r>
      <w:r w:rsidR="007E13CD" w:rsidRPr="000B4BBC">
        <w:rPr>
          <w:rFonts w:ascii="Arial" w:hAnsi="Arial" w:cs="Arial"/>
          <w:bCs/>
        </w:rPr>
        <w:t xml:space="preserve">art of the Commonwealth’s Accounting System </w:t>
      </w:r>
    </w:p>
    <w:p w:rsidR="00F56BEC" w:rsidRPr="000B4BBC" w:rsidRDefault="007E13CD" w:rsidP="000B4BBC">
      <w:pPr>
        <w:pStyle w:val="ListParagraph"/>
        <w:numPr>
          <w:ilvl w:val="1"/>
          <w:numId w:val="51"/>
        </w:numPr>
        <w:rPr>
          <w:rFonts w:ascii="Arial" w:hAnsi="Arial" w:cs="Arial"/>
          <w:b/>
          <w:bCs/>
        </w:rPr>
      </w:pPr>
      <w:r w:rsidRPr="000B4BBC">
        <w:rPr>
          <w:rFonts w:ascii="Arial" w:hAnsi="Arial" w:cs="Arial"/>
          <w:bCs/>
        </w:rPr>
        <w:t xml:space="preserve">Employees input timesheets using work codes </w:t>
      </w:r>
      <w:r w:rsidR="00E02D57" w:rsidRPr="000B4BBC">
        <w:rPr>
          <w:rFonts w:ascii="Arial" w:hAnsi="Arial" w:cs="Arial"/>
          <w:bCs/>
        </w:rPr>
        <w:t xml:space="preserve">(5 digits) </w:t>
      </w:r>
      <w:r w:rsidRPr="000B4BBC">
        <w:rPr>
          <w:rFonts w:ascii="Arial" w:hAnsi="Arial" w:cs="Arial"/>
          <w:bCs/>
        </w:rPr>
        <w:t>created at the request of a program area (such as Water, Oil &amp; Gas, Air Quality)</w:t>
      </w:r>
    </w:p>
    <w:p w:rsidR="007E13CD" w:rsidRPr="000B4BBC" w:rsidRDefault="00F56BEC" w:rsidP="000B4BBC">
      <w:pPr>
        <w:pStyle w:val="ListParagraph"/>
        <w:numPr>
          <w:ilvl w:val="2"/>
          <w:numId w:val="51"/>
        </w:numPr>
        <w:rPr>
          <w:rFonts w:ascii="Arial" w:hAnsi="Arial" w:cs="Arial"/>
          <w:bCs/>
        </w:rPr>
      </w:pPr>
      <w:r w:rsidRPr="000B4BBC">
        <w:rPr>
          <w:rFonts w:ascii="Arial" w:hAnsi="Arial" w:cs="Arial"/>
          <w:bCs/>
        </w:rPr>
        <w:t xml:space="preserve">The work codes </w:t>
      </w:r>
      <w:r w:rsidR="007E13CD" w:rsidRPr="000B4BBC">
        <w:rPr>
          <w:rFonts w:ascii="Arial" w:hAnsi="Arial" w:cs="Arial"/>
          <w:bCs/>
        </w:rPr>
        <w:t xml:space="preserve">charge </w:t>
      </w:r>
      <w:r w:rsidRPr="000B4BBC">
        <w:rPr>
          <w:rFonts w:ascii="Arial" w:hAnsi="Arial" w:cs="Arial"/>
          <w:bCs/>
        </w:rPr>
        <w:t xml:space="preserve">the </w:t>
      </w:r>
      <w:r w:rsidR="007E13CD" w:rsidRPr="000B4BBC">
        <w:rPr>
          <w:rFonts w:ascii="Arial" w:hAnsi="Arial" w:cs="Arial"/>
          <w:bCs/>
        </w:rPr>
        <w:t>funding sources related to the type of work employee is performing based on the defined parameters</w:t>
      </w:r>
      <w:r w:rsidRPr="000B4BBC">
        <w:rPr>
          <w:rFonts w:ascii="Arial" w:hAnsi="Arial" w:cs="Arial"/>
          <w:bCs/>
        </w:rPr>
        <w:t xml:space="preserve"> </w:t>
      </w:r>
      <w:r w:rsidR="000B4BBC">
        <w:rPr>
          <w:rFonts w:ascii="Arial" w:hAnsi="Arial" w:cs="Arial"/>
          <w:bCs/>
        </w:rPr>
        <w:t xml:space="preserve">when the work code is created. </w:t>
      </w:r>
      <w:r w:rsidRPr="000B4BBC">
        <w:rPr>
          <w:rFonts w:ascii="Arial" w:hAnsi="Arial" w:cs="Arial"/>
          <w:bCs/>
        </w:rPr>
        <w:t>For</w:t>
      </w:r>
      <w:r w:rsidR="007E13CD" w:rsidRPr="000B4BBC">
        <w:rPr>
          <w:rFonts w:ascii="Arial" w:hAnsi="Arial" w:cs="Arial"/>
          <w:bCs/>
        </w:rPr>
        <w:t xml:space="preserve"> example</w:t>
      </w:r>
      <w:r w:rsidRPr="000B4BBC">
        <w:rPr>
          <w:rFonts w:ascii="Arial" w:hAnsi="Arial" w:cs="Arial"/>
          <w:bCs/>
        </w:rPr>
        <w:t>:</w:t>
      </w:r>
    </w:p>
    <w:p w:rsidR="00620D50" w:rsidRPr="000B4BBC" w:rsidRDefault="00620D50" w:rsidP="000B4BBC">
      <w:pPr>
        <w:pStyle w:val="ListParagraph"/>
        <w:numPr>
          <w:ilvl w:val="3"/>
          <w:numId w:val="51"/>
        </w:numPr>
        <w:rPr>
          <w:rFonts w:ascii="Arial" w:hAnsi="Arial" w:cs="Arial"/>
          <w:b/>
          <w:bCs/>
        </w:rPr>
      </w:pPr>
      <w:r w:rsidRPr="000B4BBC">
        <w:rPr>
          <w:rFonts w:ascii="Arial" w:hAnsi="Arial" w:cs="Arial"/>
          <w:bCs/>
        </w:rPr>
        <w:t xml:space="preserve">If </w:t>
      </w:r>
      <w:r w:rsidR="007E13CD" w:rsidRPr="000B4BBC">
        <w:rPr>
          <w:rFonts w:ascii="Arial" w:hAnsi="Arial" w:cs="Arial"/>
          <w:bCs/>
        </w:rPr>
        <w:t xml:space="preserve">work is </w:t>
      </w:r>
      <w:r w:rsidRPr="000B4BBC">
        <w:rPr>
          <w:rFonts w:ascii="Arial" w:hAnsi="Arial" w:cs="Arial"/>
          <w:bCs/>
        </w:rPr>
        <w:t xml:space="preserve">related to </w:t>
      </w:r>
      <w:r w:rsidR="007E13CD" w:rsidRPr="000B4BBC">
        <w:rPr>
          <w:rFonts w:ascii="Arial" w:hAnsi="Arial" w:cs="Arial"/>
          <w:bCs/>
        </w:rPr>
        <w:t xml:space="preserve">a </w:t>
      </w:r>
      <w:r w:rsidRPr="000B4BBC">
        <w:rPr>
          <w:rFonts w:ascii="Arial" w:hAnsi="Arial" w:cs="Arial"/>
          <w:bCs/>
        </w:rPr>
        <w:t xml:space="preserve">federal grant that has </w:t>
      </w:r>
      <w:r w:rsidR="007E13CD" w:rsidRPr="000B4BBC">
        <w:rPr>
          <w:rFonts w:ascii="Arial" w:hAnsi="Arial" w:cs="Arial"/>
          <w:bCs/>
        </w:rPr>
        <w:t xml:space="preserve">a match requirement, </w:t>
      </w:r>
      <w:r w:rsidRPr="000B4BBC">
        <w:rPr>
          <w:rFonts w:ascii="Arial" w:hAnsi="Arial" w:cs="Arial"/>
          <w:bCs/>
        </w:rPr>
        <w:t xml:space="preserve">work code </w:t>
      </w:r>
      <w:r w:rsidR="00C51B6C" w:rsidRPr="000B4BBC">
        <w:rPr>
          <w:rFonts w:ascii="Arial" w:hAnsi="Arial" w:cs="Arial"/>
          <w:bCs/>
        </w:rPr>
        <w:t>will</w:t>
      </w:r>
      <w:r w:rsidRPr="000B4BBC">
        <w:rPr>
          <w:rFonts w:ascii="Arial" w:hAnsi="Arial" w:cs="Arial"/>
          <w:bCs/>
        </w:rPr>
        <w:t xml:space="preserve"> charge 60% to grant, 40% to match </w:t>
      </w:r>
    </w:p>
    <w:p w:rsidR="00620D50" w:rsidRPr="000B4BBC" w:rsidRDefault="00620D50" w:rsidP="000B4BBC">
      <w:pPr>
        <w:pStyle w:val="ListParagraph"/>
        <w:numPr>
          <w:ilvl w:val="4"/>
          <w:numId w:val="51"/>
        </w:numPr>
        <w:rPr>
          <w:rFonts w:ascii="Arial" w:hAnsi="Arial" w:cs="Arial"/>
          <w:b/>
          <w:bCs/>
        </w:rPr>
      </w:pPr>
      <w:r w:rsidRPr="000B4BBC">
        <w:rPr>
          <w:rFonts w:ascii="Arial" w:hAnsi="Arial" w:cs="Arial"/>
          <w:bCs/>
        </w:rPr>
        <w:t>Examples: Air Quality Management, Water Pollution Control Management, Deep Mine Safety, Emergency Response, etc.</w:t>
      </w:r>
    </w:p>
    <w:p w:rsidR="00712FFB" w:rsidRPr="000B4BBC" w:rsidRDefault="00712FFB" w:rsidP="000B4BBC">
      <w:pPr>
        <w:pStyle w:val="ListParagraph"/>
        <w:numPr>
          <w:ilvl w:val="2"/>
          <w:numId w:val="51"/>
        </w:numPr>
        <w:rPr>
          <w:rFonts w:ascii="Arial" w:hAnsi="Arial" w:cs="Arial"/>
          <w:b/>
          <w:bCs/>
        </w:rPr>
      </w:pPr>
      <w:r w:rsidRPr="000B4BBC">
        <w:rPr>
          <w:rFonts w:ascii="Arial" w:hAnsi="Arial" w:cs="Arial"/>
          <w:bCs/>
        </w:rPr>
        <w:t>Activity code – input in conjunction with the work code</w:t>
      </w:r>
      <w:r w:rsidR="00E02D57" w:rsidRPr="000B4BBC">
        <w:rPr>
          <w:rFonts w:ascii="Arial" w:hAnsi="Arial" w:cs="Arial"/>
          <w:bCs/>
        </w:rPr>
        <w:t xml:space="preserve"> </w:t>
      </w:r>
    </w:p>
    <w:p w:rsidR="00E02D57" w:rsidRPr="000B4BBC" w:rsidRDefault="00E02D57" w:rsidP="000B4BBC">
      <w:pPr>
        <w:pStyle w:val="ListParagraph"/>
        <w:numPr>
          <w:ilvl w:val="3"/>
          <w:numId w:val="51"/>
        </w:numPr>
        <w:rPr>
          <w:rFonts w:ascii="Arial" w:hAnsi="Arial" w:cs="Arial"/>
          <w:b/>
          <w:bCs/>
        </w:rPr>
      </w:pPr>
      <w:r w:rsidRPr="000B4BBC">
        <w:rPr>
          <w:rFonts w:ascii="Arial" w:hAnsi="Arial" w:cs="Arial"/>
          <w:bCs/>
        </w:rPr>
        <w:t xml:space="preserve">Has no relationship </w:t>
      </w:r>
      <w:r w:rsidR="001916E9" w:rsidRPr="000B4BBC">
        <w:rPr>
          <w:rFonts w:ascii="Arial" w:hAnsi="Arial" w:cs="Arial"/>
          <w:bCs/>
        </w:rPr>
        <w:t xml:space="preserve">to funding </w:t>
      </w:r>
    </w:p>
    <w:p w:rsidR="00712FFB" w:rsidRPr="000B4BBC" w:rsidRDefault="00712FFB" w:rsidP="000B4BBC">
      <w:pPr>
        <w:pStyle w:val="ListParagraph"/>
        <w:numPr>
          <w:ilvl w:val="3"/>
          <w:numId w:val="51"/>
        </w:numPr>
        <w:rPr>
          <w:rFonts w:ascii="Arial" w:hAnsi="Arial" w:cs="Arial"/>
          <w:b/>
          <w:bCs/>
        </w:rPr>
      </w:pPr>
      <w:r w:rsidRPr="000B4BBC">
        <w:rPr>
          <w:rFonts w:ascii="Arial" w:hAnsi="Arial" w:cs="Arial"/>
          <w:bCs/>
        </w:rPr>
        <w:t>Helps define the work</w:t>
      </w:r>
      <w:r w:rsidR="00E02D57" w:rsidRPr="000B4BBC">
        <w:rPr>
          <w:rFonts w:ascii="Arial" w:hAnsi="Arial" w:cs="Arial"/>
          <w:bCs/>
        </w:rPr>
        <w:t xml:space="preserve"> performed to a more specific level</w:t>
      </w:r>
      <w:r w:rsidR="001916E9" w:rsidRPr="000B4BBC">
        <w:rPr>
          <w:rFonts w:ascii="Arial" w:hAnsi="Arial" w:cs="Arial"/>
          <w:bCs/>
        </w:rPr>
        <w:t xml:space="preserve"> </w:t>
      </w:r>
    </w:p>
    <w:p w:rsidR="001916E9" w:rsidRPr="000B4BBC" w:rsidRDefault="001916E9" w:rsidP="000B4BBC">
      <w:pPr>
        <w:pStyle w:val="ListParagraph"/>
        <w:numPr>
          <w:ilvl w:val="4"/>
          <w:numId w:val="51"/>
        </w:numPr>
        <w:rPr>
          <w:rFonts w:ascii="Arial" w:hAnsi="Arial" w:cs="Arial"/>
          <w:b/>
          <w:bCs/>
        </w:rPr>
      </w:pPr>
      <w:r w:rsidRPr="000B4BBC">
        <w:rPr>
          <w:rFonts w:ascii="Arial" w:hAnsi="Arial" w:cs="Arial"/>
          <w:bCs/>
        </w:rPr>
        <w:t>Assists programs in the monitoring and reporting of activities within their program area</w:t>
      </w:r>
    </w:p>
    <w:p w:rsidR="001916E9" w:rsidRPr="000B4BBC" w:rsidRDefault="001916E9" w:rsidP="000B4BBC">
      <w:pPr>
        <w:pStyle w:val="ListParagraph"/>
        <w:numPr>
          <w:ilvl w:val="5"/>
          <w:numId w:val="51"/>
        </w:numPr>
        <w:rPr>
          <w:rFonts w:ascii="Arial" w:hAnsi="Arial" w:cs="Arial"/>
          <w:b/>
          <w:bCs/>
        </w:rPr>
      </w:pPr>
      <w:r w:rsidRPr="000B4BBC">
        <w:rPr>
          <w:rFonts w:ascii="Arial" w:hAnsi="Arial" w:cs="Arial"/>
          <w:bCs/>
        </w:rPr>
        <w:t>Can help create spend plans</w:t>
      </w:r>
    </w:p>
    <w:p w:rsidR="001916E9" w:rsidRPr="000B4BBC" w:rsidRDefault="001916E9" w:rsidP="000B4BBC">
      <w:pPr>
        <w:pStyle w:val="ListParagraph"/>
        <w:numPr>
          <w:ilvl w:val="5"/>
          <w:numId w:val="51"/>
        </w:numPr>
        <w:rPr>
          <w:rFonts w:ascii="Arial" w:hAnsi="Arial" w:cs="Arial"/>
          <w:b/>
          <w:bCs/>
        </w:rPr>
      </w:pPr>
      <w:r w:rsidRPr="000B4BBC">
        <w:rPr>
          <w:rFonts w:ascii="Arial" w:hAnsi="Arial" w:cs="Arial"/>
          <w:bCs/>
        </w:rPr>
        <w:t>Assists with federal grant reporting</w:t>
      </w:r>
    </w:p>
    <w:p w:rsidR="0069055C" w:rsidRPr="000B4BBC" w:rsidRDefault="00712FFB" w:rsidP="000B4BBC">
      <w:pPr>
        <w:pStyle w:val="ListParagraph"/>
        <w:numPr>
          <w:ilvl w:val="4"/>
          <w:numId w:val="51"/>
        </w:numPr>
        <w:rPr>
          <w:rFonts w:ascii="Arial" w:hAnsi="Arial" w:cs="Arial"/>
          <w:b/>
          <w:bCs/>
        </w:rPr>
      </w:pPr>
      <w:r w:rsidRPr="000B4BBC">
        <w:rPr>
          <w:rFonts w:ascii="Arial" w:hAnsi="Arial" w:cs="Arial"/>
          <w:bCs/>
        </w:rPr>
        <w:t>Examples: Permitting, monitoring, enforcement, project development, etc.</w:t>
      </w:r>
    </w:p>
    <w:p w:rsidR="00F346FE" w:rsidRPr="000B4BBC" w:rsidRDefault="0069055C" w:rsidP="000B4BBC">
      <w:pPr>
        <w:pStyle w:val="ListParagraph"/>
        <w:rPr>
          <w:rFonts w:ascii="Arial" w:hAnsi="Arial" w:cs="Arial"/>
          <w:b/>
          <w:bCs/>
        </w:rPr>
      </w:pPr>
      <w:r w:rsidRPr="000B4BBC">
        <w:rPr>
          <w:rFonts w:ascii="Arial" w:hAnsi="Arial" w:cs="Arial"/>
          <w:b/>
          <w:bCs/>
        </w:rPr>
        <w:t xml:space="preserve"> </w:t>
      </w:r>
    </w:p>
    <w:p w:rsidR="00F346FE" w:rsidRDefault="00F346FE" w:rsidP="00F346FE">
      <w:pPr>
        <w:rPr>
          <w:rFonts w:ascii="Arial" w:hAnsi="Arial" w:cs="Arial"/>
          <w:b/>
          <w:bCs/>
        </w:rPr>
      </w:pPr>
    </w:p>
    <w:sectPr w:rsidR="00F346FE" w:rsidSect="000351F9">
      <w:headerReference w:type="default" r:id="rId9"/>
      <w:footerReference w:type="even" r:id="rId10"/>
      <w:footerReference w:type="default" r:id="rId11"/>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8B" w:rsidRDefault="00672E8B">
      <w:r>
        <w:separator/>
      </w:r>
    </w:p>
  </w:endnote>
  <w:endnote w:type="continuationSeparator" w:id="0">
    <w:p w:rsidR="00672E8B" w:rsidRDefault="0067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8B" w:rsidRDefault="00672E8B" w:rsidP="00A000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2E8B" w:rsidRDefault="00672E8B" w:rsidP="00A000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8B" w:rsidRDefault="00672E8B" w:rsidP="00A000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0F2">
      <w:rPr>
        <w:rStyle w:val="PageNumber"/>
        <w:noProof/>
      </w:rPr>
      <w:t>2</w:t>
    </w:r>
    <w:r>
      <w:rPr>
        <w:rStyle w:val="PageNumber"/>
      </w:rPr>
      <w:fldChar w:fldCharType="end"/>
    </w:r>
  </w:p>
  <w:p w:rsidR="00672E8B" w:rsidRDefault="00F665F8" w:rsidP="00A00090">
    <w:pPr>
      <w:pStyle w:val="Footer"/>
      <w:ind w:right="360"/>
    </w:pPr>
    <w:r>
      <w:t>www.dep.pa.gov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8B" w:rsidRDefault="00672E8B">
      <w:r>
        <w:separator/>
      </w:r>
    </w:p>
  </w:footnote>
  <w:footnote w:type="continuationSeparator" w:id="0">
    <w:p w:rsidR="00672E8B" w:rsidRDefault="00672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8B" w:rsidRDefault="00672E8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617"/>
    <w:multiLevelType w:val="hybridMultilevel"/>
    <w:tmpl w:val="8454FFB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892E97"/>
    <w:multiLevelType w:val="hybridMultilevel"/>
    <w:tmpl w:val="24E0304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2B6625"/>
    <w:multiLevelType w:val="hybridMultilevel"/>
    <w:tmpl w:val="A920BCE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64F0C"/>
    <w:multiLevelType w:val="hybridMultilevel"/>
    <w:tmpl w:val="7C98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1BFB"/>
    <w:multiLevelType w:val="hybridMultilevel"/>
    <w:tmpl w:val="600C0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33194"/>
    <w:multiLevelType w:val="hybridMultilevel"/>
    <w:tmpl w:val="4F6C62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255A72"/>
    <w:multiLevelType w:val="hybridMultilevel"/>
    <w:tmpl w:val="FF16A2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661569"/>
    <w:multiLevelType w:val="hybridMultilevel"/>
    <w:tmpl w:val="17D82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635FA8"/>
    <w:multiLevelType w:val="hybridMultilevel"/>
    <w:tmpl w:val="11E4A1D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6864DA"/>
    <w:multiLevelType w:val="hybridMultilevel"/>
    <w:tmpl w:val="97BA379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064FF"/>
    <w:multiLevelType w:val="hybridMultilevel"/>
    <w:tmpl w:val="C296734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F1118D"/>
    <w:multiLevelType w:val="hybridMultilevel"/>
    <w:tmpl w:val="E540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14718"/>
    <w:multiLevelType w:val="hybridMultilevel"/>
    <w:tmpl w:val="53F0B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C3980"/>
    <w:multiLevelType w:val="hybridMultilevel"/>
    <w:tmpl w:val="4B3C8C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DE78C4"/>
    <w:multiLevelType w:val="hybridMultilevel"/>
    <w:tmpl w:val="8F60F13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F6838"/>
    <w:multiLevelType w:val="hybridMultilevel"/>
    <w:tmpl w:val="E2068ED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2E09DC"/>
    <w:multiLevelType w:val="hybridMultilevel"/>
    <w:tmpl w:val="01EE40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506CE"/>
    <w:multiLevelType w:val="hybridMultilevel"/>
    <w:tmpl w:val="A6E6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E2544"/>
    <w:multiLevelType w:val="hybridMultilevel"/>
    <w:tmpl w:val="D298A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57BFF"/>
    <w:multiLevelType w:val="hybridMultilevel"/>
    <w:tmpl w:val="1FF67D5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319DC"/>
    <w:multiLevelType w:val="hybridMultilevel"/>
    <w:tmpl w:val="9BC4439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712070"/>
    <w:multiLevelType w:val="hybridMultilevel"/>
    <w:tmpl w:val="646A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549D1"/>
    <w:multiLevelType w:val="hybridMultilevel"/>
    <w:tmpl w:val="1EDA134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00456E"/>
    <w:multiLevelType w:val="hybridMultilevel"/>
    <w:tmpl w:val="B226F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24228"/>
    <w:multiLevelType w:val="hybridMultilevel"/>
    <w:tmpl w:val="65C484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856B2"/>
    <w:multiLevelType w:val="hybridMultilevel"/>
    <w:tmpl w:val="464ADC0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11581"/>
    <w:multiLevelType w:val="hybridMultilevel"/>
    <w:tmpl w:val="3BC20B1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6B7890"/>
    <w:multiLevelType w:val="hybridMultilevel"/>
    <w:tmpl w:val="71925D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02774"/>
    <w:multiLevelType w:val="hybridMultilevel"/>
    <w:tmpl w:val="7400BCB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78309E"/>
    <w:multiLevelType w:val="hybridMultilevel"/>
    <w:tmpl w:val="D220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E619CC"/>
    <w:multiLevelType w:val="hybridMultilevel"/>
    <w:tmpl w:val="C9020C3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6583E"/>
    <w:multiLevelType w:val="hybridMultilevel"/>
    <w:tmpl w:val="0CB4C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121F8"/>
    <w:multiLevelType w:val="hybridMultilevel"/>
    <w:tmpl w:val="C74667A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F3678E"/>
    <w:multiLevelType w:val="hybridMultilevel"/>
    <w:tmpl w:val="1178721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10677"/>
    <w:multiLevelType w:val="hybridMultilevel"/>
    <w:tmpl w:val="6DB681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00D93"/>
    <w:multiLevelType w:val="hybridMultilevel"/>
    <w:tmpl w:val="CE7881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27D8C"/>
    <w:multiLevelType w:val="hybridMultilevel"/>
    <w:tmpl w:val="65C49D9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E3992"/>
    <w:multiLevelType w:val="hybridMultilevel"/>
    <w:tmpl w:val="6F00DAB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6E58D0"/>
    <w:multiLevelType w:val="hybridMultilevel"/>
    <w:tmpl w:val="10BA3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0141E"/>
    <w:multiLevelType w:val="hybridMultilevel"/>
    <w:tmpl w:val="0B5C1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B4A66"/>
    <w:multiLevelType w:val="hybridMultilevel"/>
    <w:tmpl w:val="D5B4E8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D2498"/>
    <w:multiLevelType w:val="hybridMultilevel"/>
    <w:tmpl w:val="4C7454A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4530A9"/>
    <w:multiLevelType w:val="hybridMultilevel"/>
    <w:tmpl w:val="14FAF74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671471"/>
    <w:multiLevelType w:val="hybridMultilevel"/>
    <w:tmpl w:val="DC868DF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702151"/>
    <w:multiLevelType w:val="hybridMultilevel"/>
    <w:tmpl w:val="8F6EF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10F1F"/>
    <w:multiLevelType w:val="hybridMultilevel"/>
    <w:tmpl w:val="718A2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040DE"/>
    <w:multiLevelType w:val="hybridMultilevel"/>
    <w:tmpl w:val="68DAFF7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9462E9"/>
    <w:multiLevelType w:val="hybridMultilevel"/>
    <w:tmpl w:val="C4DCAFF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407202"/>
    <w:multiLevelType w:val="hybridMultilevel"/>
    <w:tmpl w:val="8D16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9A54BA"/>
    <w:multiLevelType w:val="hybridMultilevel"/>
    <w:tmpl w:val="A8346B2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DB84492"/>
    <w:multiLevelType w:val="hybridMultilevel"/>
    <w:tmpl w:val="8BFCA3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8"/>
  </w:num>
  <w:num w:numId="3">
    <w:abstractNumId w:val="44"/>
  </w:num>
  <w:num w:numId="4">
    <w:abstractNumId w:val="21"/>
  </w:num>
  <w:num w:numId="5">
    <w:abstractNumId w:val="3"/>
  </w:num>
  <w:num w:numId="6">
    <w:abstractNumId w:val="40"/>
  </w:num>
  <w:num w:numId="7">
    <w:abstractNumId w:val="48"/>
  </w:num>
  <w:num w:numId="8">
    <w:abstractNumId w:val="19"/>
  </w:num>
  <w:num w:numId="9">
    <w:abstractNumId w:val="45"/>
  </w:num>
  <w:num w:numId="10">
    <w:abstractNumId w:val="12"/>
  </w:num>
  <w:num w:numId="11">
    <w:abstractNumId w:val="17"/>
  </w:num>
  <w:num w:numId="12">
    <w:abstractNumId w:val="38"/>
  </w:num>
  <w:num w:numId="13">
    <w:abstractNumId w:val="25"/>
  </w:num>
  <w:num w:numId="14">
    <w:abstractNumId w:val="24"/>
  </w:num>
  <w:num w:numId="15">
    <w:abstractNumId w:val="27"/>
  </w:num>
  <w:num w:numId="16">
    <w:abstractNumId w:val="33"/>
  </w:num>
  <w:num w:numId="17">
    <w:abstractNumId w:val="46"/>
  </w:num>
  <w:num w:numId="18">
    <w:abstractNumId w:val="20"/>
  </w:num>
  <w:num w:numId="19">
    <w:abstractNumId w:val="50"/>
  </w:num>
  <w:num w:numId="20">
    <w:abstractNumId w:val="29"/>
  </w:num>
  <w:num w:numId="21">
    <w:abstractNumId w:val="7"/>
  </w:num>
  <w:num w:numId="22">
    <w:abstractNumId w:val="26"/>
  </w:num>
  <w:num w:numId="23">
    <w:abstractNumId w:val="5"/>
  </w:num>
  <w:num w:numId="24">
    <w:abstractNumId w:val="22"/>
  </w:num>
  <w:num w:numId="25">
    <w:abstractNumId w:val="41"/>
  </w:num>
  <w:num w:numId="26">
    <w:abstractNumId w:val="42"/>
  </w:num>
  <w:num w:numId="27">
    <w:abstractNumId w:val="47"/>
  </w:num>
  <w:num w:numId="28">
    <w:abstractNumId w:val="43"/>
  </w:num>
  <w:num w:numId="29">
    <w:abstractNumId w:val="15"/>
  </w:num>
  <w:num w:numId="30">
    <w:abstractNumId w:val="6"/>
  </w:num>
  <w:num w:numId="31">
    <w:abstractNumId w:val="14"/>
  </w:num>
  <w:num w:numId="32">
    <w:abstractNumId w:val="13"/>
  </w:num>
  <w:num w:numId="33">
    <w:abstractNumId w:val="10"/>
  </w:num>
  <w:num w:numId="34">
    <w:abstractNumId w:val="28"/>
  </w:num>
  <w:num w:numId="35">
    <w:abstractNumId w:val="2"/>
  </w:num>
  <w:num w:numId="36">
    <w:abstractNumId w:val="37"/>
  </w:num>
  <w:num w:numId="37">
    <w:abstractNumId w:val="16"/>
  </w:num>
  <w:num w:numId="38">
    <w:abstractNumId w:val="1"/>
  </w:num>
  <w:num w:numId="39">
    <w:abstractNumId w:val="35"/>
  </w:num>
  <w:num w:numId="40">
    <w:abstractNumId w:val="9"/>
  </w:num>
  <w:num w:numId="41">
    <w:abstractNumId w:val="11"/>
  </w:num>
  <w:num w:numId="42">
    <w:abstractNumId w:val="30"/>
  </w:num>
  <w:num w:numId="43">
    <w:abstractNumId w:val="31"/>
  </w:num>
  <w:num w:numId="44">
    <w:abstractNumId w:val="36"/>
  </w:num>
  <w:num w:numId="45">
    <w:abstractNumId w:val="34"/>
  </w:num>
  <w:num w:numId="46">
    <w:abstractNumId w:val="49"/>
  </w:num>
  <w:num w:numId="47">
    <w:abstractNumId w:val="32"/>
  </w:num>
  <w:num w:numId="48">
    <w:abstractNumId w:val="0"/>
  </w:num>
  <w:num w:numId="49">
    <w:abstractNumId w:val="39"/>
  </w:num>
  <w:num w:numId="50">
    <w:abstractNumId w:val="8"/>
  </w:num>
  <w:num w:numId="51">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4A"/>
    <w:rsid w:val="00005BA6"/>
    <w:rsid w:val="0001175C"/>
    <w:rsid w:val="00013095"/>
    <w:rsid w:val="000156B4"/>
    <w:rsid w:val="00015F78"/>
    <w:rsid w:val="000202A7"/>
    <w:rsid w:val="0002043B"/>
    <w:rsid w:val="00023FC2"/>
    <w:rsid w:val="00026533"/>
    <w:rsid w:val="00033939"/>
    <w:rsid w:val="00034641"/>
    <w:rsid w:val="000351F9"/>
    <w:rsid w:val="00036BAA"/>
    <w:rsid w:val="00041AA8"/>
    <w:rsid w:val="00042734"/>
    <w:rsid w:val="00042E77"/>
    <w:rsid w:val="00045F78"/>
    <w:rsid w:val="00046FA7"/>
    <w:rsid w:val="00061381"/>
    <w:rsid w:val="0006390A"/>
    <w:rsid w:val="00065FDB"/>
    <w:rsid w:val="00067D2F"/>
    <w:rsid w:val="00070E97"/>
    <w:rsid w:val="00071BBF"/>
    <w:rsid w:val="000835D4"/>
    <w:rsid w:val="0008526E"/>
    <w:rsid w:val="000900AE"/>
    <w:rsid w:val="00094FBD"/>
    <w:rsid w:val="00095A8A"/>
    <w:rsid w:val="000A3455"/>
    <w:rsid w:val="000B1128"/>
    <w:rsid w:val="000B4BBC"/>
    <w:rsid w:val="000B526B"/>
    <w:rsid w:val="000B544B"/>
    <w:rsid w:val="000C0D93"/>
    <w:rsid w:val="000C2058"/>
    <w:rsid w:val="000C3D30"/>
    <w:rsid w:val="000C5C38"/>
    <w:rsid w:val="000D09FC"/>
    <w:rsid w:val="000D29F9"/>
    <w:rsid w:val="000D3039"/>
    <w:rsid w:val="000D437F"/>
    <w:rsid w:val="000D49A2"/>
    <w:rsid w:val="000E3B9B"/>
    <w:rsid w:val="000F2E4E"/>
    <w:rsid w:val="000F5FC9"/>
    <w:rsid w:val="000F79C4"/>
    <w:rsid w:val="00104E1F"/>
    <w:rsid w:val="00106012"/>
    <w:rsid w:val="00110C8C"/>
    <w:rsid w:val="001129D7"/>
    <w:rsid w:val="0011319C"/>
    <w:rsid w:val="0011586C"/>
    <w:rsid w:val="0011783E"/>
    <w:rsid w:val="00127FB2"/>
    <w:rsid w:val="00130A40"/>
    <w:rsid w:val="00131CD6"/>
    <w:rsid w:val="00135FCA"/>
    <w:rsid w:val="00136CC9"/>
    <w:rsid w:val="0014726F"/>
    <w:rsid w:val="00156CE6"/>
    <w:rsid w:val="00157C2F"/>
    <w:rsid w:val="00163742"/>
    <w:rsid w:val="00163DCD"/>
    <w:rsid w:val="001667CC"/>
    <w:rsid w:val="00173729"/>
    <w:rsid w:val="0017403C"/>
    <w:rsid w:val="00175835"/>
    <w:rsid w:val="00186872"/>
    <w:rsid w:val="00190CCE"/>
    <w:rsid w:val="001916E9"/>
    <w:rsid w:val="00192B94"/>
    <w:rsid w:val="00193A5A"/>
    <w:rsid w:val="0019665A"/>
    <w:rsid w:val="001974D0"/>
    <w:rsid w:val="001A0254"/>
    <w:rsid w:val="001A58ED"/>
    <w:rsid w:val="001A7940"/>
    <w:rsid w:val="001B2D41"/>
    <w:rsid w:val="001C1E55"/>
    <w:rsid w:val="001C7DFB"/>
    <w:rsid w:val="001D0DBC"/>
    <w:rsid w:val="001D50E9"/>
    <w:rsid w:val="001E71DB"/>
    <w:rsid w:val="001F3C65"/>
    <w:rsid w:val="0020439B"/>
    <w:rsid w:val="00204B4F"/>
    <w:rsid w:val="00215C3C"/>
    <w:rsid w:val="0022545E"/>
    <w:rsid w:val="002314E6"/>
    <w:rsid w:val="00236BE9"/>
    <w:rsid w:val="00242F56"/>
    <w:rsid w:val="00244AA1"/>
    <w:rsid w:val="00252F79"/>
    <w:rsid w:val="00254DA0"/>
    <w:rsid w:val="00255789"/>
    <w:rsid w:val="00266088"/>
    <w:rsid w:val="00271FA6"/>
    <w:rsid w:val="00277107"/>
    <w:rsid w:val="00282014"/>
    <w:rsid w:val="002829D4"/>
    <w:rsid w:val="00290B05"/>
    <w:rsid w:val="00292BC9"/>
    <w:rsid w:val="00297569"/>
    <w:rsid w:val="002A249C"/>
    <w:rsid w:val="002B18D5"/>
    <w:rsid w:val="002B5010"/>
    <w:rsid w:val="002B6818"/>
    <w:rsid w:val="002B6BB9"/>
    <w:rsid w:val="002C228C"/>
    <w:rsid w:val="002C74F6"/>
    <w:rsid w:val="002D7F8C"/>
    <w:rsid w:val="002E31DD"/>
    <w:rsid w:val="002E4886"/>
    <w:rsid w:val="002E48C4"/>
    <w:rsid w:val="002F0C41"/>
    <w:rsid w:val="002F24D5"/>
    <w:rsid w:val="002F43D5"/>
    <w:rsid w:val="002F6755"/>
    <w:rsid w:val="002F71C7"/>
    <w:rsid w:val="00301ADD"/>
    <w:rsid w:val="00321647"/>
    <w:rsid w:val="00322B78"/>
    <w:rsid w:val="00331D6D"/>
    <w:rsid w:val="00333862"/>
    <w:rsid w:val="0033578A"/>
    <w:rsid w:val="00336EAB"/>
    <w:rsid w:val="00351CEB"/>
    <w:rsid w:val="00360F7A"/>
    <w:rsid w:val="00362C7E"/>
    <w:rsid w:val="00364787"/>
    <w:rsid w:val="00374FA1"/>
    <w:rsid w:val="0037669D"/>
    <w:rsid w:val="00377DBF"/>
    <w:rsid w:val="00381795"/>
    <w:rsid w:val="00394DEF"/>
    <w:rsid w:val="00395072"/>
    <w:rsid w:val="0039747F"/>
    <w:rsid w:val="003A2538"/>
    <w:rsid w:val="003A3D2B"/>
    <w:rsid w:val="003A4281"/>
    <w:rsid w:val="003A6EC7"/>
    <w:rsid w:val="003A6FE3"/>
    <w:rsid w:val="003B0A94"/>
    <w:rsid w:val="003B14B4"/>
    <w:rsid w:val="003B6BA3"/>
    <w:rsid w:val="003C1128"/>
    <w:rsid w:val="003D2AEE"/>
    <w:rsid w:val="003D69C8"/>
    <w:rsid w:val="003E63B5"/>
    <w:rsid w:val="003F2EE0"/>
    <w:rsid w:val="003F7EBA"/>
    <w:rsid w:val="00400FEB"/>
    <w:rsid w:val="004065B1"/>
    <w:rsid w:val="004133F2"/>
    <w:rsid w:val="00415C4C"/>
    <w:rsid w:val="00424970"/>
    <w:rsid w:val="00426867"/>
    <w:rsid w:val="00432177"/>
    <w:rsid w:val="004333BE"/>
    <w:rsid w:val="004344D5"/>
    <w:rsid w:val="00435294"/>
    <w:rsid w:val="00436902"/>
    <w:rsid w:val="0044000F"/>
    <w:rsid w:val="004404A5"/>
    <w:rsid w:val="00444C36"/>
    <w:rsid w:val="00452E79"/>
    <w:rsid w:val="0045393C"/>
    <w:rsid w:val="00455B5A"/>
    <w:rsid w:val="00456065"/>
    <w:rsid w:val="00456C0F"/>
    <w:rsid w:val="00466B82"/>
    <w:rsid w:val="004726D5"/>
    <w:rsid w:val="00474D82"/>
    <w:rsid w:val="0048079F"/>
    <w:rsid w:val="0048108C"/>
    <w:rsid w:val="00481941"/>
    <w:rsid w:val="00481FD6"/>
    <w:rsid w:val="00487090"/>
    <w:rsid w:val="00491089"/>
    <w:rsid w:val="00491F8B"/>
    <w:rsid w:val="004A39B3"/>
    <w:rsid w:val="004A5D04"/>
    <w:rsid w:val="004A7969"/>
    <w:rsid w:val="004B1244"/>
    <w:rsid w:val="004B2228"/>
    <w:rsid w:val="004B3799"/>
    <w:rsid w:val="004B3A26"/>
    <w:rsid w:val="004B4F93"/>
    <w:rsid w:val="004B6138"/>
    <w:rsid w:val="004C0C99"/>
    <w:rsid w:val="004C28FB"/>
    <w:rsid w:val="004D082F"/>
    <w:rsid w:val="004D6365"/>
    <w:rsid w:val="004D7112"/>
    <w:rsid w:val="004D7FA0"/>
    <w:rsid w:val="004E29DD"/>
    <w:rsid w:val="004E3094"/>
    <w:rsid w:val="004E685A"/>
    <w:rsid w:val="004E78D1"/>
    <w:rsid w:val="004F398B"/>
    <w:rsid w:val="004F4832"/>
    <w:rsid w:val="004F7026"/>
    <w:rsid w:val="004F7622"/>
    <w:rsid w:val="004F7720"/>
    <w:rsid w:val="00501995"/>
    <w:rsid w:val="00501F87"/>
    <w:rsid w:val="005041CB"/>
    <w:rsid w:val="0050745C"/>
    <w:rsid w:val="00511581"/>
    <w:rsid w:val="00513515"/>
    <w:rsid w:val="00514250"/>
    <w:rsid w:val="0051522C"/>
    <w:rsid w:val="00526F31"/>
    <w:rsid w:val="00527DF6"/>
    <w:rsid w:val="0053641B"/>
    <w:rsid w:val="0053648A"/>
    <w:rsid w:val="00540D7B"/>
    <w:rsid w:val="00544DA8"/>
    <w:rsid w:val="00545BEF"/>
    <w:rsid w:val="00547152"/>
    <w:rsid w:val="00551BBC"/>
    <w:rsid w:val="00554599"/>
    <w:rsid w:val="00554D33"/>
    <w:rsid w:val="0056172A"/>
    <w:rsid w:val="0056376B"/>
    <w:rsid w:val="0058534A"/>
    <w:rsid w:val="00597401"/>
    <w:rsid w:val="005A2B45"/>
    <w:rsid w:val="005B1977"/>
    <w:rsid w:val="005B5D56"/>
    <w:rsid w:val="005B6C28"/>
    <w:rsid w:val="005C32C1"/>
    <w:rsid w:val="005C5D08"/>
    <w:rsid w:val="005D2255"/>
    <w:rsid w:val="005D2A4C"/>
    <w:rsid w:val="005D4766"/>
    <w:rsid w:val="005D5383"/>
    <w:rsid w:val="005D5A0B"/>
    <w:rsid w:val="005D6393"/>
    <w:rsid w:val="005D6E78"/>
    <w:rsid w:val="005E1344"/>
    <w:rsid w:val="005E7739"/>
    <w:rsid w:val="005F4BE6"/>
    <w:rsid w:val="006114EC"/>
    <w:rsid w:val="00615377"/>
    <w:rsid w:val="006159B5"/>
    <w:rsid w:val="00620D50"/>
    <w:rsid w:val="00623D43"/>
    <w:rsid w:val="00633E02"/>
    <w:rsid w:val="00640040"/>
    <w:rsid w:val="00646250"/>
    <w:rsid w:val="00662184"/>
    <w:rsid w:val="00663B18"/>
    <w:rsid w:val="00663C75"/>
    <w:rsid w:val="00666F8E"/>
    <w:rsid w:val="0067286C"/>
    <w:rsid w:val="00672AF0"/>
    <w:rsid w:val="00672E8B"/>
    <w:rsid w:val="006762AB"/>
    <w:rsid w:val="00680B27"/>
    <w:rsid w:val="006876CD"/>
    <w:rsid w:val="00687968"/>
    <w:rsid w:val="0069055C"/>
    <w:rsid w:val="0069098B"/>
    <w:rsid w:val="00694D1E"/>
    <w:rsid w:val="00696ECF"/>
    <w:rsid w:val="006B5351"/>
    <w:rsid w:val="006C15F0"/>
    <w:rsid w:val="006C41B2"/>
    <w:rsid w:val="006C6800"/>
    <w:rsid w:val="006E3BC7"/>
    <w:rsid w:val="006F3CF5"/>
    <w:rsid w:val="006F5C79"/>
    <w:rsid w:val="006F72A0"/>
    <w:rsid w:val="0070018E"/>
    <w:rsid w:val="00712FFB"/>
    <w:rsid w:val="007218AB"/>
    <w:rsid w:val="00721EA4"/>
    <w:rsid w:val="007255E3"/>
    <w:rsid w:val="00730DD1"/>
    <w:rsid w:val="00740078"/>
    <w:rsid w:val="00740B5E"/>
    <w:rsid w:val="007410F4"/>
    <w:rsid w:val="00741B13"/>
    <w:rsid w:val="00742B43"/>
    <w:rsid w:val="007462DE"/>
    <w:rsid w:val="0074676C"/>
    <w:rsid w:val="00747B79"/>
    <w:rsid w:val="0076017E"/>
    <w:rsid w:val="007607AA"/>
    <w:rsid w:val="00763887"/>
    <w:rsid w:val="00765D0C"/>
    <w:rsid w:val="00765FF0"/>
    <w:rsid w:val="00767461"/>
    <w:rsid w:val="0077165B"/>
    <w:rsid w:val="00771F50"/>
    <w:rsid w:val="00773B77"/>
    <w:rsid w:val="00782E49"/>
    <w:rsid w:val="007830C4"/>
    <w:rsid w:val="00784BD9"/>
    <w:rsid w:val="00786263"/>
    <w:rsid w:val="007903EB"/>
    <w:rsid w:val="00790B60"/>
    <w:rsid w:val="00793062"/>
    <w:rsid w:val="007A09AC"/>
    <w:rsid w:val="007A5EB1"/>
    <w:rsid w:val="007B4CE6"/>
    <w:rsid w:val="007B5FEE"/>
    <w:rsid w:val="007B61CE"/>
    <w:rsid w:val="007C0C75"/>
    <w:rsid w:val="007C2B70"/>
    <w:rsid w:val="007C2DEF"/>
    <w:rsid w:val="007C2F8F"/>
    <w:rsid w:val="007C37AB"/>
    <w:rsid w:val="007C7598"/>
    <w:rsid w:val="007D181B"/>
    <w:rsid w:val="007D41C0"/>
    <w:rsid w:val="007E13CD"/>
    <w:rsid w:val="007E1F07"/>
    <w:rsid w:val="007F1C72"/>
    <w:rsid w:val="007F3D55"/>
    <w:rsid w:val="007F6CC3"/>
    <w:rsid w:val="0080113E"/>
    <w:rsid w:val="00801E5D"/>
    <w:rsid w:val="00803D23"/>
    <w:rsid w:val="0080615A"/>
    <w:rsid w:val="008061D8"/>
    <w:rsid w:val="00807E87"/>
    <w:rsid w:val="0081022D"/>
    <w:rsid w:val="00812BE4"/>
    <w:rsid w:val="00813EAF"/>
    <w:rsid w:val="008174CB"/>
    <w:rsid w:val="00824BA8"/>
    <w:rsid w:val="00830ABF"/>
    <w:rsid w:val="008427A4"/>
    <w:rsid w:val="00843831"/>
    <w:rsid w:val="00846D15"/>
    <w:rsid w:val="0085065B"/>
    <w:rsid w:val="00853449"/>
    <w:rsid w:val="00865C57"/>
    <w:rsid w:val="00867190"/>
    <w:rsid w:val="00867330"/>
    <w:rsid w:val="00870661"/>
    <w:rsid w:val="00882678"/>
    <w:rsid w:val="00890C9C"/>
    <w:rsid w:val="00892704"/>
    <w:rsid w:val="008934E4"/>
    <w:rsid w:val="008961B3"/>
    <w:rsid w:val="008A117E"/>
    <w:rsid w:val="008C2A8C"/>
    <w:rsid w:val="008C2B00"/>
    <w:rsid w:val="008D080D"/>
    <w:rsid w:val="008D1FA9"/>
    <w:rsid w:val="008D25EB"/>
    <w:rsid w:val="008D2A10"/>
    <w:rsid w:val="008D553B"/>
    <w:rsid w:val="008D5739"/>
    <w:rsid w:val="008D7764"/>
    <w:rsid w:val="008E32FF"/>
    <w:rsid w:val="008E4379"/>
    <w:rsid w:val="008E782F"/>
    <w:rsid w:val="008E7C11"/>
    <w:rsid w:val="008F3A8D"/>
    <w:rsid w:val="008F54CA"/>
    <w:rsid w:val="0090776B"/>
    <w:rsid w:val="0091147B"/>
    <w:rsid w:val="0092367E"/>
    <w:rsid w:val="00926FEB"/>
    <w:rsid w:val="00931AA5"/>
    <w:rsid w:val="009368F7"/>
    <w:rsid w:val="00942D38"/>
    <w:rsid w:val="009453C1"/>
    <w:rsid w:val="009521D2"/>
    <w:rsid w:val="00952474"/>
    <w:rsid w:val="009528F9"/>
    <w:rsid w:val="009556A2"/>
    <w:rsid w:val="0096075E"/>
    <w:rsid w:val="009608A8"/>
    <w:rsid w:val="00960C49"/>
    <w:rsid w:val="0096367D"/>
    <w:rsid w:val="0096418B"/>
    <w:rsid w:val="00967125"/>
    <w:rsid w:val="00971F91"/>
    <w:rsid w:val="00972AD0"/>
    <w:rsid w:val="0097498F"/>
    <w:rsid w:val="00976CF7"/>
    <w:rsid w:val="00980790"/>
    <w:rsid w:val="00981AC8"/>
    <w:rsid w:val="00985999"/>
    <w:rsid w:val="0098718D"/>
    <w:rsid w:val="009911A1"/>
    <w:rsid w:val="00993246"/>
    <w:rsid w:val="009A35AF"/>
    <w:rsid w:val="009A5A9C"/>
    <w:rsid w:val="009B040B"/>
    <w:rsid w:val="009C2253"/>
    <w:rsid w:val="009C3944"/>
    <w:rsid w:val="009C61B6"/>
    <w:rsid w:val="009C6460"/>
    <w:rsid w:val="009C6754"/>
    <w:rsid w:val="009D19D0"/>
    <w:rsid w:val="009E3A0B"/>
    <w:rsid w:val="009E404A"/>
    <w:rsid w:val="009E4295"/>
    <w:rsid w:val="009F00C2"/>
    <w:rsid w:val="009F10F7"/>
    <w:rsid w:val="009F264F"/>
    <w:rsid w:val="00A00090"/>
    <w:rsid w:val="00A0133E"/>
    <w:rsid w:val="00A01E82"/>
    <w:rsid w:val="00A0347A"/>
    <w:rsid w:val="00A05B74"/>
    <w:rsid w:val="00A065DB"/>
    <w:rsid w:val="00A06E2A"/>
    <w:rsid w:val="00A14885"/>
    <w:rsid w:val="00A275D1"/>
    <w:rsid w:val="00A35654"/>
    <w:rsid w:val="00A36A33"/>
    <w:rsid w:val="00A442E8"/>
    <w:rsid w:val="00A44E13"/>
    <w:rsid w:val="00A6267D"/>
    <w:rsid w:val="00A6599F"/>
    <w:rsid w:val="00A7112C"/>
    <w:rsid w:val="00A72B75"/>
    <w:rsid w:val="00A751CC"/>
    <w:rsid w:val="00A821AF"/>
    <w:rsid w:val="00A92B5B"/>
    <w:rsid w:val="00A94748"/>
    <w:rsid w:val="00A95CAF"/>
    <w:rsid w:val="00A95CB5"/>
    <w:rsid w:val="00AA354A"/>
    <w:rsid w:val="00AA4EF2"/>
    <w:rsid w:val="00AA6D9B"/>
    <w:rsid w:val="00AA71AD"/>
    <w:rsid w:val="00AB4DBE"/>
    <w:rsid w:val="00AC4781"/>
    <w:rsid w:val="00AC63BA"/>
    <w:rsid w:val="00AC65B0"/>
    <w:rsid w:val="00AD39A2"/>
    <w:rsid w:val="00AD6402"/>
    <w:rsid w:val="00AF2261"/>
    <w:rsid w:val="00AF50FB"/>
    <w:rsid w:val="00B02467"/>
    <w:rsid w:val="00B0449D"/>
    <w:rsid w:val="00B06918"/>
    <w:rsid w:val="00B07EA9"/>
    <w:rsid w:val="00B1251D"/>
    <w:rsid w:val="00B16868"/>
    <w:rsid w:val="00B17DD8"/>
    <w:rsid w:val="00B317AD"/>
    <w:rsid w:val="00B32E31"/>
    <w:rsid w:val="00B36A82"/>
    <w:rsid w:val="00B463A5"/>
    <w:rsid w:val="00B5013E"/>
    <w:rsid w:val="00B523EF"/>
    <w:rsid w:val="00B5769C"/>
    <w:rsid w:val="00B579CE"/>
    <w:rsid w:val="00B620AF"/>
    <w:rsid w:val="00B6228E"/>
    <w:rsid w:val="00B6436B"/>
    <w:rsid w:val="00B65772"/>
    <w:rsid w:val="00B66E70"/>
    <w:rsid w:val="00B753CD"/>
    <w:rsid w:val="00B7716E"/>
    <w:rsid w:val="00B778A6"/>
    <w:rsid w:val="00B81686"/>
    <w:rsid w:val="00B81A3B"/>
    <w:rsid w:val="00B837BC"/>
    <w:rsid w:val="00B861C2"/>
    <w:rsid w:val="00B86905"/>
    <w:rsid w:val="00B908BF"/>
    <w:rsid w:val="00B93014"/>
    <w:rsid w:val="00B93A9F"/>
    <w:rsid w:val="00B95A1E"/>
    <w:rsid w:val="00BA036C"/>
    <w:rsid w:val="00BA1505"/>
    <w:rsid w:val="00BA726A"/>
    <w:rsid w:val="00BB08D8"/>
    <w:rsid w:val="00BB1C68"/>
    <w:rsid w:val="00BB24AC"/>
    <w:rsid w:val="00BB6C15"/>
    <w:rsid w:val="00BC5259"/>
    <w:rsid w:val="00BC67B3"/>
    <w:rsid w:val="00BD2629"/>
    <w:rsid w:val="00BD2C96"/>
    <w:rsid w:val="00BD362C"/>
    <w:rsid w:val="00BD3A7F"/>
    <w:rsid w:val="00BD714F"/>
    <w:rsid w:val="00BE1AFA"/>
    <w:rsid w:val="00BE2FC6"/>
    <w:rsid w:val="00BE7009"/>
    <w:rsid w:val="00BE776D"/>
    <w:rsid w:val="00BF515C"/>
    <w:rsid w:val="00BF5DFB"/>
    <w:rsid w:val="00C061A0"/>
    <w:rsid w:val="00C21434"/>
    <w:rsid w:val="00C30B89"/>
    <w:rsid w:val="00C33711"/>
    <w:rsid w:val="00C35B85"/>
    <w:rsid w:val="00C46747"/>
    <w:rsid w:val="00C4730F"/>
    <w:rsid w:val="00C47BED"/>
    <w:rsid w:val="00C512E7"/>
    <w:rsid w:val="00C51B6C"/>
    <w:rsid w:val="00C5277D"/>
    <w:rsid w:val="00C54817"/>
    <w:rsid w:val="00C57825"/>
    <w:rsid w:val="00C67350"/>
    <w:rsid w:val="00C71401"/>
    <w:rsid w:val="00C73007"/>
    <w:rsid w:val="00C77489"/>
    <w:rsid w:val="00C838DB"/>
    <w:rsid w:val="00C84A0B"/>
    <w:rsid w:val="00C91610"/>
    <w:rsid w:val="00C9323C"/>
    <w:rsid w:val="00CB090D"/>
    <w:rsid w:val="00CB0D81"/>
    <w:rsid w:val="00CB1669"/>
    <w:rsid w:val="00CC0C93"/>
    <w:rsid w:val="00CC2027"/>
    <w:rsid w:val="00CC36BD"/>
    <w:rsid w:val="00CC6B6B"/>
    <w:rsid w:val="00CD28FF"/>
    <w:rsid w:val="00CD548D"/>
    <w:rsid w:val="00CE36FF"/>
    <w:rsid w:val="00CE44AE"/>
    <w:rsid w:val="00CE4F14"/>
    <w:rsid w:val="00CF0BDE"/>
    <w:rsid w:val="00CF45E9"/>
    <w:rsid w:val="00D078BE"/>
    <w:rsid w:val="00D13C25"/>
    <w:rsid w:val="00D16A6F"/>
    <w:rsid w:val="00D1788C"/>
    <w:rsid w:val="00D246C1"/>
    <w:rsid w:val="00D27AC2"/>
    <w:rsid w:val="00D310F2"/>
    <w:rsid w:val="00D326E3"/>
    <w:rsid w:val="00D342F2"/>
    <w:rsid w:val="00D41012"/>
    <w:rsid w:val="00D4177C"/>
    <w:rsid w:val="00D43755"/>
    <w:rsid w:val="00D46322"/>
    <w:rsid w:val="00D47107"/>
    <w:rsid w:val="00D5199F"/>
    <w:rsid w:val="00D53407"/>
    <w:rsid w:val="00D6516D"/>
    <w:rsid w:val="00D667FD"/>
    <w:rsid w:val="00D73A36"/>
    <w:rsid w:val="00D74F2E"/>
    <w:rsid w:val="00D77464"/>
    <w:rsid w:val="00D8309F"/>
    <w:rsid w:val="00D841CD"/>
    <w:rsid w:val="00D853D4"/>
    <w:rsid w:val="00D86EAE"/>
    <w:rsid w:val="00DB7060"/>
    <w:rsid w:val="00DC70D9"/>
    <w:rsid w:val="00DD03C3"/>
    <w:rsid w:val="00DD2C15"/>
    <w:rsid w:val="00DE2013"/>
    <w:rsid w:val="00E00000"/>
    <w:rsid w:val="00E01545"/>
    <w:rsid w:val="00E02D57"/>
    <w:rsid w:val="00E0466E"/>
    <w:rsid w:val="00E0682E"/>
    <w:rsid w:val="00E14370"/>
    <w:rsid w:val="00E17404"/>
    <w:rsid w:val="00E22390"/>
    <w:rsid w:val="00E234E2"/>
    <w:rsid w:val="00E3220E"/>
    <w:rsid w:val="00E45119"/>
    <w:rsid w:val="00E63694"/>
    <w:rsid w:val="00E73854"/>
    <w:rsid w:val="00E7404C"/>
    <w:rsid w:val="00E80425"/>
    <w:rsid w:val="00E846A8"/>
    <w:rsid w:val="00E87ED1"/>
    <w:rsid w:val="00E931EE"/>
    <w:rsid w:val="00EA2F54"/>
    <w:rsid w:val="00EA59F1"/>
    <w:rsid w:val="00EA6208"/>
    <w:rsid w:val="00EA698C"/>
    <w:rsid w:val="00EB1E03"/>
    <w:rsid w:val="00EB31DA"/>
    <w:rsid w:val="00EB5F13"/>
    <w:rsid w:val="00EB76DF"/>
    <w:rsid w:val="00EC0BC4"/>
    <w:rsid w:val="00EC2986"/>
    <w:rsid w:val="00EC2A2D"/>
    <w:rsid w:val="00EC5B8C"/>
    <w:rsid w:val="00ED2FEC"/>
    <w:rsid w:val="00ED3C21"/>
    <w:rsid w:val="00ED3D8D"/>
    <w:rsid w:val="00ED5C42"/>
    <w:rsid w:val="00ED7F9E"/>
    <w:rsid w:val="00EE1FB5"/>
    <w:rsid w:val="00EE7BF6"/>
    <w:rsid w:val="00EF254E"/>
    <w:rsid w:val="00EF3AD8"/>
    <w:rsid w:val="00F125A8"/>
    <w:rsid w:val="00F13A88"/>
    <w:rsid w:val="00F14079"/>
    <w:rsid w:val="00F1623C"/>
    <w:rsid w:val="00F23BBB"/>
    <w:rsid w:val="00F346FE"/>
    <w:rsid w:val="00F51405"/>
    <w:rsid w:val="00F56BEC"/>
    <w:rsid w:val="00F62EEB"/>
    <w:rsid w:val="00F63460"/>
    <w:rsid w:val="00F65359"/>
    <w:rsid w:val="00F65DC5"/>
    <w:rsid w:val="00F665F8"/>
    <w:rsid w:val="00F76E16"/>
    <w:rsid w:val="00F76EB5"/>
    <w:rsid w:val="00F82EEA"/>
    <w:rsid w:val="00F846D4"/>
    <w:rsid w:val="00F86F2C"/>
    <w:rsid w:val="00F907AA"/>
    <w:rsid w:val="00FA1296"/>
    <w:rsid w:val="00FA1486"/>
    <w:rsid w:val="00FA3C14"/>
    <w:rsid w:val="00FA431C"/>
    <w:rsid w:val="00FA51E5"/>
    <w:rsid w:val="00FA6A20"/>
    <w:rsid w:val="00FA70B9"/>
    <w:rsid w:val="00FB4A1D"/>
    <w:rsid w:val="00FB6C5E"/>
    <w:rsid w:val="00FB79B4"/>
    <w:rsid w:val="00FC334C"/>
    <w:rsid w:val="00FC42EF"/>
    <w:rsid w:val="00FD2EA3"/>
    <w:rsid w:val="00FE41FB"/>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63B88"/>
  <w15:chartTrackingRefBased/>
  <w15:docId w15:val="{6718EBDD-6E6B-4DCD-8FA0-FBDA09DA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6">
    <w:name w:val="heading 6"/>
    <w:basedOn w:val="Normal"/>
    <w:next w:val="Normal"/>
    <w:qFormat/>
    <w:pPr>
      <w:keepNext/>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sid w:val="00351CEB"/>
    <w:rPr>
      <w:b/>
      <w:bCs/>
    </w:rPr>
  </w:style>
  <w:style w:type="character" w:styleId="Emphasis">
    <w:name w:val="Emphasis"/>
    <w:qFormat/>
    <w:rsid w:val="00351CEB"/>
    <w:rPr>
      <w:i/>
      <w:iCs/>
    </w:rPr>
  </w:style>
  <w:style w:type="paragraph" w:styleId="Footer">
    <w:name w:val="footer"/>
    <w:basedOn w:val="Normal"/>
    <w:rsid w:val="00A00090"/>
    <w:pPr>
      <w:tabs>
        <w:tab w:val="center" w:pos="4320"/>
        <w:tab w:val="right" w:pos="8640"/>
      </w:tabs>
    </w:pPr>
  </w:style>
  <w:style w:type="character" w:styleId="PageNumber">
    <w:name w:val="page number"/>
    <w:basedOn w:val="DefaultParagraphFont"/>
    <w:rsid w:val="00A00090"/>
  </w:style>
  <w:style w:type="paragraph" w:styleId="Header">
    <w:name w:val="header"/>
    <w:basedOn w:val="Normal"/>
    <w:link w:val="HeaderChar"/>
    <w:uiPriority w:val="99"/>
    <w:unhideWhenUsed/>
    <w:rsid w:val="008E782F"/>
    <w:pPr>
      <w:tabs>
        <w:tab w:val="center" w:pos="4680"/>
        <w:tab w:val="right" w:pos="9360"/>
      </w:tabs>
    </w:pPr>
  </w:style>
  <w:style w:type="character" w:customStyle="1" w:styleId="HeaderChar">
    <w:name w:val="Header Char"/>
    <w:link w:val="Header"/>
    <w:uiPriority w:val="99"/>
    <w:rsid w:val="008E782F"/>
    <w:rPr>
      <w:sz w:val="24"/>
      <w:szCs w:val="24"/>
    </w:rPr>
  </w:style>
  <w:style w:type="paragraph" w:styleId="ListParagraph">
    <w:name w:val="List Paragraph"/>
    <w:basedOn w:val="Normal"/>
    <w:uiPriority w:val="34"/>
    <w:qFormat/>
    <w:rsid w:val="00277107"/>
    <w:pPr>
      <w:ind w:left="720"/>
    </w:pPr>
  </w:style>
  <w:style w:type="paragraph" w:styleId="NoSpacing">
    <w:name w:val="No Spacing"/>
    <w:uiPriority w:val="1"/>
    <w:qFormat/>
    <w:rsid w:val="00BA726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6311">
      <w:bodyDiv w:val="1"/>
      <w:marLeft w:val="0"/>
      <w:marRight w:val="0"/>
      <w:marTop w:val="0"/>
      <w:marBottom w:val="0"/>
      <w:divBdr>
        <w:top w:val="none" w:sz="0" w:space="0" w:color="auto"/>
        <w:left w:val="none" w:sz="0" w:space="0" w:color="auto"/>
        <w:bottom w:val="none" w:sz="0" w:space="0" w:color="auto"/>
        <w:right w:val="none" w:sz="0" w:space="0" w:color="auto"/>
      </w:divBdr>
    </w:div>
    <w:div w:id="902833935">
      <w:bodyDiv w:val="1"/>
      <w:marLeft w:val="0"/>
      <w:marRight w:val="0"/>
      <w:marTop w:val="0"/>
      <w:marBottom w:val="0"/>
      <w:divBdr>
        <w:top w:val="none" w:sz="0" w:space="0" w:color="auto"/>
        <w:left w:val="none" w:sz="0" w:space="0" w:color="auto"/>
        <w:bottom w:val="none" w:sz="0" w:space="0" w:color="auto"/>
        <w:right w:val="none" w:sz="0" w:space="0" w:color="auto"/>
      </w:divBdr>
    </w:div>
    <w:div w:id="939989665">
      <w:bodyDiv w:val="1"/>
      <w:marLeft w:val="0"/>
      <w:marRight w:val="0"/>
      <w:marTop w:val="0"/>
      <w:marBottom w:val="0"/>
      <w:divBdr>
        <w:top w:val="none" w:sz="0" w:space="0" w:color="auto"/>
        <w:left w:val="none" w:sz="0" w:space="0" w:color="auto"/>
        <w:bottom w:val="none" w:sz="0" w:space="0" w:color="auto"/>
        <w:right w:val="none" w:sz="0" w:space="0" w:color="auto"/>
      </w:divBdr>
    </w:div>
    <w:div w:id="965697048">
      <w:bodyDiv w:val="1"/>
      <w:marLeft w:val="0"/>
      <w:marRight w:val="0"/>
      <w:marTop w:val="0"/>
      <w:marBottom w:val="0"/>
      <w:divBdr>
        <w:top w:val="none" w:sz="0" w:space="0" w:color="auto"/>
        <w:left w:val="none" w:sz="0" w:space="0" w:color="auto"/>
        <w:bottom w:val="none" w:sz="0" w:space="0" w:color="auto"/>
        <w:right w:val="none" w:sz="0" w:space="0" w:color="auto"/>
      </w:divBdr>
    </w:div>
    <w:div w:id="1090663193">
      <w:bodyDiv w:val="1"/>
      <w:marLeft w:val="0"/>
      <w:marRight w:val="0"/>
      <w:marTop w:val="0"/>
      <w:marBottom w:val="0"/>
      <w:divBdr>
        <w:top w:val="none" w:sz="0" w:space="0" w:color="auto"/>
        <w:left w:val="none" w:sz="0" w:space="0" w:color="auto"/>
        <w:bottom w:val="none" w:sz="0" w:space="0" w:color="auto"/>
        <w:right w:val="none" w:sz="0" w:space="0" w:color="auto"/>
      </w:divBdr>
    </w:div>
    <w:div w:id="1908374601">
      <w:bodyDiv w:val="1"/>
      <w:marLeft w:val="0"/>
      <w:marRight w:val="0"/>
      <w:marTop w:val="0"/>
      <w:marBottom w:val="0"/>
      <w:divBdr>
        <w:top w:val="none" w:sz="0" w:space="0" w:color="auto"/>
        <w:left w:val="none" w:sz="0" w:space="0" w:color="auto"/>
        <w:bottom w:val="none" w:sz="0" w:space="0" w:color="auto"/>
        <w:right w:val="none" w:sz="0" w:space="0" w:color="auto"/>
      </w:divBdr>
      <w:divsChild>
        <w:div w:id="2120055763">
          <w:marLeft w:val="576"/>
          <w:marRight w:val="0"/>
          <w:marTop w:val="80"/>
          <w:marBottom w:val="0"/>
          <w:divBdr>
            <w:top w:val="none" w:sz="0" w:space="0" w:color="auto"/>
            <w:left w:val="none" w:sz="0" w:space="0" w:color="auto"/>
            <w:bottom w:val="none" w:sz="0" w:space="0" w:color="auto"/>
            <w:right w:val="none" w:sz="0" w:space="0" w:color="auto"/>
          </w:divBdr>
        </w:div>
      </w:divsChild>
    </w:div>
    <w:div w:id="20189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EFC5-6367-4392-85B4-53931CB4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4797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Dan,</vt:lpstr>
    </vt:vector>
  </TitlesOfParts>
  <Company>Commonwealth of PA</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dc:title>
  <dc:subject/>
  <dc:creator>DEP</dc:creator>
  <cp:keywords/>
  <cp:lastModifiedBy>Golding, Timothy</cp:lastModifiedBy>
  <cp:revision>2</cp:revision>
  <cp:lastPrinted>2017-11-02T17:58:00Z</cp:lastPrinted>
  <dcterms:created xsi:type="dcterms:W3CDTF">2017-11-09T18:25:00Z</dcterms:created>
  <dcterms:modified xsi:type="dcterms:W3CDTF">2017-11-09T18:25:00Z</dcterms:modified>
</cp:coreProperties>
</file>