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4EE" w:rsidRPr="00794DA7" w:rsidRDefault="005764EE" w:rsidP="007A329E">
      <w:pPr>
        <w:rPr>
          <w:szCs w:val="24"/>
        </w:rPr>
      </w:pPr>
    </w:p>
    <w:p w:rsidR="007A329E" w:rsidRDefault="007A329E" w:rsidP="007A329E">
      <w:pPr>
        <w:ind w:right="-3240"/>
        <w:rPr>
          <w:szCs w:val="24"/>
        </w:rPr>
      </w:pPr>
    </w:p>
    <w:tbl>
      <w:tblPr>
        <w:tblStyle w:val="TableGrid"/>
        <w:tblW w:w="8942"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20"/>
        <w:gridCol w:w="7322"/>
      </w:tblGrid>
      <w:tr w:rsidR="00BA177A" w:rsidRPr="00BA177A" w:rsidTr="0011725D">
        <w:tc>
          <w:tcPr>
            <w:tcW w:w="1620" w:type="dxa"/>
          </w:tcPr>
          <w:p w:rsidR="00BA177A" w:rsidRPr="00BA177A" w:rsidRDefault="00BA177A" w:rsidP="009B2CA3">
            <w:pPr>
              <w:rPr>
                <w:b/>
                <w:szCs w:val="24"/>
              </w:rPr>
            </w:pPr>
            <w:r w:rsidRPr="00BA177A">
              <w:rPr>
                <w:b/>
                <w:szCs w:val="24"/>
              </w:rPr>
              <w:t>TO</w:t>
            </w:r>
          </w:p>
        </w:tc>
        <w:tc>
          <w:tcPr>
            <w:tcW w:w="7322" w:type="dxa"/>
          </w:tcPr>
          <w:p w:rsidR="00016AE9" w:rsidRPr="00016AE9" w:rsidRDefault="00016AE9" w:rsidP="00016AE9">
            <w:pPr>
              <w:rPr>
                <w:szCs w:val="24"/>
              </w:rPr>
            </w:pPr>
            <w:r w:rsidRPr="00016AE9">
              <w:rPr>
                <w:szCs w:val="24"/>
              </w:rPr>
              <w:t>James D. Rebarchak</w:t>
            </w:r>
          </w:p>
          <w:p w:rsidR="00016AE9" w:rsidRPr="00016AE9" w:rsidRDefault="00016AE9" w:rsidP="00016AE9">
            <w:pPr>
              <w:rPr>
                <w:szCs w:val="24"/>
              </w:rPr>
            </w:pPr>
            <w:r w:rsidRPr="00016AE9">
              <w:rPr>
                <w:szCs w:val="24"/>
              </w:rPr>
              <w:t>Regional Manager</w:t>
            </w:r>
          </w:p>
          <w:p w:rsidR="00BA177A" w:rsidRPr="00BA177A" w:rsidRDefault="00016AE9" w:rsidP="00016AE9">
            <w:pPr>
              <w:rPr>
                <w:szCs w:val="24"/>
              </w:rPr>
            </w:pPr>
            <w:r w:rsidRPr="00016AE9">
              <w:rPr>
                <w:szCs w:val="24"/>
              </w:rPr>
              <w:t>Air Quality</w:t>
            </w:r>
          </w:p>
        </w:tc>
      </w:tr>
    </w:tbl>
    <w:p w:rsidR="00BA177A" w:rsidRDefault="00BA177A" w:rsidP="00BA177A">
      <w:pPr>
        <w:rPr>
          <w:szCs w:val="24"/>
        </w:rPr>
      </w:pPr>
    </w:p>
    <w:p w:rsidR="00422FAF" w:rsidRPr="00BA177A" w:rsidRDefault="00422FAF" w:rsidP="00BA177A">
      <w:pPr>
        <w:rPr>
          <w:szCs w:val="24"/>
        </w:rPr>
      </w:pPr>
    </w:p>
    <w:tbl>
      <w:tblPr>
        <w:tblStyle w:val="TableGrid"/>
        <w:tblW w:w="8913"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20"/>
        <w:gridCol w:w="7293"/>
      </w:tblGrid>
      <w:tr w:rsidR="00BA177A" w:rsidRPr="00BA177A" w:rsidTr="0011725D">
        <w:tc>
          <w:tcPr>
            <w:tcW w:w="1620" w:type="dxa"/>
          </w:tcPr>
          <w:p w:rsidR="00BA177A" w:rsidRPr="00BA177A" w:rsidRDefault="00BA177A" w:rsidP="009B2CA3">
            <w:pPr>
              <w:rPr>
                <w:b/>
                <w:szCs w:val="24"/>
              </w:rPr>
            </w:pPr>
            <w:r w:rsidRPr="00BA177A">
              <w:rPr>
                <w:b/>
                <w:szCs w:val="24"/>
              </w:rPr>
              <w:t>FROM</w:t>
            </w:r>
          </w:p>
        </w:tc>
        <w:tc>
          <w:tcPr>
            <w:tcW w:w="7293" w:type="dxa"/>
          </w:tcPr>
          <w:p w:rsidR="00016AE9" w:rsidRPr="00016AE9" w:rsidRDefault="00016AE9" w:rsidP="00016AE9">
            <w:pPr>
              <w:rPr>
                <w:szCs w:val="24"/>
              </w:rPr>
            </w:pPr>
            <w:r w:rsidRPr="00016AE9">
              <w:rPr>
                <w:szCs w:val="24"/>
              </w:rPr>
              <w:t>Joseph A. Schlosser, E.I.T.</w:t>
            </w:r>
          </w:p>
          <w:p w:rsidR="00016AE9" w:rsidRPr="00016AE9" w:rsidRDefault="00016AE9" w:rsidP="00016AE9">
            <w:pPr>
              <w:rPr>
                <w:szCs w:val="24"/>
              </w:rPr>
            </w:pPr>
            <w:r w:rsidRPr="00016AE9">
              <w:rPr>
                <w:szCs w:val="24"/>
              </w:rPr>
              <w:t>Engineering Specialist</w:t>
            </w:r>
          </w:p>
          <w:p w:rsidR="00BA177A" w:rsidRPr="00BA177A" w:rsidRDefault="00016AE9" w:rsidP="00016AE9">
            <w:pPr>
              <w:rPr>
                <w:szCs w:val="24"/>
              </w:rPr>
            </w:pPr>
            <w:r w:rsidRPr="00016AE9">
              <w:rPr>
                <w:szCs w:val="24"/>
              </w:rPr>
              <w:t>Air Quality</w:t>
            </w:r>
          </w:p>
        </w:tc>
      </w:tr>
    </w:tbl>
    <w:p w:rsidR="00BA177A" w:rsidRDefault="00BA177A" w:rsidP="00BA177A">
      <w:pPr>
        <w:rPr>
          <w:szCs w:val="24"/>
        </w:rPr>
      </w:pPr>
    </w:p>
    <w:p w:rsidR="00016AE9" w:rsidRDefault="00016AE9" w:rsidP="00BA177A">
      <w:pPr>
        <w:rPr>
          <w:szCs w:val="24"/>
        </w:rPr>
      </w:pPr>
      <w:bookmarkStart w:id="0" w:name="_GoBack"/>
      <w:bookmarkEnd w:id="0"/>
    </w:p>
    <w:tbl>
      <w:tblPr>
        <w:tblW w:w="0" w:type="auto"/>
        <w:tblInd w:w="288" w:type="dxa"/>
        <w:tblLayout w:type="fixed"/>
        <w:tblLook w:val="0000" w:firstRow="0" w:lastRow="0" w:firstColumn="0" w:lastColumn="0" w:noHBand="0" w:noVBand="0"/>
      </w:tblPr>
      <w:tblGrid>
        <w:gridCol w:w="1620"/>
        <w:gridCol w:w="6300"/>
      </w:tblGrid>
      <w:tr w:rsidR="00016AE9" w:rsidRPr="00016AE9" w:rsidTr="0011725D">
        <w:tc>
          <w:tcPr>
            <w:tcW w:w="1620" w:type="dxa"/>
          </w:tcPr>
          <w:p w:rsidR="00016AE9" w:rsidRPr="00016AE9" w:rsidRDefault="00016AE9" w:rsidP="00016AE9">
            <w:pPr>
              <w:rPr>
                <w:szCs w:val="24"/>
              </w:rPr>
            </w:pPr>
            <w:r w:rsidRPr="00016AE9">
              <w:rPr>
                <w:b/>
                <w:szCs w:val="24"/>
              </w:rPr>
              <w:t>THROUGH</w:t>
            </w:r>
          </w:p>
        </w:tc>
        <w:tc>
          <w:tcPr>
            <w:tcW w:w="6300" w:type="dxa"/>
          </w:tcPr>
          <w:p w:rsidR="00016AE9" w:rsidRPr="00016AE9" w:rsidRDefault="00016AE9" w:rsidP="00016AE9">
            <w:pPr>
              <w:rPr>
                <w:szCs w:val="24"/>
              </w:rPr>
            </w:pPr>
            <w:r w:rsidRPr="00016AE9">
              <w:rPr>
                <w:szCs w:val="24"/>
              </w:rPr>
              <w:t>James Beach, P.E.</w:t>
            </w:r>
          </w:p>
          <w:p w:rsidR="00016AE9" w:rsidRPr="00016AE9" w:rsidRDefault="00016AE9" w:rsidP="00016AE9">
            <w:pPr>
              <w:rPr>
                <w:szCs w:val="24"/>
              </w:rPr>
            </w:pPr>
            <w:r w:rsidRPr="00016AE9">
              <w:rPr>
                <w:szCs w:val="24"/>
              </w:rPr>
              <w:t>Environmental Engineer Manager</w:t>
            </w:r>
          </w:p>
          <w:p w:rsidR="00016AE9" w:rsidRPr="00016AE9" w:rsidRDefault="00016AE9" w:rsidP="00016AE9">
            <w:pPr>
              <w:rPr>
                <w:szCs w:val="24"/>
              </w:rPr>
            </w:pPr>
            <w:r w:rsidRPr="00016AE9">
              <w:rPr>
                <w:szCs w:val="24"/>
              </w:rPr>
              <w:t>New Source Review Section</w:t>
            </w:r>
          </w:p>
          <w:p w:rsidR="00016AE9" w:rsidRDefault="00016AE9" w:rsidP="00016AE9">
            <w:pPr>
              <w:rPr>
                <w:szCs w:val="24"/>
              </w:rPr>
            </w:pPr>
            <w:r w:rsidRPr="00016AE9">
              <w:rPr>
                <w:szCs w:val="24"/>
              </w:rPr>
              <w:t>Air Quality</w:t>
            </w:r>
          </w:p>
          <w:p w:rsidR="00B86292" w:rsidRPr="00016AE9" w:rsidRDefault="00B86292" w:rsidP="00B86292">
            <w:pPr>
              <w:rPr>
                <w:szCs w:val="24"/>
              </w:rPr>
            </w:pPr>
          </w:p>
        </w:tc>
      </w:tr>
    </w:tbl>
    <w:p w:rsidR="00422FAF" w:rsidRDefault="00422FAF" w:rsidP="00BA177A">
      <w:pPr>
        <w:rPr>
          <w:szCs w:val="24"/>
        </w:rPr>
      </w:pPr>
    </w:p>
    <w:tbl>
      <w:tblPr>
        <w:tblStyle w:val="TableGrid"/>
        <w:tblW w:w="8943"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20"/>
        <w:gridCol w:w="7323"/>
      </w:tblGrid>
      <w:tr w:rsidR="00BA177A" w:rsidRPr="00DE5109" w:rsidTr="0011725D">
        <w:tc>
          <w:tcPr>
            <w:tcW w:w="1620" w:type="dxa"/>
          </w:tcPr>
          <w:p w:rsidR="00BA177A" w:rsidRPr="00DE5109" w:rsidRDefault="00BA177A" w:rsidP="009B2CA3">
            <w:pPr>
              <w:rPr>
                <w:b/>
                <w:szCs w:val="24"/>
                <w:highlight w:val="yellow"/>
              </w:rPr>
            </w:pPr>
            <w:r w:rsidRPr="00E629DC">
              <w:rPr>
                <w:b/>
                <w:szCs w:val="24"/>
              </w:rPr>
              <w:t>RE</w:t>
            </w:r>
          </w:p>
        </w:tc>
        <w:tc>
          <w:tcPr>
            <w:tcW w:w="7323" w:type="dxa"/>
          </w:tcPr>
          <w:p w:rsidR="002039DF" w:rsidRPr="00E629DC" w:rsidRDefault="00E629DC" w:rsidP="00016AE9">
            <w:pPr>
              <w:rPr>
                <w:szCs w:val="24"/>
              </w:rPr>
            </w:pPr>
            <w:r w:rsidRPr="00E629DC">
              <w:rPr>
                <w:szCs w:val="24"/>
              </w:rPr>
              <w:t>RACT Phase II for TVOP No. 15-00010</w:t>
            </w:r>
          </w:p>
          <w:p w:rsidR="00132632" w:rsidRPr="00E629DC" w:rsidRDefault="00E629DC" w:rsidP="00016AE9">
            <w:pPr>
              <w:rPr>
                <w:szCs w:val="24"/>
              </w:rPr>
            </w:pPr>
            <w:r w:rsidRPr="00E629DC">
              <w:rPr>
                <w:szCs w:val="24"/>
              </w:rPr>
              <w:t>ArcelorMittal Plate, LLC</w:t>
            </w:r>
          </w:p>
          <w:p w:rsidR="00016AE9" w:rsidRPr="00E629DC" w:rsidRDefault="00016AE9" w:rsidP="00016AE9">
            <w:pPr>
              <w:rPr>
                <w:szCs w:val="24"/>
              </w:rPr>
            </w:pPr>
            <w:r w:rsidRPr="00E629DC">
              <w:rPr>
                <w:szCs w:val="24"/>
              </w:rPr>
              <w:t xml:space="preserve">APS No. </w:t>
            </w:r>
            <w:r w:rsidR="00E629DC" w:rsidRPr="00E629DC">
              <w:rPr>
                <w:szCs w:val="24"/>
              </w:rPr>
              <w:t>560025</w:t>
            </w:r>
            <w:r w:rsidRPr="00E629DC">
              <w:rPr>
                <w:szCs w:val="24"/>
              </w:rPr>
              <w:t xml:space="preserve">, AUTH No. </w:t>
            </w:r>
            <w:r w:rsidR="00E629DC" w:rsidRPr="00E629DC">
              <w:rPr>
                <w:szCs w:val="24"/>
              </w:rPr>
              <w:t>1154841</w:t>
            </w:r>
          </w:p>
          <w:p w:rsidR="00016AE9" w:rsidRPr="00F550A8" w:rsidRDefault="00E629DC" w:rsidP="00016AE9">
            <w:pPr>
              <w:rPr>
                <w:szCs w:val="24"/>
              </w:rPr>
            </w:pPr>
            <w:r w:rsidRPr="00F550A8">
              <w:rPr>
                <w:szCs w:val="24"/>
              </w:rPr>
              <w:t>City of Coatesville</w:t>
            </w:r>
          </w:p>
          <w:p w:rsidR="00BA177A" w:rsidRPr="00DE5109" w:rsidRDefault="00E629DC" w:rsidP="00016AE9">
            <w:pPr>
              <w:rPr>
                <w:szCs w:val="24"/>
                <w:highlight w:val="yellow"/>
              </w:rPr>
            </w:pPr>
            <w:r w:rsidRPr="00F550A8">
              <w:rPr>
                <w:szCs w:val="24"/>
              </w:rPr>
              <w:t>Chester</w:t>
            </w:r>
            <w:r w:rsidR="00C64B97" w:rsidRPr="00F550A8">
              <w:rPr>
                <w:szCs w:val="24"/>
              </w:rPr>
              <w:t xml:space="preserve"> </w:t>
            </w:r>
            <w:r w:rsidR="00016AE9" w:rsidRPr="00F550A8">
              <w:rPr>
                <w:szCs w:val="24"/>
              </w:rPr>
              <w:t>County</w:t>
            </w:r>
          </w:p>
        </w:tc>
      </w:tr>
    </w:tbl>
    <w:p w:rsidR="00BA177A" w:rsidRPr="00DE5109" w:rsidRDefault="00BA177A" w:rsidP="007A329E">
      <w:pPr>
        <w:ind w:right="-3240"/>
        <w:rPr>
          <w:szCs w:val="24"/>
          <w:highlight w:val="yellow"/>
        </w:rPr>
      </w:pPr>
    </w:p>
    <w:p w:rsidR="00DE5109" w:rsidRDefault="00DE5109" w:rsidP="00171B7C">
      <w:pPr>
        <w:rPr>
          <w:szCs w:val="24"/>
          <w:highlight w:val="yellow"/>
        </w:rPr>
      </w:pPr>
    </w:p>
    <w:p w:rsidR="0011725D" w:rsidRDefault="0011725D" w:rsidP="00171B7C">
      <w:pPr>
        <w:rPr>
          <w:szCs w:val="24"/>
          <w:highlight w:val="yellow"/>
        </w:rPr>
      </w:pPr>
    </w:p>
    <w:p w:rsidR="00FB098D" w:rsidRDefault="00FB098D" w:rsidP="0062659F">
      <w:pPr>
        <w:rPr>
          <w:b/>
          <w:bCs/>
          <w:szCs w:val="24"/>
          <w:u w:val="single"/>
        </w:rPr>
      </w:pPr>
    </w:p>
    <w:p w:rsidR="00FB098D" w:rsidRDefault="00FB098D" w:rsidP="0062659F">
      <w:pPr>
        <w:rPr>
          <w:b/>
          <w:bCs/>
          <w:szCs w:val="24"/>
          <w:u w:val="single"/>
        </w:rPr>
      </w:pPr>
    </w:p>
    <w:p w:rsidR="0062659F" w:rsidRPr="00BE0C95" w:rsidRDefault="0062659F" w:rsidP="0062659F">
      <w:pPr>
        <w:rPr>
          <w:b/>
          <w:bCs/>
          <w:szCs w:val="24"/>
          <w:u w:val="single"/>
        </w:rPr>
      </w:pPr>
      <w:r w:rsidRPr="00BE0C95">
        <w:rPr>
          <w:b/>
          <w:bCs/>
          <w:szCs w:val="24"/>
          <w:u w:val="single"/>
        </w:rPr>
        <w:t>RACT II Application</w:t>
      </w:r>
    </w:p>
    <w:p w:rsidR="0062659F" w:rsidRPr="00BE0C95" w:rsidRDefault="0062659F" w:rsidP="0062659F">
      <w:pPr>
        <w:rPr>
          <w:szCs w:val="24"/>
        </w:rPr>
      </w:pPr>
    </w:p>
    <w:p w:rsidR="00BE0C95" w:rsidRPr="00BE0C95" w:rsidRDefault="0062659F" w:rsidP="00BE0C95">
      <w:pPr>
        <w:rPr>
          <w:szCs w:val="24"/>
        </w:rPr>
      </w:pPr>
      <w:r w:rsidRPr="00BE0C95">
        <w:rPr>
          <w:szCs w:val="24"/>
        </w:rPr>
        <w:t xml:space="preserve">On </w:t>
      </w:r>
      <w:r w:rsidR="0039261E" w:rsidRPr="00BE0C95">
        <w:rPr>
          <w:szCs w:val="24"/>
        </w:rPr>
        <w:t>October</w:t>
      </w:r>
      <w:r w:rsidRPr="00BE0C95">
        <w:rPr>
          <w:szCs w:val="24"/>
        </w:rPr>
        <w:t xml:space="preserve"> </w:t>
      </w:r>
      <w:r w:rsidR="0039261E" w:rsidRPr="00BE0C95">
        <w:rPr>
          <w:szCs w:val="24"/>
        </w:rPr>
        <w:t>4</w:t>
      </w:r>
      <w:r w:rsidRPr="00BE0C95">
        <w:rPr>
          <w:szCs w:val="24"/>
        </w:rPr>
        <w:t>, 20</w:t>
      </w:r>
      <w:r w:rsidR="0039261E" w:rsidRPr="00BE0C95">
        <w:rPr>
          <w:szCs w:val="24"/>
        </w:rPr>
        <w:t>16</w:t>
      </w:r>
      <w:r w:rsidRPr="00BE0C95">
        <w:rPr>
          <w:szCs w:val="24"/>
        </w:rPr>
        <w:t>, the Department of Environmental Protection (</w:t>
      </w:r>
      <w:r w:rsidR="0039261E" w:rsidRPr="00BE0C95">
        <w:rPr>
          <w:szCs w:val="24"/>
        </w:rPr>
        <w:t>“DEP”</w:t>
      </w:r>
      <w:r w:rsidRPr="00BE0C95">
        <w:rPr>
          <w:szCs w:val="24"/>
        </w:rPr>
        <w:t>) received a Reasonably Available Control Technology (RACT)</w:t>
      </w:r>
      <w:r w:rsidR="0039261E" w:rsidRPr="00BE0C95">
        <w:rPr>
          <w:szCs w:val="24"/>
        </w:rPr>
        <w:t xml:space="preserve"> Phase</w:t>
      </w:r>
      <w:r w:rsidRPr="00BE0C95">
        <w:rPr>
          <w:szCs w:val="24"/>
        </w:rPr>
        <w:t xml:space="preserve"> </w:t>
      </w:r>
      <w:r w:rsidR="0039261E" w:rsidRPr="00BE0C95">
        <w:rPr>
          <w:szCs w:val="24"/>
        </w:rPr>
        <w:t xml:space="preserve">II </w:t>
      </w:r>
      <w:r w:rsidRPr="00BE0C95">
        <w:rPr>
          <w:szCs w:val="24"/>
        </w:rPr>
        <w:t xml:space="preserve">application for </w:t>
      </w:r>
      <w:r w:rsidR="00BE0C95" w:rsidRPr="00BE0C95">
        <w:rPr>
          <w:szCs w:val="24"/>
        </w:rPr>
        <w:t xml:space="preserve">nitrogen oxides (NOx) and </w:t>
      </w:r>
      <w:r w:rsidRPr="00BE0C95">
        <w:rPr>
          <w:szCs w:val="24"/>
        </w:rPr>
        <w:t xml:space="preserve">volatile organic compounds (VOC) from </w:t>
      </w:r>
      <w:r w:rsidR="00BE0C95" w:rsidRPr="00BE0C95">
        <w:rPr>
          <w:szCs w:val="24"/>
        </w:rPr>
        <w:t>ArcelorMittal Plate, LLC</w:t>
      </w:r>
      <w:r w:rsidRPr="00BE0C95">
        <w:rPr>
          <w:szCs w:val="24"/>
        </w:rPr>
        <w:t xml:space="preserve"> (</w:t>
      </w:r>
      <w:r w:rsidR="00BE0C95" w:rsidRPr="00BE0C95">
        <w:rPr>
          <w:szCs w:val="24"/>
        </w:rPr>
        <w:t>“ArcelorMittal”</w:t>
      </w:r>
      <w:r w:rsidRPr="00BE0C95">
        <w:rPr>
          <w:szCs w:val="24"/>
        </w:rPr>
        <w:t xml:space="preserve">) for sources located at their facility at </w:t>
      </w:r>
      <w:r w:rsidR="00BE0C95" w:rsidRPr="00BE0C95">
        <w:rPr>
          <w:szCs w:val="24"/>
        </w:rPr>
        <w:t>139</w:t>
      </w:r>
      <w:r w:rsidRPr="00BE0C95">
        <w:rPr>
          <w:szCs w:val="24"/>
        </w:rPr>
        <w:t xml:space="preserve"> </w:t>
      </w:r>
      <w:r w:rsidR="00BE0C95" w:rsidRPr="00BE0C95">
        <w:rPr>
          <w:szCs w:val="24"/>
        </w:rPr>
        <w:t>Modena Rd</w:t>
      </w:r>
      <w:r w:rsidRPr="00BE0C95">
        <w:rPr>
          <w:szCs w:val="24"/>
        </w:rPr>
        <w:t xml:space="preserve">, </w:t>
      </w:r>
      <w:r w:rsidR="00BE0C95" w:rsidRPr="00BE0C95">
        <w:rPr>
          <w:szCs w:val="24"/>
        </w:rPr>
        <w:t>Coatesville</w:t>
      </w:r>
      <w:r w:rsidRPr="00BE0C95">
        <w:rPr>
          <w:szCs w:val="24"/>
        </w:rPr>
        <w:t xml:space="preserve">, PA in </w:t>
      </w:r>
      <w:r w:rsidR="00BE0C95" w:rsidRPr="00BE0C95">
        <w:rPr>
          <w:szCs w:val="24"/>
        </w:rPr>
        <w:t>the City of Coatesville</w:t>
      </w:r>
      <w:r w:rsidRPr="00BE0C95">
        <w:rPr>
          <w:szCs w:val="24"/>
        </w:rPr>
        <w:t xml:space="preserve">, </w:t>
      </w:r>
      <w:r w:rsidR="00BE0C95" w:rsidRPr="00BE0C95">
        <w:rPr>
          <w:szCs w:val="24"/>
        </w:rPr>
        <w:t xml:space="preserve">in </w:t>
      </w:r>
      <w:r w:rsidRPr="00BE0C95">
        <w:rPr>
          <w:szCs w:val="24"/>
        </w:rPr>
        <w:t>Chester County.</w:t>
      </w:r>
      <w:r w:rsidR="00BE0C95">
        <w:rPr>
          <w:szCs w:val="24"/>
        </w:rPr>
        <w:t xml:space="preserve">  </w:t>
      </w:r>
      <w:r w:rsidR="004D42C9">
        <w:rPr>
          <w:szCs w:val="24"/>
        </w:rPr>
        <w:t xml:space="preserve">On March 31, 2017, the Department received a revised application by email, followed by hardcopy, with revised case-by-case determination.  </w:t>
      </w:r>
      <w:r w:rsidR="00BE0C95">
        <w:rPr>
          <w:szCs w:val="24"/>
        </w:rPr>
        <w:t>Municipal notifications were performed as required</w:t>
      </w:r>
      <w:r w:rsidR="00BE0C95" w:rsidRPr="00BE0C95">
        <w:rPr>
          <w:szCs w:val="24"/>
        </w:rPr>
        <w:t xml:space="preserve">.  The application was accompanied by the appropriate fee of $750.  </w:t>
      </w:r>
    </w:p>
    <w:p w:rsidR="0062659F" w:rsidRPr="00BE0C95" w:rsidRDefault="0062659F" w:rsidP="0062659F">
      <w:pPr>
        <w:rPr>
          <w:szCs w:val="24"/>
        </w:rPr>
      </w:pPr>
    </w:p>
    <w:p w:rsidR="008A7AD8" w:rsidRDefault="008A7AD8" w:rsidP="0062659F">
      <w:pPr>
        <w:rPr>
          <w:szCs w:val="24"/>
        </w:rPr>
      </w:pPr>
    </w:p>
    <w:p w:rsidR="008A7AD8" w:rsidRDefault="008A7AD8" w:rsidP="0062659F">
      <w:pPr>
        <w:rPr>
          <w:szCs w:val="24"/>
        </w:rPr>
      </w:pPr>
    </w:p>
    <w:p w:rsidR="008A7AD8" w:rsidRDefault="008A7AD8" w:rsidP="0062659F">
      <w:pPr>
        <w:rPr>
          <w:szCs w:val="24"/>
        </w:rPr>
      </w:pPr>
    </w:p>
    <w:p w:rsidR="00FB098D" w:rsidRDefault="00FB098D">
      <w:pPr>
        <w:rPr>
          <w:szCs w:val="24"/>
        </w:rPr>
      </w:pPr>
      <w:r>
        <w:rPr>
          <w:szCs w:val="24"/>
        </w:rPr>
        <w:br w:type="page"/>
      </w:r>
    </w:p>
    <w:p w:rsidR="001F744C" w:rsidRDefault="004D42C9" w:rsidP="004D42C9">
      <w:pPr>
        <w:rPr>
          <w:szCs w:val="24"/>
        </w:rPr>
      </w:pPr>
      <w:r w:rsidRPr="004D42C9">
        <w:rPr>
          <w:szCs w:val="24"/>
        </w:rPr>
        <w:t xml:space="preserve">The RACT II regulation applies to any owner or operator of a “major NOx emitting facility” whose potential is greater than 100 tons and a “major VOC emitting facility,” whose potential is greater than 50 tons, that existed on or before July 20, 2012 (25 Pa. Code 129.96(a). </w:t>
      </w:r>
      <w:r w:rsidR="002B3E4D">
        <w:rPr>
          <w:szCs w:val="24"/>
        </w:rPr>
        <w:t xml:space="preserve"> </w:t>
      </w:r>
      <w:r w:rsidRPr="004D42C9">
        <w:rPr>
          <w:szCs w:val="24"/>
        </w:rPr>
        <w:t>Note that for Southeast region, the 25 tons per year thresholds for NOx and VOC do not apply for RACT II purposes.</w:t>
      </w:r>
      <w:r w:rsidR="002B3E4D">
        <w:rPr>
          <w:szCs w:val="24"/>
        </w:rPr>
        <w:t xml:space="preserve"> </w:t>
      </w:r>
      <w:r w:rsidRPr="004D42C9">
        <w:rPr>
          <w:szCs w:val="24"/>
        </w:rPr>
        <w:t xml:space="preserve"> Due to Clean Air Act anti-backsliding provisions, the determinations made under RACT I still apply at the 25 TPY thresholds. </w:t>
      </w:r>
    </w:p>
    <w:p w:rsidR="001F744C" w:rsidRDefault="001F744C" w:rsidP="004D42C9">
      <w:pPr>
        <w:rPr>
          <w:szCs w:val="24"/>
        </w:rPr>
      </w:pPr>
    </w:p>
    <w:p w:rsidR="00937965" w:rsidRDefault="00937965" w:rsidP="004D42C9">
      <w:pPr>
        <w:rPr>
          <w:szCs w:val="24"/>
        </w:rPr>
      </w:pPr>
      <w:r>
        <w:rPr>
          <w:szCs w:val="24"/>
        </w:rPr>
        <w:t xml:space="preserve">NOTE: The following sources </w:t>
      </w:r>
      <w:r w:rsidR="004E0A3F">
        <w:rPr>
          <w:szCs w:val="24"/>
        </w:rPr>
        <w:t xml:space="preserve">referenced under RACT I (Operating Permit No. 15-0010, Condition No. 3) </w:t>
      </w:r>
      <w:r>
        <w:rPr>
          <w:szCs w:val="24"/>
        </w:rPr>
        <w:t>are no longer in service and have been decommissioned:</w:t>
      </w:r>
    </w:p>
    <w:p w:rsidR="00937965" w:rsidRDefault="00937965" w:rsidP="004D42C9">
      <w:pPr>
        <w:rPr>
          <w:szCs w:val="24"/>
        </w:rPr>
      </w:pPr>
    </w:p>
    <w:p w:rsidR="00937965" w:rsidRDefault="004E0A3F" w:rsidP="004E0A3F">
      <w:pPr>
        <w:pStyle w:val="ListParagraph"/>
        <w:numPr>
          <w:ilvl w:val="0"/>
          <w:numId w:val="25"/>
        </w:numPr>
        <w:rPr>
          <w:szCs w:val="24"/>
        </w:rPr>
      </w:pPr>
      <w:r w:rsidRPr="004E0A3F">
        <w:rPr>
          <w:szCs w:val="24"/>
        </w:rPr>
        <w:t>Four (4) 27.3 MMBtu/</w:t>
      </w:r>
      <w:proofErr w:type="spellStart"/>
      <w:r w:rsidRPr="004E0A3F">
        <w:rPr>
          <w:szCs w:val="24"/>
        </w:rPr>
        <w:t>hr</w:t>
      </w:r>
      <w:proofErr w:type="spellEnd"/>
      <w:r w:rsidRPr="004E0A3F">
        <w:rPr>
          <w:szCs w:val="24"/>
        </w:rPr>
        <w:t xml:space="preserve"> heat input Brandy BH-B&amp;W Boilers</w:t>
      </w:r>
      <w:r>
        <w:rPr>
          <w:szCs w:val="24"/>
        </w:rPr>
        <w:t xml:space="preserve"> (TVOP Source ID 033)</w:t>
      </w:r>
    </w:p>
    <w:p w:rsidR="00A63EA4" w:rsidRPr="004E0A3F" w:rsidRDefault="00A63EA4" w:rsidP="00A63EA4">
      <w:pPr>
        <w:pStyle w:val="ListParagraph"/>
        <w:numPr>
          <w:ilvl w:val="0"/>
          <w:numId w:val="25"/>
        </w:numPr>
        <w:rPr>
          <w:szCs w:val="24"/>
        </w:rPr>
      </w:pPr>
      <w:r>
        <w:rPr>
          <w:szCs w:val="24"/>
        </w:rPr>
        <w:t>1.5 MMBtu/</w:t>
      </w:r>
      <w:proofErr w:type="spellStart"/>
      <w:r>
        <w:rPr>
          <w:szCs w:val="24"/>
        </w:rPr>
        <w:t>hr</w:t>
      </w:r>
      <w:proofErr w:type="spellEnd"/>
      <w:r>
        <w:rPr>
          <w:szCs w:val="24"/>
        </w:rPr>
        <w:t xml:space="preserve"> Propane Vaporizer (</w:t>
      </w:r>
      <w:r w:rsidRPr="00396D4B">
        <w:rPr>
          <w:szCs w:val="24"/>
        </w:rPr>
        <w:t xml:space="preserve">TVOP Source ID </w:t>
      </w:r>
      <w:r>
        <w:rPr>
          <w:szCs w:val="24"/>
        </w:rPr>
        <w:t>044)</w:t>
      </w:r>
    </w:p>
    <w:p w:rsidR="004E0A3F" w:rsidRDefault="004E0A3F" w:rsidP="004E0A3F">
      <w:pPr>
        <w:pStyle w:val="ListParagraph"/>
        <w:numPr>
          <w:ilvl w:val="0"/>
          <w:numId w:val="25"/>
        </w:numPr>
        <w:rPr>
          <w:szCs w:val="24"/>
        </w:rPr>
      </w:pPr>
      <w:r>
        <w:rPr>
          <w:szCs w:val="24"/>
        </w:rPr>
        <w:t>Electric Arc Furnace C (TVOP Source ID 103)</w:t>
      </w:r>
    </w:p>
    <w:p w:rsidR="004B3573" w:rsidRDefault="004B3573" w:rsidP="004E0A3F">
      <w:pPr>
        <w:pStyle w:val="ListParagraph"/>
        <w:numPr>
          <w:ilvl w:val="0"/>
          <w:numId w:val="25"/>
        </w:numPr>
        <w:rPr>
          <w:szCs w:val="24"/>
        </w:rPr>
      </w:pPr>
      <w:r>
        <w:rPr>
          <w:szCs w:val="24"/>
        </w:rPr>
        <w:t>Batch Heat Treating Furnace Source No. 7 (TVOP Source ID 136, Furnace #1)</w:t>
      </w:r>
    </w:p>
    <w:p w:rsidR="004E0A3F" w:rsidRDefault="004B3573" w:rsidP="004E0A3F">
      <w:pPr>
        <w:pStyle w:val="ListParagraph"/>
        <w:numPr>
          <w:ilvl w:val="0"/>
          <w:numId w:val="25"/>
        </w:numPr>
        <w:rPr>
          <w:szCs w:val="24"/>
        </w:rPr>
      </w:pPr>
      <w:r>
        <w:rPr>
          <w:szCs w:val="24"/>
        </w:rPr>
        <w:t>Batch Heat Treating Furnace Source No. 15 (TVOP Source ID 136, Furnace #9)</w:t>
      </w:r>
      <w:r w:rsidR="004E0A3F">
        <w:rPr>
          <w:szCs w:val="24"/>
        </w:rPr>
        <w:t xml:space="preserve"> </w:t>
      </w:r>
    </w:p>
    <w:p w:rsidR="003C646E" w:rsidRPr="001C42F1" w:rsidRDefault="003C646E" w:rsidP="004E0A3F">
      <w:pPr>
        <w:pStyle w:val="ListParagraph"/>
        <w:numPr>
          <w:ilvl w:val="0"/>
          <w:numId w:val="25"/>
        </w:numPr>
        <w:rPr>
          <w:szCs w:val="24"/>
        </w:rPr>
      </w:pPr>
      <w:r>
        <w:rPr>
          <w:szCs w:val="24"/>
        </w:rPr>
        <w:t>90 MMBtu/</w:t>
      </w:r>
      <w:proofErr w:type="spellStart"/>
      <w:r>
        <w:rPr>
          <w:szCs w:val="24"/>
        </w:rPr>
        <w:t>hr</w:t>
      </w:r>
      <w:proofErr w:type="spellEnd"/>
      <w:r>
        <w:rPr>
          <w:szCs w:val="24"/>
        </w:rPr>
        <w:t xml:space="preserve"> heat input </w:t>
      </w:r>
      <w:proofErr w:type="spellStart"/>
      <w:r>
        <w:rPr>
          <w:szCs w:val="24"/>
        </w:rPr>
        <w:t>Drever</w:t>
      </w:r>
      <w:proofErr w:type="spellEnd"/>
      <w:r>
        <w:rPr>
          <w:szCs w:val="24"/>
        </w:rPr>
        <w:t xml:space="preserve"> Furnace (TVOP </w:t>
      </w:r>
      <w:r w:rsidRPr="001C42F1">
        <w:rPr>
          <w:szCs w:val="24"/>
        </w:rPr>
        <w:t>Source ID 145)</w:t>
      </w:r>
    </w:p>
    <w:p w:rsidR="003C646E" w:rsidRPr="001C42F1" w:rsidRDefault="00CB74E8" w:rsidP="004E0A3F">
      <w:pPr>
        <w:pStyle w:val="ListParagraph"/>
        <w:numPr>
          <w:ilvl w:val="0"/>
          <w:numId w:val="25"/>
        </w:numPr>
        <w:rPr>
          <w:szCs w:val="24"/>
        </w:rPr>
      </w:pPr>
      <w:r w:rsidRPr="001C42F1">
        <w:rPr>
          <w:szCs w:val="24"/>
        </w:rPr>
        <w:t>Eight (8) 15 MMBtu/</w:t>
      </w:r>
      <w:proofErr w:type="spellStart"/>
      <w:r w:rsidRPr="001C42F1">
        <w:rPr>
          <w:szCs w:val="24"/>
        </w:rPr>
        <w:t>hr</w:t>
      </w:r>
      <w:proofErr w:type="spellEnd"/>
      <w:r w:rsidRPr="001C42F1">
        <w:rPr>
          <w:szCs w:val="24"/>
        </w:rPr>
        <w:t xml:space="preserve"> Soaking Pits (</w:t>
      </w:r>
      <w:bookmarkStart w:id="1" w:name="_Hlk5970792"/>
      <w:r w:rsidRPr="001C42F1">
        <w:rPr>
          <w:szCs w:val="24"/>
        </w:rPr>
        <w:t>TVOP Source ID 151</w:t>
      </w:r>
      <w:bookmarkEnd w:id="1"/>
      <w:r w:rsidRPr="001C42F1">
        <w:rPr>
          <w:szCs w:val="24"/>
        </w:rPr>
        <w:t>)</w:t>
      </w:r>
    </w:p>
    <w:p w:rsidR="00CB74E8" w:rsidRPr="001C42F1" w:rsidRDefault="00E01107" w:rsidP="004E0A3F">
      <w:pPr>
        <w:pStyle w:val="ListParagraph"/>
        <w:numPr>
          <w:ilvl w:val="0"/>
          <w:numId w:val="25"/>
        </w:numPr>
        <w:rPr>
          <w:szCs w:val="24"/>
        </w:rPr>
      </w:pPr>
      <w:r w:rsidRPr="001C42F1">
        <w:rPr>
          <w:szCs w:val="24"/>
        </w:rPr>
        <w:t>Zip Line Operation</w:t>
      </w:r>
    </w:p>
    <w:p w:rsidR="004E0A3F" w:rsidRDefault="004E0A3F" w:rsidP="004D42C9">
      <w:pPr>
        <w:rPr>
          <w:szCs w:val="24"/>
        </w:rPr>
      </w:pPr>
    </w:p>
    <w:p w:rsidR="001F744C" w:rsidRDefault="001F744C" w:rsidP="004D42C9">
      <w:pPr>
        <w:rPr>
          <w:szCs w:val="24"/>
        </w:rPr>
      </w:pPr>
    </w:p>
    <w:p w:rsidR="001F744C" w:rsidRPr="00E629DC" w:rsidRDefault="001F744C" w:rsidP="001F744C">
      <w:pPr>
        <w:spacing w:after="120"/>
        <w:rPr>
          <w:b/>
          <w:u w:val="single"/>
        </w:rPr>
      </w:pPr>
      <w:r w:rsidRPr="00E629DC">
        <w:rPr>
          <w:b/>
          <w:u w:val="single"/>
        </w:rPr>
        <w:t>Case-by-case RACT for NOx and/or VOC</w:t>
      </w:r>
    </w:p>
    <w:p w:rsidR="001F744C" w:rsidRDefault="001F744C" w:rsidP="001F744C">
      <w:pPr>
        <w:rPr>
          <w:szCs w:val="24"/>
        </w:rPr>
      </w:pPr>
      <w:r>
        <w:t xml:space="preserve">Tables 1a, 1b, and 1c </w:t>
      </w:r>
      <w:r w:rsidR="00307717">
        <w:t xml:space="preserve">on the following pages </w:t>
      </w:r>
      <w:r>
        <w:t>show</w:t>
      </w:r>
      <w:r w:rsidRPr="000A12F9">
        <w:t xml:space="preserve"> sources </w:t>
      </w:r>
      <w:r>
        <w:t xml:space="preserve">that </w:t>
      </w:r>
      <w:r w:rsidRPr="000A12F9">
        <w:t>are subject to case-by-case RACT for NOx</w:t>
      </w:r>
      <w:r>
        <w:t xml:space="preserve"> and/or VOC, as per </w:t>
      </w:r>
      <w:bookmarkStart w:id="2" w:name="_Hlk516491751"/>
      <w:r>
        <w:t>25 Pa. Code § 129.99</w:t>
      </w:r>
      <w:bookmarkEnd w:id="2"/>
      <w:r>
        <w:t xml:space="preserve">.  These sources either do not fall into any of the categories of sources that have presumptive RACT requirements or they cannot meet presumptive RACT.  Per </w:t>
      </w:r>
      <w:r w:rsidRPr="00F6488C">
        <w:t>25 Pa. Code § 129.99</w:t>
      </w:r>
      <w:r>
        <w:t xml:space="preserve">, the permittee is required to </w:t>
      </w:r>
      <w:r w:rsidRPr="00B90008">
        <w:t>propose a NOx</w:t>
      </w:r>
      <w:r>
        <w:t xml:space="preserve"> or VOC </w:t>
      </w:r>
      <w:r w:rsidRPr="00B90008">
        <w:t>RACT requirement or RACT emission limitation</w:t>
      </w:r>
      <w:r>
        <w:t xml:space="preserve"> for each subject source</w:t>
      </w:r>
      <w:r w:rsidR="00307717">
        <w:t>.</w:t>
      </w:r>
    </w:p>
    <w:p w:rsidR="00E52649" w:rsidRDefault="00E52649" w:rsidP="004D42C9">
      <w:pPr>
        <w:rPr>
          <w:szCs w:val="24"/>
        </w:rPr>
      </w:pPr>
      <w:r>
        <w:rPr>
          <w:szCs w:val="24"/>
        </w:rPr>
        <w:br w:type="page"/>
      </w:r>
    </w:p>
    <w:p w:rsidR="00E52649" w:rsidRDefault="00E52649" w:rsidP="004D42C9">
      <w:pPr>
        <w:rPr>
          <w:szCs w:val="24"/>
        </w:rPr>
        <w:sectPr w:rsidR="00E52649" w:rsidSect="00200CDC">
          <w:headerReference w:type="even" r:id="rId8"/>
          <w:headerReference w:type="default" r:id="rId9"/>
          <w:footerReference w:type="even" r:id="rId10"/>
          <w:footerReference w:type="default" r:id="rId11"/>
          <w:headerReference w:type="first" r:id="rId12"/>
          <w:footerReference w:type="first" r:id="rId13"/>
          <w:pgSz w:w="12240" w:h="15840" w:code="1"/>
          <w:pgMar w:top="1440" w:right="1584" w:bottom="1440" w:left="1584" w:header="720" w:footer="475" w:gutter="0"/>
          <w:pgNumType w:start="1"/>
          <w:cols w:space="720"/>
          <w:titlePg/>
          <w:docGrid w:linePitch="326"/>
        </w:sectPr>
      </w:pPr>
    </w:p>
    <w:p w:rsidR="00CA5AD3" w:rsidRPr="001C2F6C" w:rsidRDefault="00747CD8" w:rsidP="00241C05">
      <w:pPr>
        <w:spacing w:after="120"/>
      </w:pPr>
      <w:bookmarkStart w:id="3" w:name="_Hlk4750118"/>
      <w:r w:rsidRPr="00D13E8D">
        <w:lastRenderedPageBreak/>
        <w:t xml:space="preserve">All the sources </w:t>
      </w:r>
      <w:r w:rsidR="001C2F6C" w:rsidRPr="00D13E8D">
        <w:t xml:space="preserve">in Table 1a </w:t>
      </w:r>
      <w:r w:rsidR="006E7338" w:rsidRPr="00D13E8D">
        <w:t xml:space="preserve">and 1b </w:t>
      </w:r>
      <w:r w:rsidRPr="00D13E8D">
        <w:t>use natural gas only</w:t>
      </w:r>
      <w:r w:rsidR="001C2F6C" w:rsidRPr="00D13E8D">
        <w:t xml:space="preserve"> as fuel</w:t>
      </w:r>
      <w:r w:rsidRPr="00D13E8D">
        <w:t>.</w:t>
      </w:r>
      <w:bookmarkEnd w:id="3"/>
      <w:r w:rsidR="00CA4C88" w:rsidRPr="00D13E8D">
        <w:t xml:space="preserve">  </w:t>
      </w:r>
      <w:r w:rsidR="00132F0D">
        <w:t xml:space="preserve">The </w:t>
      </w:r>
      <w:r w:rsidR="00132F0D" w:rsidRPr="00C062FB">
        <w:t>I</w:t>
      </w:r>
      <w:r w:rsidR="00132F0D">
        <w:t>dentification</w:t>
      </w:r>
      <w:r w:rsidR="00132F0D" w:rsidRPr="00C062FB">
        <w:t xml:space="preserve"> M</w:t>
      </w:r>
      <w:r w:rsidR="00132F0D">
        <w:t>arking</w:t>
      </w:r>
      <w:r w:rsidR="009A6884">
        <w:t xml:space="preserve"> operation (Source ID 250) is simply the use of spray paint throughout the facility and it does not involve any combustion of fuel.</w:t>
      </w:r>
      <w:r w:rsidR="00132F0D">
        <w:t xml:space="preserve">  </w:t>
      </w:r>
      <w:r w:rsidR="00CA4C88" w:rsidRPr="00D13E8D">
        <w:t>The Cont. Cast Spray Chamber (Source ID 270) is not a combustion source and does not burn fuel.</w:t>
      </w:r>
      <w:r w:rsidR="00D1608C" w:rsidRPr="00D13E8D">
        <w:t xml:space="preserve">  None of the sources in Table 1a</w:t>
      </w:r>
      <w:r w:rsidR="00AB2E16" w:rsidRPr="00D13E8D">
        <w:t>, 1b,</w:t>
      </w:r>
      <w:r w:rsidR="00D1608C" w:rsidRPr="00D13E8D">
        <w:t xml:space="preserve"> or 1</w:t>
      </w:r>
      <w:r w:rsidR="00AB2E16" w:rsidRPr="00D13E8D">
        <w:t>c</w:t>
      </w:r>
      <w:r w:rsidR="00D1608C" w:rsidRPr="00D13E8D">
        <w:t xml:space="preserve"> have any restrictions on hours of operation.</w:t>
      </w:r>
      <w:r w:rsidR="006C4029" w:rsidRPr="00D13E8D">
        <w:t xml:space="preserve">  </w:t>
      </w:r>
      <w:r w:rsidR="00D13E8D" w:rsidRPr="00D13E8D">
        <w:t xml:space="preserve">However, the EMS Boiler (Source ID 055) does have a fuel restriction that reflects less than 24/7 </w:t>
      </w:r>
      <w:r w:rsidR="004557A4">
        <w:t xml:space="preserve">hours of </w:t>
      </w:r>
      <w:r w:rsidR="00D13E8D" w:rsidRPr="00D13E8D">
        <w:t xml:space="preserve">operation.  </w:t>
      </w:r>
      <w:r w:rsidR="006C4029" w:rsidRPr="00D13E8D">
        <w:t xml:space="preserve">Unless stated otherwise, the PTE </w:t>
      </w:r>
      <w:r w:rsidR="00FB5702" w:rsidRPr="00D13E8D">
        <w:t>is based on the rated capacity, the emission factor, and 8,760 hours of operation per year.</w:t>
      </w:r>
    </w:p>
    <w:p w:rsidR="00CA5AD3" w:rsidRPr="00235AF6" w:rsidRDefault="000324F2" w:rsidP="000324F2">
      <w:pPr>
        <w:jc w:val="center"/>
        <w:rPr>
          <w:b/>
        </w:rPr>
      </w:pPr>
      <w:bookmarkStart w:id="4" w:name="_Hlk5264327"/>
      <w:r w:rsidRPr="00235AF6">
        <w:rPr>
          <w:b/>
        </w:rPr>
        <w:t>Table 1a</w:t>
      </w:r>
    </w:p>
    <w:tbl>
      <w:tblPr>
        <w:tblStyle w:val="TableGrid"/>
        <w:tblW w:w="13455" w:type="dxa"/>
        <w:tblInd w:w="198" w:type="dxa"/>
        <w:tblLook w:val="04A0" w:firstRow="1" w:lastRow="0" w:firstColumn="1" w:lastColumn="0" w:noHBand="0" w:noVBand="1"/>
      </w:tblPr>
      <w:tblGrid>
        <w:gridCol w:w="899"/>
        <w:gridCol w:w="2971"/>
        <w:gridCol w:w="1890"/>
        <w:gridCol w:w="1732"/>
        <w:gridCol w:w="2588"/>
        <w:gridCol w:w="1440"/>
        <w:gridCol w:w="1935"/>
      </w:tblGrid>
      <w:tr w:rsidR="00642B54" w:rsidRPr="00245BEA" w:rsidTr="00867628">
        <w:tc>
          <w:tcPr>
            <w:tcW w:w="899" w:type="dxa"/>
            <w:shd w:val="clear" w:color="auto" w:fill="D9D9D9" w:themeFill="background1" w:themeFillShade="D9"/>
          </w:tcPr>
          <w:p w:rsidR="00642B54" w:rsidRPr="006907E4" w:rsidRDefault="00642B54" w:rsidP="001778F1">
            <w:pPr>
              <w:jc w:val="center"/>
            </w:pPr>
            <w:bookmarkStart w:id="5" w:name="_Hlk5366846"/>
            <w:r w:rsidRPr="006907E4">
              <w:t>Source ID</w:t>
            </w:r>
          </w:p>
        </w:tc>
        <w:tc>
          <w:tcPr>
            <w:tcW w:w="2971" w:type="dxa"/>
            <w:shd w:val="clear" w:color="auto" w:fill="D9D9D9" w:themeFill="background1" w:themeFillShade="D9"/>
            <w:vAlign w:val="center"/>
          </w:tcPr>
          <w:p w:rsidR="00642B54" w:rsidRPr="006907E4" w:rsidRDefault="00642B54" w:rsidP="001778F1">
            <w:pPr>
              <w:jc w:val="center"/>
            </w:pPr>
            <w:r w:rsidRPr="006907E4">
              <w:t>Source Name</w:t>
            </w:r>
          </w:p>
        </w:tc>
        <w:tc>
          <w:tcPr>
            <w:tcW w:w="1890" w:type="dxa"/>
            <w:shd w:val="clear" w:color="auto" w:fill="D9D9D9" w:themeFill="background1" w:themeFillShade="D9"/>
            <w:vAlign w:val="center"/>
          </w:tcPr>
          <w:p w:rsidR="00642B54" w:rsidRPr="006907E4" w:rsidRDefault="00642B54" w:rsidP="001778F1">
            <w:pPr>
              <w:jc w:val="center"/>
            </w:pPr>
            <w:r w:rsidRPr="006907E4">
              <w:t>Rated Capacity</w:t>
            </w:r>
            <w:r>
              <w:br/>
              <w:t>(MMBtu/</w:t>
            </w:r>
            <w:proofErr w:type="spellStart"/>
            <w:r>
              <w:t>hr</w:t>
            </w:r>
            <w:proofErr w:type="spellEnd"/>
            <w:r>
              <w:t>)</w:t>
            </w:r>
          </w:p>
        </w:tc>
        <w:tc>
          <w:tcPr>
            <w:tcW w:w="1732" w:type="dxa"/>
            <w:shd w:val="clear" w:color="auto" w:fill="D9D9D9" w:themeFill="background1" w:themeFillShade="D9"/>
          </w:tcPr>
          <w:p w:rsidR="00642B54" w:rsidRPr="00751D71" w:rsidRDefault="00642B54" w:rsidP="00E60915">
            <w:pPr>
              <w:jc w:val="center"/>
              <w:rPr>
                <w:sz w:val="22"/>
                <w:szCs w:val="22"/>
              </w:rPr>
            </w:pPr>
            <w:r>
              <w:rPr>
                <w:sz w:val="22"/>
                <w:szCs w:val="22"/>
              </w:rPr>
              <w:t>Emission Factor (EF)</w:t>
            </w:r>
          </w:p>
        </w:tc>
        <w:tc>
          <w:tcPr>
            <w:tcW w:w="2588" w:type="dxa"/>
            <w:shd w:val="clear" w:color="auto" w:fill="D9D9D9" w:themeFill="background1" w:themeFillShade="D9"/>
            <w:vAlign w:val="center"/>
          </w:tcPr>
          <w:p w:rsidR="00642B54" w:rsidRPr="00751D71" w:rsidRDefault="00642B54" w:rsidP="00E60915">
            <w:pPr>
              <w:jc w:val="center"/>
              <w:rPr>
                <w:sz w:val="22"/>
                <w:szCs w:val="22"/>
              </w:rPr>
            </w:pPr>
            <w:r>
              <w:rPr>
                <w:sz w:val="22"/>
                <w:szCs w:val="22"/>
              </w:rPr>
              <w:t>EF Source</w:t>
            </w:r>
          </w:p>
        </w:tc>
        <w:tc>
          <w:tcPr>
            <w:tcW w:w="1440" w:type="dxa"/>
            <w:shd w:val="clear" w:color="auto" w:fill="D9D9D9" w:themeFill="background1" w:themeFillShade="D9"/>
            <w:vAlign w:val="center"/>
          </w:tcPr>
          <w:p w:rsidR="00642B54" w:rsidRDefault="00642B54" w:rsidP="00E60915">
            <w:pPr>
              <w:jc w:val="center"/>
              <w:rPr>
                <w:sz w:val="22"/>
                <w:szCs w:val="22"/>
              </w:rPr>
            </w:pPr>
            <w:r w:rsidRPr="00751D71">
              <w:rPr>
                <w:sz w:val="22"/>
                <w:szCs w:val="22"/>
              </w:rPr>
              <w:t>PTE of NOx</w:t>
            </w:r>
          </w:p>
          <w:p w:rsidR="00642B54" w:rsidRPr="00D31755" w:rsidRDefault="00642B54" w:rsidP="00E60915">
            <w:pPr>
              <w:jc w:val="center"/>
              <w:rPr>
                <w:sz w:val="22"/>
                <w:szCs w:val="22"/>
                <w:vertAlign w:val="superscript"/>
              </w:rPr>
            </w:pPr>
            <w:r w:rsidRPr="00751D71">
              <w:rPr>
                <w:sz w:val="22"/>
                <w:szCs w:val="22"/>
              </w:rPr>
              <w:t>(TPY)</w:t>
            </w:r>
            <w:r>
              <w:rPr>
                <w:sz w:val="22"/>
                <w:szCs w:val="22"/>
                <w:vertAlign w:val="superscript"/>
              </w:rPr>
              <w:t>1</w:t>
            </w:r>
          </w:p>
        </w:tc>
        <w:tc>
          <w:tcPr>
            <w:tcW w:w="1935" w:type="dxa"/>
            <w:shd w:val="clear" w:color="auto" w:fill="D9D9D9" w:themeFill="background1" w:themeFillShade="D9"/>
            <w:vAlign w:val="center"/>
          </w:tcPr>
          <w:p w:rsidR="00642B54" w:rsidRPr="00241F2E" w:rsidRDefault="00642B54" w:rsidP="00D82C50">
            <w:pPr>
              <w:jc w:val="center"/>
              <w:rPr>
                <w:sz w:val="22"/>
                <w:szCs w:val="22"/>
                <w:vertAlign w:val="superscript"/>
              </w:rPr>
            </w:pPr>
            <w:r w:rsidRPr="00751D71">
              <w:rPr>
                <w:sz w:val="22"/>
                <w:szCs w:val="22"/>
              </w:rPr>
              <w:t>RACT (NOx)</w:t>
            </w:r>
            <w:r>
              <w:rPr>
                <w:sz w:val="22"/>
                <w:szCs w:val="22"/>
                <w:vertAlign w:val="superscript"/>
              </w:rPr>
              <w:t>2</w:t>
            </w:r>
          </w:p>
        </w:tc>
      </w:tr>
      <w:bookmarkEnd w:id="5"/>
      <w:tr w:rsidR="00642B54" w:rsidRPr="00245BEA" w:rsidTr="00973820">
        <w:tc>
          <w:tcPr>
            <w:tcW w:w="899" w:type="dxa"/>
          </w:tcPr>
          <w:p w:rsidR="00642B54" w:rsidRPr="006907E4" w:rsidRDefault="00253873" w:rsidP="001778F1">
            <w:pPr>
              <w:jc w:val="center"/>
            </w:pPr>
            <w:r>
              <w:t>0</w:t>
            </w:r>
            <w:r w:rsidR="00642B54">
              <w:t>55</w:t>
            </w:r>
          </w:p>
        </w:tc>
        <w:tc>
          <w:tcPr>
            <w:tcW w:w="2971" w:type="dxa"/>
          </w:tcPr>
          <w:p w:rsidR="00642B54" w:rsidRPr="006907E4" w:rsidRDefault="00642B54" w:rsidP="001778F1">
            <w:pPr>
              <w:jc w:val="center"/>
            </w:pPr>
            <w:r w:rsidRPr="003D3067">
              <w:t>EMS Boiler</w:t>
            </w:r>
          </w:p>
        </w:tc>
        <w:tc>
          <w:tcPr>
            <w:tcW w:w="1890" w:type="dxa"/>
          </w:tcPr>
          <w:p w:rsidR="00642B54" w:rsidRPr="006907E4" w:rsidRDefault="00642B54" w:rsidP="001778F1">
            <w:pPr>
              <w:jc w:val="center"/>
            </w:pPr>
            <w:r w:rsidRPr="003D3067">
              <w:t>62.3</w:t>
            </w:r>
          </w:p>
        </w:tc>
        <w:tc>
          <w:tcPr>
            <w:tcW w:w="1732" w:type="dxa"/>
          </w:tcPr>
          <w:p w:rsidR="00642B54" w:rsidRPr="006D1E98" w:rsidRDefault="00720122" w:rsidP="001778F1">
            <w:pPr>
              <w:jc w:val="center"/>
            </w:pPr>
            <w:r>
              <w:t xml:space="preserve">0.147 </w:t>
            </w:r>
            <w:proofErr w:type="spellStart"/>
            <w:r>
              <w:t>lb</w:t>
            </w:r>
            <w:proofErr w:type="spellEnd"/>
            <w:r>
              <w:t>/MCF</w:t>
            </w:r>
          </w:p>
        </w:tc>
        <w:tc>
          <w:tcPr>
            <w:tcW w:w="2588" w:type="dxa"/>
          </w:tcPr>
          <w:p w:rsidR="00642B54" w:rsidRPr="00023EA7" w:rsidRDefault="00973820" w:rsidP="001778F1">
            <w:pPr>
              <w:jc w:val="center"/>
              <w:rPr>
                <w:vertAlign w:val="superscript"/>
              </w:rPr>
            </w:pPr>
            <w:r>
              <w:t>Manufacturer</w:t>
            </w:r>
          </w:p>
        </w:tc>
        <w:tc>
          <w:tcPr>
            <w:tcW w:w="1440" w:type="dxa"/>
          </w:tcPr>
          <w:p w:rsidR="00642B54" w:rsidRPr="00555E69" w:rsidRDefault="00DB29A7" w:rsidP="001778F1">
            <w:pPr>
              <w:jc w:val="center"/>
              <w:rPr>
                <w:highlight w:val="yellow"/>
                <w:vertAlign w:val="superscript"/>
              </w:rPr>
            </w:pPr>
            <w:r>
              <w:t xml:space="preserve"> </w:t>
            </w:r>
            <w:r w:rsidR="00642B54" w:rsidRPr="006E05C3">
              <w:t>19.62</w:t>
            </w:r>
            <w:r w:rsidR="00622A3D" w:rsidRPr="00622A3D">
              <w:rPr>
                <w:vertAlign w:val="superscript"/>
              </w:rPr>
              <w:t>3</w:t>
            </w:r>
          </w:p>
        </w:tc>
        <w:tc>
          <w:tcPr>
            <w:tcW w:w="1935" w:type="dxa"/>
            <w:shd w:val="clear" w:color="auto" w:fill="auto"/>
          </w:tcPr>
          <w:p w:rsidR="00642B54" w:rsidRPr="008807BC" w:rsidRDefault="00642B54" w:rsidP="001778F1">
            <w:pPr>
              <w:jc w:val="center"/>
              <w:rPr>
                <w:vertAlign w:val="superscript"/>
              </w:rPr>
            </w:pPr>
            <w:r>
              <w:t>129.99(a</w:t>
            </w:r>
            <w:r w:rsidRPr="00E60915">
              <w:t>)</w:t>
            </w:r>
            <w:r w:rsidR="00DB29A7">
              <w:rPr>
                <w:vertAlign w:val="superscript"/>
              </w:rPr>
              <w:t>4</w:t>
            </w:r>
          </w:p>
        </w:tc>
      </w:tr>
      <w:tr w:rsidR="00642B54" w:rsidRPr="00245BEA" w:rsidTr="00973820">
        <w:tc>
          <w:tcPr>
            <w:tcW w:w="899" w:type="dxa"/>
          </w:tcPr>
          <w:p w:rsidR="00642B54" w:rsidRPr="006907E4" w:rsidRDefault="00642B54" w:rsidP="001778F1">
            <w:pPr>
              <w:jc w:val="center"/>
            </w:pPr>
            <w:r w:rsidRPr="006907E4">
              <w:t>104</w:t>
            </w:r>
          </w:p>
        </w:tc>
        <w:tc>
          <w:tcPr>
            <w:tcW w:w="2971" w:type="dxa"/>
          </w:tcPr>
          <w:p w:rsidR="00642B54" w:rsidRPr="006907E4" w:rsidRDefault="00642B54" w:rsidP="001778F1">
            <w:pPr>
              <w:jc w:val="center"/>
            </w:pPr>
            <w:r w:rsidRPr="006907E4">
              <w:t>“D” Electric Furnace</w:t>
            </w:r>
          </w:p>
        </w:tc>
        <w:tc>
          <w:tcPr>
            <w:tcW w:w="1890" w:type="dxa"/>
          </w:tcPr>
          <w:p w:rsidR="00642B54" w:rsidRPr="006907E4" w:rsidRDefault="00642B54" w:rsidP="001778F1">
            <w:pPr>
              <w:jc w:val="center"/>
            </w:pPr>
            <w:r w:rsidRPr="006907E4">
              <w:t>76.5</w:t>
            </w:r>
          </w:p>
        </w:tc>
        <w:tc>
          <w:tcPr>
            <w:tcW w:w="1732" w:type="dxa"/>
          </w:tcPr>
          <w:p w:rsidR="00642B54" w:rsidRPr="006D1E98" w:rsidRDefault="00787BB9" w:rsidP="00E60915">
            <w:pPr>
              <w:jc w:val="center"/>
            </w:pPr>
            <w:r w:rsidRPr="00787BB9">
              <w:t xml:space="preserve">0.440 </w:t>
            </w:r>
            <w:proofErr w:type="spellStart"/>
            <w:r w:rsidRPr="00787BB9">
              <w:t>lb</w:t>
            </w:r>
            <w:proofErr w:type="spellEnd"/>
            <w:r w:rsidRPr="00787BB9">
              <w:t>/ton</w:t>
            </w:r>
          </w:p>
        </w:tc>
        <w:tc>
          <w:tcPr>
            <w:tcW w:w="2588" w:type="dxa"/>
          </w:tcPr>
          <w:p w:rsidR="00642B54" w:rsidRPr="006D1E98" w:rsidRDefault="00973820" w:rsidP="00E60915">
            <w:pPr>
              <w:jc w:val="center"/>
            </w:pPr>
            <w:r>
              <w:t xml:space="preserve">2011 </w:t>
            </w:r>
            <w:r w:rsidR="006E05C3">
              <w:t>Stack Test</w:t>
            </w:r>
          </w:p>
        </w:tc>
        <w:tc>
          <w:tcPr>
            <w:tcW w:w="1440" w:type="dxa"/>
          </w:tcPr>
          <w:p w:rsidR="00642B54" w:rsidRPr="00555E69" w:rsidRDefault="00555E69" w:rsidP="00E60915">
            <w:pPr>
              <w:jc w:val="center"/>
              <w:rPr>
                <w:highlight w:val="yellow"/>
                <w:vertAlign w:val="superscript"/>
              </w:rPr>
            </w:pPr>
            <w:r>
              <w:t xml:space="preserve"> </w:t>
            </w:r>
            <w:r w:rsidR="00642B54" w:rsidRPr="006D1E98">
              <w:t>340.6</w:t>
            </w:r>
            <w:r w:rsidR="00973820">
              <w:rPr>
                <w:vertAlign w:val="superscript"/>
              </w:rPr>
              <w:t>5</w:t>
            </w:r>
          </w:p>
        </w:tc>
        <w:tc>
          <w:tcPr>
            <w:tcW w:w="1935" w:type="dxa"/>
            <w:shd w:val="clear" w:color="auto" w:fill="auto"/>
          </w:tcPr>
          <w:p w:rsidR="00642B54" w:rsidRPr="00E60915" w:rsidRDefault="00642B54" w:rsidP="001778F1">
            <w:pPr>
              <w:jc w:val="center"/>
            </w:pPr>
            <w:r w:rsidRPr="00E60915">
              <w:t>129.99(b)</w:t>
            </w:r>
          </w:p>
        </w:tc>
      </w:tr>
      <w:tr w:rsidR="00642B54" w:rsidTr="00973820">
        <w:tc>
          <w:tcPr>
            <w:tcW w:w="899" w:type="dxa"/>
          </w:tcPr>
          <w:p w:rsidR="00642B54" w:rsidRDefault="00642B54" w:rsidP="00290912">
            <w:pPr>
              <w:jc w:val="center"/>
            </w:pPr>
            <w:r>
              <w:t>136</w:t>
            </w:r>
          </w:p>
        </w:tc>
        <w:tc>
          <w:tcPr>
            <w:tcW w:w="2971" w:type="dxa"/>
          </w:tcPr>
          <w:p w:rsidR="00642B54" w:rsidRDefault="00642B54" w:rsidP="00290912">
            <w:pPr>
              <w:jc w:val="center"/>
            </w:pPr>
            <w:r>
              <w:t>BHT Furnace #2</w:t>
            </w:r>
          </w:p>
        </w:tc>
        <w:tc>
          <w:tcPr>
            <w:tcW w:w="1890" w:type="dxa"/>
          </w:tcPr>
          <w:p w:rsidR="00642B54" w:rsidRDefault="00642B54" w:rsidP="00290912">
            <w:pPr>
              <w:jc w:val="center"/>
            </w:pPr>
            <w:r>
              <w:t>36.8</w:t>
            </w:r>
          </w:p>
        </w:tc>
        <w:tc>
          <w:tcPr>
            <w:tcW w:w="1732" w:type="dxa"/>
          </w:tcPr>
          <w:p w:rsidR="00642B54" w:rsidRDefault="006042FB" w:rsidP="001778F1">
            <w:pPr>
              <w:jc w:val="center"/>
            </w:pPr>
            <w:r>
              <w:t>13</w:t>
            </w:r>
            <w:r w:rsidR="002C4D55">
              <w:t>9</w:t>
            </w:r>
            <w:r>
              <w:t xml:space="preserve"> </w:t>
            </w:r>
            <w:proofErr w:type="spellStart"/>
            <w:r>
              <w:t>lb</w:t>
            </w:r>
            <w:proofErr w:type="spellEnd"/>
            <w:r>
              <w:t>/</w:t>
            </w:r>
            <w:proofErr w:type="spellStart"/>
            <w:r w:rsidR="00103F4B">
              <w:t>M</w:t>
            </w:r>
            <w:r>
              <w:t>Mcf</w:t>
            </w:r>
            <w:proofErr w:type="spellEnd"/>
          </w:p>
        </w:tc>
        <w:tc>
          <w:tcPr>
            <w:tcW w:w="2588" w:type="dxa"/>
          </w:tcPr>
          <w:p w:rsidR="00642B54" w:rsidRPr="002C4D55" w:rsidRDefault="00B74CF5" w:rsidP="001778F1">
            <w:pPr>
              <w:jc w:val="center"/>
              <w:rPr>
                <w:vertAlign w:val="superscript"/>
              </w:rPr>
            </w:pPr>
            <w:r w:rsidRPr="002C4D55">
              <w:t xml:space="preserve"> </w:t>
            </w:r>
            <w:r w:rsidR="00A3636E" w:rsidRPr="002C4D55">
              <w:t>AP-42</w:t>
            </w:r>
            <w:r w:rsidR="002C4D55" w:rsidRPr="002C4D55">
              <w:t xml:space="preserve"> + 35% SF</w:t>
            </w:r>
            <w:r w:rsidR="00973820" w:rsidRPr="002C4D55">
              <w:rPr>
                <w:vertAlign w:val="superscript"/>
              </w:rPr>
              <w:t>6</w:t>
            </w:r>
          </w:p>
        </w:tc>
        <w:tc>
          <w:tcPr>
            <w:tcW w:w="1440" w:type="dxa"/>
          </w:tcPr>
          <w:p w:rsidR="00642B54" w:rsidRPr="0009128E" w:rsidRDefault="002B053D" w:rsidP="001778F1">
            <w:pPr>
              <w:jc w:val="center"/>
            </w:pPr>
            <w:r>
              <w:t>22.44</w:t>
            </w:r>
          </w:p>
        </w:tc>
        <w:tc>
          <w:tcPr>
            <w:tcW w:w="1935" w:type="dxa"/>
            <w:shd w:val="clear" w:color="auto" w:fill="auto"/>
          </w:tcPr>
          <w:p w:rsidR="00642B54" w:rsidRPr="0009128E" w:rsidRDefault="00642B54" w:rsidP="001778F1">
            <w:pPr>
              <w:jc w:val="center"/>
            </w:pPr>
            <w:r w:rsidRPr="00E768CD">
              <w:t>129.99(b)</w:t>
            </w:r>
          </w:p>
        </w:tc>
      </w:tr>
      <w:tr w:rsidR="00642B54" w:rsidTr="00973820">
        <w:tc>
          <w:tcPr>
            <w:tcW w:w="899" w:type="dxa"/>
          </w:tcPr>
          <w:p w:rsidR="00642B54" w:rsidRDefault="00642B54" w:rsidP="00290912">
            <w:pPr>
              <w:jc w:val="center"/>
            </w:pPr>
            <w:r>
              <w:t>136</w:t>
            </w:r>
          </w:p>
        </w:tc>
        <w:tc>
          <w:tcPr>
            <w:tcW w:w="2971" w:type="dxa"/>
          </w:tcPr>
          <w:p w:rsidR="00642B54" w:rsidRDefault="00642B54" w:rsidP="00290912">
            <w:pPr>
              <w:jc w:val="center"/>
            </w:pPr>
            <w:r>
              <w:t>BHT Furnace #3</w:t>
            </w:r>
          </w:p>
        </w:tc>
        <w:tc>
          <w:tcPr>
            <w:tcW w:w="1890" w:type="dxa"/>
          </w:tcPr>
          <w:p w:rsidR="00642B54" w:rsidRDefault="00642B54" w:rsidP="00290912">
            <w:pPr>
              <w:jc w:val="center"/>
            </w:pPr>
            <w:r>
              <w:t>23.0</w:t>
            </w:r>
          </w:p>
        </w:tc>
        <w:tc>
          <w:tcPr>
            <w:tcW w:w="1732" w:type="dxa"/>
          </w:tcPr>
          <w:p w:rsidR="00642B54" w:rsidRDefault="00103F4B" w:rsidP="001778F1">
            <w:pPr>
              <w:jc w:val="center"/>
            </w:pPr>
            <w:r>
              <w:t>13</w:t>
            </w:r>
            <w:r w:rsidR="002C4D55">
              <w:t>9</w:t>
            </w:r>
            <w:r>
              <w:t xml:space="preserve"> </w:t>
            </w:r>
            <w:proofErr w:type="spellStart"/>
            <w:r>
              <w:t>lb</w:t>
            </w:r>
            <w:proofErr w:type="spellEnd"/>
            <w:r>
              <w:t>/</w:t>
            </w:r>
            <w:proofErr w:type="spellStart"/>
            <w:r>
              <w:t>MMcf</w:t>
            </w:r>
            <w:proofErr w:type="spellEnd"/>
          </w:p>
        </w:tc>
        <w:tc>
          <w:tcPr>
            <w:tcW w:w="2588" w:type="dxa"/>
          </w:tcPr>
          <w:p w:rsidR="00642B54" w:rsidRPr="002C4D55" w:rsidRDefault="002C4D55" w:rsidP="001778F1">
            <w:pPr>
              <w:jc w:val="center"/>
            </w:pPr>
            <w:r w:rsidRPr="002C4D55">
              <w:t>AP-42 + 35% SF</w:t>
            </w:r>
            <w:r w:rsidRPr="002C4D55">
              <w:rPr>
                <w:vertAlign w:val="superscript"/>
              </w:rPr>
              <w:t>6</w:t>
            </w:r>
          </w:p>
        </w:tc>
        <w:tc>
          <w:tcPr>
            <w:tcW w:w="1440" w:type="dxa"/>
          </w:tcPr>
          <w:p w:rsidR="00642B54" w:rsidRPr="0009128E" w:rsidRDefault="002B053D" w:rsidP="001778F1">
            <w:pPr>
              <w:jc w:val="center"/>
            </w:pPr>
            <w:r>
              <w:t>14.03</w:t>
            </w:r>
          </w:p>
        </w:tc>
        <w:tc>
          <w:tcPr>
            <w:tcW w:w="1935" w:type="dxa"/>
            <w:shd w:val="clear" w:color="auto" w:fill="auto"/>
          </w:tcPr>
          <w:p w:rsidR="00642B54" w:rsidRPr="0009128E" w:rsidRDefault="00642B54" w:rsidP="001778F1">
            <w:pPr>
              <w:jc w:val="center"/>
            </w:pPr>
            <w:r w:rsidRPr="00E768CD">
              <w:t>129.99(b)</w:t>
            </w:r>
          </w:p>
        </w:tc>
      </w:tr>
      <w:tr w:rsidR="00642B54" w:rsidTr="00973820">
        <w:tc>
          <w:tcPr>
            <w:tcW w:w="899" w:type="dxa"/>
          </w:tcPr>
          <w:p w:rsidR="00642B54" w:rsidRDefault="00642B54" w:rsidP="00290912">
            <w:pPr>
              <w:jc w:val="center"/>
            </w:pPr>
            <w:r>
              <w:t>136</w:t>
            </w:r>
          </w:p>
        </w:tc>
        <w:tc>
          <w:tcPr>
            <w:tcW w:w="2971" w:type="dxa"/>
          </w:tcPr>
          <w:p w:rsidR="00642B54" w:rsidRDefault="00642B54" w:rsidP="00290912">
            <w:pPr>
              <w:jc w:val="center"/>
            </w:pPr>
            <w:r>
              <w:t>BHT Furnace #4</w:t>
            </w:r>
          </w:p>
        </w:tc>
        <w:tc>
          <w:tcPr>
            <w:tcW w:w="1890" w:type="dxa"/>
          </w:tcPr>
          <w:p w:rsidR="00642B54" w:rsidRDefault="00642B54" w:rsidP="00290912">
            <w:pPr>
              <w:jc w:val="center"/>
            </w:pPr>
            <w:r>
              <w:t>35.0</w:t>
            </w:r>
          </w:p>
        </w:tc>
        <w:tc>
          <w:tcPr>
            <w:tcW w:w="1732" w:type="dxa"/>
          </w:tcPr>
          <w:p w:rsidR="00642B54" w:rsidRDefault="00103F4B" w:rsidP="001778F1">
            <w:pPr>
              <w:jc w:val="center"/>
            </w:pPr>
            <w:r>
              <w:t>13</w:t>
            </w:r>
            <w:r w:rsidR="002C4D55">
              <w:t>9</w:t>
            </w:r>
            <w:r>
              <w:t xml:space="preserve"> </w:t>
            </w:r>
            <w:proofErr w:type="spellStart"/>
            <w:r>
              <w:t>lb</w:t>
            </w:r>
            <w:proofErr w:type="spellEnd"/>
            <w:r>
              <w:t>/</w:t>
            </w:r>
            <w:proofErr w:type="spellStart"/>
            <w:r>
              <w:t>MMcf</w:t>
            </w:r>
            <w:proofErr w:type="spellEnd"/>
          </w:p>
        </w:tc>
        <w:tc>
          <w:tcPr>
            <w:tcW w:w="2588" w:type="dxa"/>
          </w:tcPr>
          <w:p w:rsidR="00642B54" w:rsidRPr="002C4D55" w:rsidRDefault="002C4D55" w:rsidP="001778F1">
            <w:pPr>
              <w:jc w:val="center"/>
            </w:pPr>
            <w:r w:rsidRPr="002C4D55">
              <w:t>AP-42 + 35% SF</w:t>
            </w:r>
            <w:r w:rsidRPr="002C4D55">
              <w:rPr>
                <w:vertAlign w:val="superscript"/>
              </w:rPr>
              <w:t>6</w:t>
            </w:r>
          </w:p>
        </w:tc>
        <w:tc>
          <w:tcPr>
            <w:tcW w:w="1440" w:type="dxa"/>
          </w:tcPr>
          <w:p w:rsidR="00642B54" w:rsidRPr="0009128E" w:rsidRDefault="002B053D" w:rsidP="001778F1">
            <w:pPr>
              <w:jc w:val="center"/>
            </w:pPr>
            <w:r>
              <w:t>21.34</w:t>
            </w:r>
          </w:p>
        </w:tc>
        <w:tc>
          <w:tcPr>
            <w:tcW w:w="1935" w:type="dxa"/>
            <w:shd w:val="clear" w:color="auto" w:fill="auto"/>
          </w:tcPr>
          <w:p w:rsidR="00642B54" w:rsidRPr="0009128E" w:rsidRDefault="00642B54" w:rsidP="001778F1">
            <w:pPr>
              <w:jc w:val="center"/>
            </w:pPr>
            <w:r w:rsidRPr="00E768CD">
              <w:t>129.99(b)</w:t>
            </w:r>
          </w:p>
        </w:tc>
      </w:tr>
      <w:tr w:rsidR="00642B54" w:rsidTr="00973820">
        <w:tc>
          <w:tcPr>
            <w:tcW w:w="899" w:type="dxa"/>
          </w:tcPr>
          <w:p w:rsidR="00642B54" w:rsidRDefault="00642B54" w:rsidP="00290912">
            <w:pPr>
              <w:jc w:val="center"/>
            </w:pPr>
            <w:r>
              <w:t>136</w:t>
            </w:r>
          </w:p>
        </w:tc>
        <w:tc>
          <w:tcPr>
            <w:tcW w:w="2971" w:type="dxa"/>
          </w:tcPr>
          <w:p w:rsidR="00642B54" w:rsidRDefault="00642B54" w:rsidP="00290912">
            <w:pPr>
              <w:jc w:val="center"/>
            </w:pPr>
            <w:r>
              <w:t>BHT Furnace #5</w:t>
            </w:r>
          </w:p>
        </w:tc>
        <w:tc>
          <w:tcPr>
            <w:tcW w:w="1890" w:type="dxa"/>
          </w:tcPr>
          <w:p w:rsidR="00642B54" w:rsidRDefault="00642B54" w:rsidP="00290912">
            <w:pPr>
              <w:jc w:val="center"/>
            </w:pPr>
            <w:r>
              <w:t>36.8</w:t>
            </w:r>
          </w:p>
        </w:tc>
        <w:tc>
          <w:tcPr>
            <w:tcW w:w="1732" w:type="dxa"/>
          </w:tcPr>
          <w:p w:rsidR="00642B54" w:rsidRDefault="00103F4B" w:rsidP="001778F1">
            <w:pPr>
              <w:jc w:val="center"/>
            </w:pPr>
            <w:r>
              <w:t>13</w:t>
            </w:r>
            <w:r w:rsidR="002C4D55">
              <w:t>9</w:t>
            </w:r>
            <w:r>
              <w:t xml:space="preserve"> </w:t>
            </w:r>
            <w:proofErr w:type="spellStart"/>
            <w:r>
              <w:t>lb</w:t>
            </w:r>
            <w:proofErr w:type="spellEnd"/>
            <w:r>
              <w:t>/</w:t>
            </w:r>
            <w:proofErr w:type="spellStart"/>
            <w:r>
              <w:t>MMcf</w:t>
            </w:r>
            <w:proofErr w:type="spellEnd"/>
          </w:p>
        </w:tc>
        <w:tc>
          <w:tcPr>
            <w:tcW w:w="2588" w:type="dxa"/>
          </w:tcPr>
          <w:p w:rsidR="00642B54" w:rsidRPr="002C4D55" w:rsidRDefault="002C4D55" w:rsidP="001778F1">
            <w:pPr>
              <w:jc w:val="center"/>
            </w:pPr>
            <w:r w:rsidRPr="002C4D55">
              <w:t>AP-42 + 35% SF</w:t>
            </w:r>
            <w:r w:rsidRPr="002C4D55">
              <w:rPr>
                <w:vertAlign w:val="superscript"/>
              </w:rPr>
              <w:t>6</w:t>
            </w:r>
          </w:p>
        </w:tc>
        <w:tc>
          <w:tcPr>
            <w:tcW w:w="1440" w:type="dxa"/>
          </w:tcPr>
          <w:p w:rsidR="00642B54" w:rsidRPr="0009128E" w:rsidRDefault="002B053D" w:rsidP="001778F1">
            <w:pPr>
              <w:jc w:val="center"/>
            </w:pPr>
            <w:r>
              <w:t>22.44</w:t>
            </w:r>
          </w:p>
        </w:tc>
        <w:tc>
          <w:tcPr>
            <w:tcW w:w="1935" w:type="dxa"/>
            <w:shd w:val="clear" w:color="auto" w:fill="auto"/>
          </w:tcPr>
          <w:p w:rsidR="00642B54" w:rsidRPr="0009128E" w:rsidRDefault="00642B54" w:rsidP="001778F1">
            <w:pPr>
              <w:jc w:val="center"/>
            </w:pPr>
            <w:r w:rsidRPr="00E768CD">
              <w:t>129.99(b)</w:t>
            </w:r>
          </w:p>
        </w:tc>
      </w:tr>
      <w:tr w:rsidR="00642B54" w:rsidTr="00973820">
        <w:tc>
          <w:tcPr>
            <w:tcW w:w="899" w:type="dxa"/>
          </w:tcPr>
          <w:p w:rsidR="00642B54" w:rsidRDefault="00642B54" w:rsidP="00290912">
            <w:pPr>
              <w:jc w:val="center"/>
            </w:pPr>
            <w:r>
              <w:t>136</w:t>
            </w:r>
          </w:p>
        </w:tc>
        <w:tc>
          <w:tcPr>
            <w:tcW w:w="2971" w:type="dxa"/>
          </w:tcPr>
          <w:p w:rsidR="00642B54" w:rsidRDefault="00642B54" w:rsidP="00290912">
            <w:pPr>
              <w:jc w:val="center"/>
            </w:pPr>
            <w:r>
              <w:t>BHT Furnace #6</w:t>
            </w:r>
          </w:p>
        </w:tc>
        <w:tc>
          <w:tcPr>
            <w:tcW w:w="1890" w:type="dxa"/>
          </w:tcPr>
          <w:p w:rsidR="00642B54" w:rsidRDefault="00642B54" w:rsidP="00290912">
            <w:pPr>
              <w:jc w:val="center"/>
            </w:pPr>
            <w:r>
              <w:t>24.0</w:t>
            </w:r>
          </w:p>
        </w:tc>
        <w:tc>
          <w:tcPr>
            <w:tcW w:w="1732" w:type="dxa"/>
          </w:tcPr>
          <w:p w:rsidR="00642B54" w:rsidRDefault="00103F4B" w:rsidP="001778F1">
            <w:pPr>
              <w:jc w:val="center"/>
            </w:pPr>
            <w:r>
              <w:t>13</w:t>
            </w:r>
            <w:r w:rsidR="002C4D55">
              <w:t>9</w:t>
            </w:r>
            <w:r>
              <w:t xml:space="preserve"> </w:t>
            </w:r>
            <w:proofErr w:type="spellStart"/>
            <w:r>
              <w:t>lb</w:t>
            </w:r>
            <w:proofErr w:type="spellEnd"/>
            <w:r>
              <w:t>/</w:t>
            </w:r>
            <w:proofErr w:type="spellStart"/>
            <w:r>
              <w:t>MMcf</w:t>
            </w:r>
            <w:proofErr w:type="spellEnd"/>
          </w:p>
        </w:tc>
        <w:tc>
          <w:tcPr>
            <w:tcW w:w="2588" w:type="dxa"/>
          </w:tcPr>
          <w:p w:rsidR="00642B54" w:rsidRPr="002C4D55" w:rsidRDefault="002C4D55" w:rsidP="001778F1">
            <w:pPr>
              <w:jc w:val="center"/>
            </w:pPr>
            <w:r w:rsidRPr="002C4D55">
              <w:t>AP-42 + 35% SF</w:t>
            </w:r>
            <w:r w:rsidRPr="002C4D55">
              <w:rPr>
                <w:vertAlign w:val="superscript"/>
              </w:rPr>
              <w:t>6</w:t>
            </w:r>
          </w:p>
        </w:tc>
        <w:tc>
          <w:tcPr>
            <w:tcW w:w="1440" w:type="dxa"/>
          </w:tcPr>
          <w:p w:rsidR="00642B54" w:rsidRPr="0009128E" w:rsidRDefault="002B053D" w:rsidP="001778F1">
            <w:pPr>
              <w:jc w:val="center"/>
            </w:pPr>
            <w:r>
              <w:t>14.64</w:t>
            </w:r>
          </w:p>
        </w:tc>
        <w:tc>
          <w:tcPr>
            <w:tcW w:w="1935" w:type="dxa"/>
            <w:shd w:val="clear" w:color="auto" w:fill="auto"/>
          </w:tcPr>
          <w:p w:rsidR="00642B54" w:rsidRPr="0009128E" w:rsidRDefault="00642B54" w:rsidP="001778F1">
            <w:pPr>
              <w:jc w:val="center"/>
            </w:pPr>
            <w:r w:rsidRPr="00E768CD">
              <w:t>129.99(b)</w:t>
            </w:r>
          </w:p>
        </w:tc>
      </w:tr>
      <w:tr w:rsidR="00642B54" w:rsidTr="00973820">
        <w:tc>
          <w:tcPr>
            <w:tcW w:w="899" w:type="dxa"/>
          </w:tcPr>
          <w:p w:rsidR="00642B54" w:rsidRDefault="00642B54" w:rsidP="00290912">
            <w:pPr>
              <w:jc w:val="center"/>
            </w:pPr>
            <w:r>
              <w:t>136</w:t>
            </w:r>
          </w:p>
        </w:tc>
        <w:tc>
          <w:tcPr>
            <w:tcW w:w="2971" w:type="dxa"/>
          </w:tcPr>
          <w:p w:rsidR="00642B54" w:rsidRDefault="00642B54" w:rsidP="00290912">
            <w:pPr>
              <w:jc w:val="center"/>
            </w:pPr>
            <w:r>
              <w:t>BHT Furnace #7</w:t>
            </w:r>
          </w:p>
        </w:tc>
        <w:tc>
          <w:tcPr>
            <w:tcW w:w="1890" w:type="dxa"/>
          </w:tcPr>
          <w:p w:rsidR="00642B54" w:rsidRDefault="00642B54" w:rsidP="00290912">
            <w:pPr>
              <w:jc w:val="center"/>
            </w:pPr>
            <w:r>
              <w:t>40.0</w:t>
            </w:r>
          </w:p>
        </w:tc>
        <w:tc>
          <w:tcPr>
            <w:tcW w:w="1732" w:type="dxa"/>
          </w:tcPr>
          <w:p w:rsidR="00642B54" w:rsidRDefault="00103F4B" w:rsidP="001778F1">
            <w:pPr>
              <w:jc w:val="center"/>
            </w:pPr>
            <w:r>
              <w:t>13</w:t>
            </w:r>
            <w:r w:rsidR="002C4D55">
              <w:t>9</w:t>
            </w:r>
            <w:r>
              <w:t xml:space="preserve"> </w:t>
            </w:r>
            <w:proofErr w:type="spellStart"/>
            <w:r>
              <w:t>lb</w:t>
            </w:r>
            <w:proofErr w:type="spellEnd"/>
            <w:r>
              <w:t>/</w:t>
            </w:r>
            <w:proofErr w:type="spellStart"/>
            <w:r>
              <w:t>MMcf</w:t>
            </w:r>
            <w:proofErr w:type="spellEnd"/>
          </w:p>
        </w:tc>
        <w:tc>
          <w:tcPr>
            <w:tcW w:w="2588" w:type="dxa"/>
          </w:tcPr>
          <w:p w:rsidR="00642B54" w:rsidRPr="002C4D55" w:rsidRDefault="002C4D55" w:rsidP="001778F1">
            <w:pPr>
              <w:jc w:val="center"/>
            </w:pPr>
            <w:r w:rsidRPr="002C4D55">
              <w:t>AP-42 + 35% SF</w:t>
            </w:r>
            <w:r w:rsidRPr="002C4D55">
              <w:rPr>
                <w:vertAlign w:val="superscript"/>
              </w:rPr>
              <w:t>6</w:t>
            </w:r>
          </w:p>
        </w:tc>
        <w:tc>
          <w:tcPr>
            <w:tcW w:w="1440" w:type="dxa"/>
          </w:tcPr>
          <w:p w:rsidR="00642B54" w:rsidRPr="0009128E" w:rsidRDefault="002B053D" w:rsidP="001778F1">
            <w:pPr>
              <w:jc w:val="center"/>
            </w:pPr>
            <w:r>
              <w:t>24.39</w:t>
            </w:r>
          </w:p>
        </w:tc>
        <w:tc>
          <w:tcPr>
            <w:tcW w:w="1935" w:type="dxa"/>
            <w:shd w:val="clear" w:color="auto" w:fill="auto"/>
          </w:tcPr>
          <w:p w:rsidR="00642B54" w:rsidRPr="0009128E" w:rsidRDefault="00642B54" w:rsidP="001778F1">
            <w:pPr>
              <w:jc w:val="center"/>
            </w:pPr>
            <w:r w:rsidRPr="00E60915">
              <w:t>129.99(b)</w:t>
            </w:r>
          </w:p>
        </w:tc>
      </w:tr>
      <w:tr w:rsidR="00642B54" w:rsidTr="00973820">
        <w:tc>
          <w:tcPr>
            <w:tcW w:w="899" w:type="dxa"/>
          </w:tcPr>
          <w:p w:rsidR="00642B54" w:rsidRDefault="00642B54" w:rsidP="00290912">
            <w:pPr>
              <w:jc w:val="center"/>
            </w:pPr>
            <w:r>
              <w:t>136</w:t>
            </w:r>
          </w:p>
        </w:tc>
        <w:tc>
          <w:tcPr>
            <w:tcW w:w="2971" w:type="dxa"/>
          </w:tcPr>
          <w:p w:rsidR="00642B54" w:rsidRDefault="00642B54" w:rsidP="00290912">
            <w:pPr>
              <w:jc w:val="center"/>
            </w:pPr>
            <w:r>
              <w:t>BHT Furnace #8</w:t>
            </w:r>
          </w:p>
        </w:tc>
        <w:tc>
          <w:tcPr>
            <w:tcW w:w="1890" w:type="dxa"/>
          </w:tcPr>
          <w:p w:rsidR="00642B54" w:rsidRDefault="00642B54" w:rsidP="00290912">
            <w:pPr>
              <w:jc w:val="center"/>
            </w:pPr>
            <w:r>
              <w:t>45.1</w:t>
            </w:r>
          </w:p>
        </w:tc>
        <w:tc>
          <w:tcPr>
            <w:tcW w:w="1732" w:type="dxa"/>
          </w:tcPr>
          <w:p w:rsidR="00642B54" w:rsidRDefault="00103F4B" w:rsidP="001778F1">
            <w:pPr>
              <w:jc w:val="center"/>
            </w:pPr>
            <w:r>
              <w:t>13</w:t>
            </w:r>
            <w:r w:rsidR="002C4D55">
              <w:t>9</w:t>
            </w:r>
            <w:r>
              <w:t xml:space="preserve"> </w:t>
            </w:r>
            <w:proofErr w:type="spellStart"/>
            <w:r>
              <w:t>lb</w:t>
            </w:r>
            <w:proofErr w:type="spellEnd"/>
            <w:r>
              <w:t>/</w:t>
            </w:r>
            <w:proofErr w:type="spellStart"/>
            <w:r>
              <w:t>MMcf</w:t>
            </w:r>
            <w:proofErr w:type="spellEnd"/>
          </w:p>
        </w:tc>
        <w:tc>
          <w:tcPr>
            <w:tcW w:w="2588" w:type="dxa"/>
          </w:tcPr>
          <w:p w:rsidR="00642B54" w:rsidRPr="002C4D55" w:rsidRDefault="002C4D55" w:rsidP="001778F1">
            <w:pPr>
              <w:jc w:val="center"/>
            </w:pPr>
            <w:r w:rsidRPr="002C4D55">
              <w:t>AP-42 + 35% SF</w:t>
            </w:r>
            <w:r w:rsidRPr="002C4D55">
              <w:rPr>
                <w:vertAlign w:val="superscript"/>
              </w:rPr>
              <w:t>6</w:t>
            </w:r>
          </w:p>
        </w:tc>
        <w:tc>
          <w:tcPr>
            <w:tcW w:w="1440" w:type="dxa"/>
          </w:tcPr>
          <w:p w:rsidR="00642B54" w:rsidRPr="0009128E" w:rsidRDefault="002B053D" w:rsidP="001778F1">
            <w:pPr>
              <w:jc w:val="center"/>
            </w:pPr>
            <w:r>
              <w:t>27.50</w:t>
            </w:r>
          </w:p>
        </w:tc>
        <w:tc>
          <w:tcPr>
            <w:tcW w:w="1935" w:type="dxa"/>
            <w:shd w:val="clear" w:color="auto" w:fill="auto"/>
          </w:tcPr>
          <w:p w:rsidR="00642B54" w:rsidRPr="0009128E" w:rsidRDefault="00642B54" w:rsidP="001778F1">
            <w:pPr>
              <w:jc w:val="center"/>
            </w:pPr>
            <w:r w:rsidRPr="00E60915">
              <w:t>129.99(b)</w:t>
            </w:r>
          </w:p>
        </w:tc>
      </w:tr>
      <w:tr w:rsidR="00642B54" w:rsidTr="00973820">
        <w:tc>
          <w:tcPr>
            <w:tcW w:w="899" w:type="dxa"/>
          </w:tcPr>
          <w:p w:rsidR="00642B54" w:rsidRDefault="00642B54" w:rsidP="00290912">
            <w:pPr>
              <w:jc w:val="center"/>
            </w:pPr>
            <w:r>
              <w:t>136</w:t>
            </w:r>
          </w:p>
        </w:tc>
        <w:tc>
          <w:tcPr>
            <w:tcW w:w="2971" w:type="dxa"/>
          </w:tcPr>
          <w:p w:rsidR="00642B54" w:rsidRDefault="00642B54" w:rsidP="00290912">
            <w:pPr>
              <w:jc w:val="center"/>
            </w:pPr>
            <w:r>
              <w:t>BHT Furnace #10</w:t>
            </w:r>
          </w:p>
        </w:tc>
        <w:tc>
          <w:tcPr>
            <w:tcW w:w="1890" w:type="dxa"/>
          </w:tcPr>
          <w:p w:rsidR="00642B54" w:rsidRDefault="00642B54" w:rsidP="00290912">
            <w:pPr>
              <w:jc w:val="center"/>
            </w:pPr>
            <w:r>
              <w:t>44.2</w:t>
            </w:r>
          </w:p>
        </w:tc>
        <w:tc>
          <w:tcPr>
            <w:tcW w:w="1732" w:type="dxa"/>
          </w:tcPr>
          <w:p w:rsidR="00642B54" w:rsidRDefault="00103F4B" w:rsidP="001778F1">
            <w:pPr>
              <w:jc w:val="center"/>
            </w:pPr>
            <w:r>
              <w:t>13</w:t>
            </w:r>
            <w:r w:rsidR="002C4D55">
              <w:t>9</w:t>
            </w:r>
            <w:r>
              <w:t xml:space="preserve"> </w:t>
            </w:r>
            <w:proofErr w:type="spellStart"/>
            <w:r>
              <w:t>lb</w:t>
            </w:r>
            <w:proofErr w:type="spellEnd"/>
            <w:r>
              <w:t>/</w:t>
            </w:r>
            <w:proofErr w:type="spellStart"/>
            <w:r>
              <w:t>MMcf</w:t>
            </w:r>
            <w:proofErr w:type="spellEnd"/>
          </w:p>
        </w:tc>
        <w:tc>
          <w:tcPr>
            <w:tcW w:w="2588" w:type="dxa"/>
          </w:tcPr>
          <w:p w:rsidR="00642B54" w:rsidRPr="002C4D55" w:rsidRDefault="002C4D55" w:rsidP="001778F1">
            <w:pPr>
              <w:jc w:val="center"/>
            </w:pPr>
            <w:r w:rsidRPr="002C4D55">
              <w:t>AP-42 + 35% SF</w:t>
            </w:r>
            <w:r w:rsidRPr="002C4D55">
              <w:rPr>
                <w:vertAlign w:val="superscript"/>
              </w:rPr>
              <w:t>6</w:t>
            </w:r>
          </w:p>
        </w:tc>
        <w:tc>
          <w:tcPr>
            <w:tcW w:w="1440" w:type="dxa"/>
          </w:tcPr>
          <w:p w:rsidR="00642B54" w:rsidRPr="0009128E" w:rsidRDefault="002B053D" w:rsidP="001778F1">
            <w:pPr>
              <w:jc w:val="center"/>
            </w:pPr>
            <w:r>
              <w:t>26.96</w:t>
            </w:r>
          </w:p>
        </w:tc>
        <w:tc>
          <w:tcPr>
            <w:tcW w:w="1935" w:type="dxa"/>
            <w:shd w:val="clear" w:color="auto" w:fill="auto"/>
          </w:tcPr>
          <w:p w:rsidR="00642B54" w:rsidRPr="0009128E" w:rsidRDefault="00642B54" w:rsidP="001778F1">
            <w:pPr>
              <w:jc w:val="center"/>
            </w:pPr>
            <w:r w:rsidRPr="00E60915">
              <w:t>129.99(b)</w:t>
            </w:r>
          </w:p>
        </w:tc>
      </w:tr>
      <w:tr w:rsidR="00642B54" w:rsidTr="00973820">
        <w:tc>
          <w:tcPr>
            <w:tcW w:w="899" w:type="dxa"/>
          </w:tcPr>
          <w:p w:rsidR="00642B54" w:rsidRDefault="00642B54" w:rsidP="001778F1">
            <w:pPr>
              <w:jc w:val="center"/>
            </w:pPr>
            <w:r>
              <w:t>146A</w:t>
            </w:r>
          </w:p>
        </w:tc>
        <w:tc>
          <w:tcPr>
            <w:tcW w:w="2971" w:type="dxa"/>
          </w:tcPr>
          <w:p w:rsidR="00642B54" w:rsidRDefault="00642B54" w:rsidP="001778F1">
            <w:pPr>
              <w:jc w:val="center"/>
            </w:pPr>
            <w:r>
              <w:t>145’ NAB Furnace</w:t>
            </w:r>
          </w:p>
        </w:tc>
        <w:tc>
          <w:tcPr>
            <w:tcW w:w="1890" w:type="dxa"/>
          </w:tcPr>
          <w:p w:rsidR="00642B54" w:rsidRDefault="00642B54" w:rsidP="00290912">
            <w:pPr>
              <w:jc w:val="center"/>
            </w:pPr>
            <w:r>
              <w:t>55.0</w:t>
            </w:r>
          </w:p>
        </w:tc>
        <w:tc>
          <w:tcPr>
            <w:tcW w:w="1732" w:type="dxa"/>
          </w:tcPr>
          <w:p w:rsidR="00642B54" w:rsidRPr="007D5128" w:rsidRDefault="006E3963" w:rsidP="001778F1">
            <w:pPr>
              <w:jc w:val="center"/>
            </w:pPr>
            <w:r w:rsidRPr="007D5128">
              <w:t xml:space="preserve">140 </w:t>
            </w:r>
            <w:proofErr w:type="spellStart"/>
            <w:r w:rsidRPr="007D5128">
              <w:t>lb</w:t>
            </w:r>
            <w:proofErr w:type="spellEnd"/>
            <w:r w:rsidRPr="007D5128">
              <w:t>/</w:t>
            </w:r>
            <w:proofErr w:type="spellStart"/>
            <w:r w:rsidRPr="007D5128">
              <w:t>MMcf</w:t>
            </w:r>
            <w:proofErr w:type="spellEnd"/>
          </w:p>
        </w:tc>
        <w:tc>
          <w:tcPr>
            <w:tcW w:w="2588" w:type="dxa"/>
          </w:tcPr>
          <w:p w:rsidR="00642B54" w:rsidRPr="006A3CD3" w:rsidRDefault="006E3963" w:rsidP="001778F1">
            <w:pPr>
              <w:jc w:val="center"/>
            </w:pPr>
            <w:r>
              <w:t>AP-42</w:t>
            </w:r>
          </w:p>
        </w:tc>
        <w:tc>
          <w:tcPr>
            <w:tcW w:w="1440" w:type="dxa"/>
          </w:tcPr>
          <w:p w:rsidR="00642B54" w:rsidRPr="007D5128" w:rsidRDefault="00DB29A7" w:rsidP="001778F1">
            <w:pPr>
              <w:jc w:val="center"/>
              <w:rPr>
                <w:vertAlign w:val="superscript"/>
              </w:rPr>
            </w:pPr>
            <w:r w:rsidRPr="007D5128">
              <w:t xml:space="preserve"> </w:t>
            </w:r>
            <w:r w:rsidR="00642B54" w:rsidRPr="007D5128">
              <w:t>33.7</w:t>
            </w:r>
            <w:r w:rsidRPr="007D5128">
              <w:rPr>
                <w:vertAlign w:val="superscript"/>
              </w:rPr>
              <w:t>7</w:t>
            </w:r>
          </w:p>
        </w:tc>
        <w:tc>
          <w:tcPr>
            <w:tcW w:w="1935" w:type="dxa"/>
            <w:shd w:val="clear" w:color="auto" w:fill="auto"/>
          </w:tcPr>
          <w:p w:rsidR="00642B54" w:rsidRPr="0009128E" w:rsidRDefault="00642B54" w:rsidP="001778F1">
            <w:pPr>
              <w:jc w:val="center"/>
            </w:pPr>
            <w:r w:rsidRPr="00E60915">
              <w:t>129.99(b)</w:t>
            </w:r>
          </w:p>
        </w:tc>
      </w:tr>
      <w:tr w:rsidR="00642B54" w:rsidTr="00973820">
        <w:tc>
          <w:tcPr>
            <w:tcW w:w="899" w:type="dxa"/>
          </w:tcPr>
          <w:p w:rsidR="00642B54" w:rsidRDefault="00642B54" w:rsidP="001778F1">
            <w:pPr>
              <w:jc w:val="center"/>
            </w:pPr>
            <w:r>
              <w:t>146B</w:t>
            </w:r>
          </w:p>
        </w:tc>
        <w:tc>
          <w:tcPr>
            <w:tcW w:w="2971" w:type="dxa"/>
          </w:tcPr>
          <w:p w:rsidR="00642B54" w:rsidRDefault="00642B54" w:rsidP="001778F1">
            <w:pPr>
              <w:jc w:val="center"/>
            </w:pPr>
            <w:r>
              <w:t>200’ NAB Furnace</w:t>
            </w:r>
          </w:p>
        </w:tc>
        <w:tc>
          <w:tcPr>
            <w:tcW w:w="1890" w:type="dxa"/>
          </w:tcPr>
          <w:p w:rsidR="00642B54" w:rsidRDefault="00642B54" w:rsidP="00290912">
            <w:pPr>
              <w:jc w:val="center"/>
            </w:pPr>
            <w:r>
              <w:t>128.0</w:t>
            </w:r>
          </w:p>
        </w:tc>
        <w:tc>
          <w:tcPr>
            <w:tcW w:w="1732" w:type="dxa"/>
          </w:tcPr>
          <w:p w:rsidR="00642B54" w:rsidRPr="007D5128" w:rsidRDefault="007D5128" w:rsidP="001778F1">
            <w:pPr>
              <w:jc w:val="center"/>
              <w:rPr>
                <w:vertAlign w:val="superscript"/>
              </w:rPr>
            </w:pPr>
            <w:r w:rsidRPr="007D5128">
              <w:t xml:space="preserve"> </w:t>
            </w:r>
            <w:r w:rsidR="007419FD" w:rsidRPr="007D5128">
              <w:t xml:space="preserve">120 </w:t>
            </w:r>
            <w:proofErr w:type="spellStart"/>
            <w:r w:rsidR="007419FD" w:rsidRPr="007D5128">
              <w:t>lb</w:t>
            </w:r>
            <w:proofErr w:type="spellEnd"/>
            <w:r w:rsidR="007419FD" w:rsidRPr="007D5128">
              <w:t>/MMcf</w:t>
            </w:r>
            <w:r w:rsidRPr="007D5128">
              <w:rPr>
                <w:vertAlign w:val="superscript"/>
              </w:rPr>
              <w:t>7</w:t>
            </w:r>
          </w:p>
        </w:tc>
        <w:tc>
          <w:tcPr>
            <w:tcW w:w="2588" w:type="dxa"/>
          </w:tcPr>
          <w:p w:rsidR="00642B54" w:rsidRPr="006A3CD3" w:rsidRDefault="009B6973" w:rsidP="001778F1">
            <w:pPr>
              <w:jc w:val="center"/>
            </w:pPr>
            <w:r>
              <w:t>Limit</w:t>
            </w:r>
          </w:p>
        </w:tc>
        <w:tc>
          <w:tcPr>
            <w:tcW w:w="1440" w:type="dxa"/>
          </w:tcPr>
          <w:p w:rsidR="00642B54" w:rsidRPr="007D5128" w:rsidRDefault="00642B54" w:rsidP="001778F1">
            <w:pPr>
              <w:jc w:val="center"/>
              <w:rPr>
                <w:vertAlign w:val="superscript"/>
              </w:rPr>
            </w:pPr>
            <w:r w:rsidRPr="007D5128">
              <w:t>30.6</w:t>
            </w:r>
            <w:r w:rsidR="00DB29A7" w:rsidRPr="007D5128">
              <w:rPr>
                <w:vertAlign w:val="superscript"/>
              </w:rPr>
              <w:t>7</w:t>
            </w:r>
          </w:p>
        </w:tc>
        <w:tc>
          <w:tcPr>
            <w:tcW w:w="1935" w:type="dxa"/>
            <w:shd w:val="clear" w:color="auto" w:fill="auto"/>
          </w:tcPr>
          <w:p w:rsidR="00642B54" w:rsidRPr="0009128E" w:rsidRDefault="00642B54" w:rsidP="001778F1">
            <w:pPr>
              <w:jc w:val="center"/>
            </w:pPr>
            <w:r w:rsidRPr="00E60915">
              <w:t>129.99(b)</w:t>
            </w:r>
          </w:p>
        </w:tc>
      </w:tr>
      <w:tr w:rsidR="00642B54" w:rsidTr="00973820">
        <w:tc>
          <w:tcPr>
            <w:tcW w:w="899" w:type="dxa"/>
          </w:tcPr>
          <w:p w:rsidR="00642B54" w:rsidRDefault="00642B54" w:rsidP="001778F1">
            <w:pPr>
              <w:jc w:val="center"/>
            </w:pPr>
            <w:r>
              <w:t>151</w:t>
            </w:r>
          </w:p>
        </w:tc>
        <w:tc>
          <w:tcPr>
            <w:tcW w:w="2971" w:type="dxa"/>
          </w:tcPr>
          <w:p w:rsidR="00642B54" w:rsidRPr="00290912" w:rsidRDefault="00642B54" w:rsidP="001778F1">
            <w:pPr>
              <w:jc w:val="center"/>
            </w:pPr>
            <w:r w:rsidRPr="00290912">
              <w:t>Soaking Pits #35</w:t>
            </w:r>
            <w:r>
              <w:t xml:space="preserve"> </w:t>
            </w:r>
            <w:r w:rsidRPr="00290912">
              <w:t>-</w:t>
            </w:r>
            <w:r>
              <w:t xml:space="preserve"> </w:t>
            </w:r>
            <w:r w:rsidRPr="00290912">
              <w:t>#4</w:t>
            </w:r>
            <w:r>
              <w:t>9</w:t>
            </w:r>
          </w:p>
        </w:tc>
        <w:tc>
          <w:tcPr>
            <w:tcW w:w="1890" w:type="dxa"/>
          </w:tcPr>
          <w:p w:rsidR="00642B54" w:rsidRDefault="00642B54" w:rsidP="00290912">
            <w:pPr>
              <w:jc w:val="center"/>
            </w:pPr>
            <w:r>
              <w:t>30.0 (each)</w:t>
            </w:r>
          </w:p>
        </w:tc>
        <w:tc>
          <w:tcPr>
            <w:tcW w:w="1732" w:type="dxa"/>
          </w:tcPr>
          <w:p w:rsidR="00642B54" w:rsidRPr="00765AFD" w:rsidRDefault="007C6BE5" w:rsidP="001778F1">
            <w:pPr>
              <w:jc w:val="center"/>
            </w:pPr>
            <w:r>
              <w:t>2</w:t>
            </w:r>
            <w:r w:rsidR="00382D90">
              <w:t>55</w:t>
            </w:r>
            <w:r>
              <w:t xml:space="preserve"> </w:t>
            </w:r>
            <w:proofErr w:type="spellStart"/>
            <w:r>
              <w:t>lb</w:t>
            </w:r>
            <w:proofErr w:type="spellEnd"/>
            <w:r>
              <w:t>/</w:t>
            </w:r>
            <w:proofErr w:type="spellStart"/>
            <w:r>
              <w:t>MMcf</w:t>
            </w:r>
            <w:proofErr w:type="spellEnd"/>
          </w:p>
        </w:tc>
        <w:tc>
          <w:tcPr>
            <w:tcW w:w="2588" w:type="dxa"/>
          </w:tcPr>
          <w:p w:rsidR="00642B54" w:rsidRPr="00307717" w:rsidRDefault="00307717" w:rsidP="001778F1">
            <w:pPr>
              <w:jc w:val="center"/>
              <w:rPr>
                <w:vertAlign w:val="superscript"/>
              </w:rPr>
            </w:pPr>
            <w:r>
              <w:t xml:space="preserve"> </w:t>
            </w:r>
            <w:r w:rsidR="007C6BE5">
              <w:t>1998 Stack Test</w:t>
            </w:r>
            <w:r>
              <w:rPr>
                <w:vertAlign w:val="superscript"/>
              </w:rPr>
              <w:t>8</w:t>
            </w:r>
          </w:p>
        </w:tc>
        <w:tc>
          <w:tcPr>
            <w:tcW w:w="1440" w:type="dxa"/>
          </w:tcPr>
          <w:p w:rsidR="00642B54" w:rsidRPr="0009128E" w:rsidRDefault="008128B5" w:rsidP="001778F1">
            <w:pPr>
              <w:jc w:val="center"/>
            </w:pPr>
            <w:r>
              <w:t>33</w:t>
            </w:r>
            <w:r w:rsidR="00642B54" w:rsidRPr="00765AFD">
              <w:t>.</w:t>
            </w:r>
            <w:r>
              <w:t>52</w:t>
            </w:r>
            <w:r w:rsidR="00642B54" w:rsidRPr="00765AFD">
              <w:t xml:space="preserve"> (each)</w:t>
            </w:r>
          </w:p>
        </w:tc>
        <w:tc>
          <w:tcPr>
            <w:tcW w:w="1935" w:type="dxa"/>
            <w:shd w:val="clear" w:color="auto" w:fill="auto"/>
          </w:tcPr>
          <w:p w:rsidR="00642B54" w:rsidRPr="0009128E" w:rsidRDefault="00642B54" w:rsidP="001778F1">
            <w:pPr>
              <w:jc w:val="center"/>
            </w:pPr>
            <w:r w:rsidRPr="00E60915">
              <w:t>129.99(b)</w:t>
            </w:r>
          </w:p>
        </w:tc>
      </w:tr>
    </w:tbl>
    <w:p w:rsidR="00D31755" w:rsidRDefault="00D31755" w:rsidP="00D82C50">
      <w:pPr>
        <w:ind w:left="90"/>
      </w:pPr>
      <w:r>
        <w:rPr>
          <w:vertAlign w:val="superscript"/>
        </w:rPr>
        <w:t>1</w:t>
      </w:r>
      <w:r>
        <w:t>Tons per year</w:t>
      </w:r>
      <w:r w:rsidR="00382D90">
        <w:t>.</w:t>
      </w:r>
    </w:p>
    <w:p w:rsidR="00241F2E" w:rsidRDefault="00241F2E" w:rsidP="00241F2E">
      <w:pPr>
        <w:ind w:left="180" w:hanging="90"/>
      </w:pPr>
      <w:r>
        <w:rPr>
          <w:vertAlign w:val="superscript"/>
        </w:rPr>
        <w:t>2</w:t>
      </w:r>
      <w:r>
        <w:t>§ 129.99(b) addresses requirements for a source that cannot meet presumptive RACT</w:t>
      </w:r>
      <w:r w:rsidR="00382D90">
        <w:t>.</w:t>
      </w:r>
    </w:p>
    <w:p w:rsidR="006E05C3" w:rsidRPr="006E05C3" w:rsidRDefault="00973820" w:rsidP="00190BEA">
      <w:pPr>
        <w:ind w:left="90"/>
      </w:pPr>
      <w:bookmarkStart w:id="6" w:name="_Hlk5371417"/>
      <w:r>
        <w:rPr>
          <w:vertAlign w:val="superscript"/>
        </w:rPr>
        <w:t>3</w:t>
      </w:r>
      <w:r w:rsidR="006E05C3">
        <w:t xml:space="preserve">Limit based on existing fuel restriction of 267 </w:t>
      </w:r>
      <w:proofErr w:type="spellStart"/>
      <w:r w:rsidR="006E05C3">
        <w:t>MMcf</w:t>
      </w:r>
      <w:proofErr w:type="spellEnd"/>
      <w:r w:rsidR="006E05C3">
        <w:t>/</w:t>
      </w:r>
      <w:proofErr w:type="spellStart"/>
      <w:r w:rsidR="006E05C3">
        <w:t>yr</w:t>
      </w:r>
      <w:proofErr w:type="spellEnd"/>
      <w:r w:rsidR="006E05C3">
        <w:t xml:space="preserve"> and </w:t>
      </w:r>
      <w:r w:rsidR="00555E69">
        <w:t xml:space="preserve">the </w:t>
      </w:r>
      <w:r w:rsidR="006E05C3">
        <w:t>emission factor</w:t>
      </w:r>
      <w:r w:rsidR="00382D90">
        <w:t>.</w:t>
      </w:r>
    </w:p>
    <w:bookmarkEnd w:id="6"/>
    <w:p w:rsidR="008807BC" w:rsidRDefault="00973820" w:rsidP="00426A86">
      <w:pPr>
        <w:ind w:left="180" w:hanging="90"/>
      </w:pPr>
      <w:r>
        <w:rPr>
          <w:vertAlign w:val="superscript"/>
        </w:rPr>
        <w:t>4</w:t>
      </w:r>
      <w:r w:rsidR="008807BC">
        <w:t>Source cannot meet Presumptive RACT</w:t>
      </w:r>
      <w:r w:rsidR="00D830FA">
        <w:t xml:space="preserve">; </w:t>
      </w:r>
      <w:r w:rsidR="00426A86">
        <w:t>§ 129.99(a) states what to do if a source cannot comply with presumptive RACT II</w:t>
      </w:r>
      <w:r w:rsidR="00382D90">
        <w:t>.</w:t>
      </w:r>
    </w:p>
    <w:p w:rsidR="00555E69" w:rsidRDefault="00973820" w:rsidP="00426A86">
      <w:pPr>
        <w:ind w:left="180" w:hanging="90"/>
      </w:pPr>
      <w:bookmarkStart w:id="7" w:name="_Hlk5605025"/>
      <w:r>
        <w:rPr>
          <w:vertAlign w:val="superscript"/>
        </w:rPr>
        <w:t>5</w:t>
      </w:r>
      <w:r w:rsidR="00555E69">
        <w:t>Limit based on existing tonnage limit of 1.55 MM tons/</w:t>
      </w:r>
      <w:proofErr w:type="spellStart"/>
      <w:r w:rsidR="00555E69">
        <w:t>yr</w:t>
      </w:r>
      <w:proofErr w:type="spellEnd"/>
      <w:r w:rsidR="00555E69">
        <w:t xml:space="preserve"> and the emission factor</w:t>
      </w:r>
      <w:r w:rsidR="00382D90">
        <w:t>.</w:t>
      </w:r>
    </w:p>
    <w:p w:rsidR="00B74CF5" w:rsidRDefault="00973820" w:rsidP="00426A86">
      <w:pPr>
        <w:ind w:left="180" w:hanging="90"/>
      </w:pPr>
      <w:bookmarkStart w:id="8" w:name="_Hlk5371452"/>
      <w:bookmarkEnd w:id="7"/>
      <w:r>
        <w:rPr>
          <w:vertAlign w:val="superscript"/>
        </w:rPr>
        <w:t>6</w:t>
      </w:r>
      <w:r w:rsidR="00B74CF5">
        <w:t>Adjusted to account for actual BTU rating of 1,052</w:t>
      </w:r>
      <w:r w:rsidR="00E91982">
        <w:t xml:space="preserve"> Btu/</w:t>
      </w:r>
      <w:proofErr w:type="spellStart"/>
      <w:r w:rsidR="00E91982">
        <w:t>cf</w:t>
      </w:r>
      <w:proofErr w:type="spellEnd"/>
      <w:r w:rsidR="00E91982">
        <w:t xml:space="preserve"> versus 1,020 used for AP-42, Table 1.4-1</w:t>
      </w:r>
      <w:r w:rsidR="002C4D55">
        <w:t>; SF = Safety Factor</w:t>
      </w:r>
      <w:r w:rsidR="00382D90">
        <w:t>.</w:t>
      </w:r>
    </w:p>
    <w:bookmarkEnd w:id="8"/>
    <w:p w:rsidR="0003336C" w:rsidRDefault="007D5128" w:rsidP="00867628">
      <w:pPr>
        <w:ind w:left="180" w:hanging="90"/>
      </w:pPr>
      <w:r>
        <w:rPr>
          <w:vertAlign w:val="superscript"/>
        </w:rPr>
        <w:t>7</w:t>
      </w:r>
      <w:r>
        <w:t>Existing limit in the current TVOP</w:t>
      </w:r>
      <w:bookmarkEnd w:id="4"/>
      <w:r w:rsidR="00382D90">
        <w:t>.</w:t>
      </w:r>
    </w:p>
    <w:p w:rsidR="00DB6EBF" w:rsidRPr="00307717" w:rsidRDefault="00307717" w:rsidP="00867628">
      <w:pPr>
        <w:ind w:left="180" w:hanging="90"/>
      </w:pPr>
      <w:r w:rsidRPr="00307717">
        <w:rPr>
          <w:vertAlign w:val="superscript"/>
        </w:rPr>
        <w:t>8</w:t>
      </w:r>
      <w:r w:rsidRPr="00307717">
        <w:t>Stack testing was performed while three units were operating</w:t>
      </w:r>
      <w:r w:rsidR="00382D90">
        <w:t>; 25% SF added.</w:t>
      </w:r>
    </w:p>
    <w:p w:rsidR="00C81E2D" w:rsidRPr="00235AF6" w:rsidRDefault="00C81E2D" w:rsidP="00867628">
      <w:pPr>
        <w:jc w:val="center"/>
        <w:rPr>
          <w:b/>
        </w:rPr>
      </w:pPr>
      <w:r>
        <w:rPr>
          <w:highlight w:val="yellow"/>
        </w:rPr>
        <w:br w:type="page"/>
      </w:r>
      <w:r w:rsidRPr="00235AF6">
        <w:rPr>
          <w:b/>
        </w:rPr>
        <w:lastRenderedPageBreak/>
        <w:t>Table 1b</w:t>
      </w:r>
    </w:p>
    <w:tbl>
      <w:tblPr>
        <w:tblStyle w:val="TableGrid"/>
        <w:tblW w:w="13455" w:type="dxa"/>
        <w:tblInd w:w="198" w:type="dxa"/>
        <w:tblLook w:val="04A0" w:firstRow="1" w:lastRow="0" w:firstColumn="1" w:lastColumn="0" w:noHBand="0" w:noVBand="1"/>
      </w:tblPr>
      <w:tblGrid>
        <w:gridCol w:w="899"/>
        <w:gridCol w:w="2881"/>
        <w:gridCol w:w="1800"/>
        <w:gridCol w:w="1890"/>
        <w:gridCol w:w="2610"/>
        <w:gridCol w:w="1485"/>
        <w:gridCol w:w="1890"/>
      </w:tblGrid>
      <w:tr w:rsidR="00867628" w:rsidRPr="00245BEA" w:rsidTr="005F6BD4">
        <w:tc>
          <w:tcPr>
            <w:tcW w:w="899" w:type="dxa"/>
            <w:shd w:val="clear" w:color="auto" w:fill="D9D9D9" w:themeFill="background1" w:themeFillShade="D9"/>
          </w:tcPr>
          <w:p w:rsidR="00867628" w:rsidRPr="006907E4" w:rsidRDefault="00867628" w:rsidP="00867628">
            <w:pPr>
              <w:jc w:val="center"/>
            </w:pPr>
            <w:r w:rsidRPr="006907E4">
              <w:t>Source ID</w:t>
            </w:r>
          </w:p>
        </w:tc>
        <w:tc>
          <w:tcPr>
            <w:tcW w:w="2881" w:type="dxa"/>
            <w:shd w:val="clear" w:color="auto" w:fill="D9D9D9" w:themeFill="background1" w:themeFillShade="D9"/>
            <w:vAlign w:val="center"/>
          </w:tcPr>
          <w:p w:rsidR="00867628" w:rsidRPr="006907E4" w:rsidRDefault="00867628" w:rsidP="00867628">
            <w:pPr>
              <w:jc w:val="center"/>
            </w:pPr>
            <w:r w:rsidRPr="006907E4">
              <w:t>Source Name</w:t>
            </w:r>
          </w:p>
        </w:tc>
        <w:tc>
          <w:tcPr>
            <w:tcW w:w="1800" w:type="dxa"/>
            <w:shd w:val="clear" w:color="auto" w:fill="D9D9D9" w:themeFill="background1" w:themeFillShade="D9"/>
            <w:vAlign w:val="center"/>
          </w:tcPr>
          <w:p w:rsidR="00867628" w:rsidRPr="006907E4" w:rsidRDefault="00867628" w:rsidP="00867628">
            <w:pPr>
              <w:jc w:val="center"/>
            </w:pPr>
            <w:r w:rsidRPr="006907E4">
              <w:t>Rated Capacity</w:t>
            </w:r>
            <w:r>
              <w:br/>
              <w:t>(MMBtu/</w:t>
            </w:r>
            <w:proofErr w:type="spellStart"/>
            <w:r>
              <w:t>hr</w:t>
            </w:r>
            <w:proofErr w:type="spellEnd"/>
            <w:r>
              <w:t>)</w:t>
            </w:r>
          </w:p>
        </w:tc>
        <w:tc>
          <w:tcPr>
            <w:tcW w:w="1890" w:type="dxa"/>
            <w:shd w:val="clear" w:color="auto" w:fill="D9D9D9" w:themeFill="background1" w:themeFillShade="D9"/>
          </w:tcPr>
          <w:p w:rsidR="00867628" w:rsidRPr="00751D71" w:rsidRDefault="00867628" w:rsidP="00867628">
            <w:pPr>
              <w:jc w:val="center"/>
              <w:rPr>
                <w:sz w:val="22"/>
                <w:szCs w:val="22"/>
              </w:rPr>
            </w:pPr>
            <w:r>
              <w:rPr>
                <w:sz w:val="22"/>
                <w:szCs w:val="22"/>
              </w:rPr>
              <w:t>Emission Factor (EF)</w:t>
            </w:r>
          </w:p>
        </w:tc>
        <w:tc>
          <w:tcPr>
            <w:tcW w:w="2610" w:type="dxa"/>
            <w:shd w:val="clear" w:color="auto" w:fill="D9D9D9" w:themeFill="background1" w:themeFillShade="D9"/>
            <w:vAlign w:val="center"/>
          </w:tcPr>
          <w:p w:rsidR="00867628" w:rsidRPr="00751D71" w:rsidRDefault="00867628" w:rsidP="00867628">
            <w:pPr>
              <w:jc w:val="center"/>
              <w:rPr>
                <w:sz w:val="22"/>
                <w:szCs w:val="22"/>
              </w:rPr>
            </w:pPr>
            <w:r>
              <w:rPr>
                <w:sz w:val="22"/>
                <w:szCs w:val="22"/>
              </w:rPr>
              <w:t>EF Source</w:t>
            </w:r>
          </w:p>
        </w:tc>
        <w:tc>
          <w:tcPr>
            <w:tcW w:w="1485" w:type="dxa"/>
            <w:shd w:val="clear" w:color="auto" w:fill="D9D9D9" w:themeFill="background1" w:themeFillShade="D9"/>
          </w:tcPr>
          <w:p w:rsidR="00867628" w:rsidRPr="00751D71" w:rsidRDefault="00867628" w:rsidP="00867628">
            <w:pPr>
              <w:jc w:val="center"/>
              <w:rPr>
                <w:sz w:val="22"/>
                <w:szCs w:val="22"/>
              </w:rPr>
            </w:pPr>
            <w:r w:rsidRPr="00751D71">
              <w:rPr>
                <w:sz w:val="22"/>
                <w:szCs w:val="22"/>
              </w:rPr>
              <w:t>PTE of VOC (TPY)</w:t>
            </w:r>
          </w:p>
        </w:tc>
        <w:tc>
          <w:tcPr>
            <w:tcW w:w="1890" w:type="dxa"/>
            <w:shd w:val="clear" w:color="auto" w:fill="D9D9D9" w:themeFill="background1" w:themeFillShade="D9"/>
            <w:vAlign w:val="center"/>
          </w:tcPr>
          <w:p w:rsidR="00867628" w:rsidRPr="00190BEA" w:rsidRDefault="00867628" w:rsidP="00867628">
            <w:pPr>
              <w:jc w:val="center"/>
              <w:rPr>
                <w:sz w:val="22"/>
                <w:szCs w:val="22"/>
                <w:vertAlign w:val="superscript"/>
              </w:rPr>
            </w:pPr>
            <w:r w:rsidRPr="00751D71">
              <w:rPr>
                <w:sz w:val="22"/>
                <w:szCs w:val="22"/>
              </w:rPr>
              <w:t>RACT (VOC)</w:t>
            </w:r>
          </w:p>
        </w:tc>
      </w:tr>
      <w:tr w:rsidR="00867628" w:rsidRPr="00245BEA" w:rsidTr="005F6BD4">
        <w:tc>
          <w:tcPr>
            <w:tcW w:w="899" w:type="dxa"/>
          </w:tcPr>
          <w:p w:rsidR="00867628" w:rsidRPr="006907E4" w:rsidRDefault="00253873" w:rsidP="00FE1E62">
            <w:pPr>
              <w:jc w:val="center"/>
            </w:pPr>
            <w:bookmarkStart w:id="9" w:name="_Hlk5607894"/>
            <w:r>
              <w:t>0</w:t>
            </w:r>
            <w:r w:rsidR="00867628">
              <w:t>55</w:t>
            </w:r>
          </w:p>
        </w:tc>
        <w:tc>
          <w:tcPr>
            <w:tcW w:w="2881" w:type="dxa"/>
          </w:tcPr>
          <w:p w:rsidR="00867628" w:rsidRPr="006907E4" w:rsidRDefault="00867628" w:rsidP="00FE1E62">
            <w:pPr>
              <w:jc w:val="center"/>
            </w:pPr>
            <w:r w:rsidRPr="003D3067">
              <w:t>EMS Boiler</w:t>
            </w:r>
          </w:p>
        </w:tc>
        <w:tc>
          <w:tcPr>
            <w:tcW w:w="1800" w:type="dxa"/>
          </w:tcPr>
          <w:p w:rsidR="00867628" w:rsidRPr="006907E4" w:rsidRDefault="00867628" w:rsidP="00FE1E62">
            <w:pPr>
              <w:jc w:val="center"/>
            </w:pPr>
            <w:r w:rsidRPr="003D3067">
              <w:t>62.3</w:t>
            </w:r>
          </w:p>
        </w:tc>
        <w:tc>
          <w:tcPr>
            <w:tcW w:w="1890" w:type="dxa"/>
          </w:tcPr>
          <w:p w:rsidR="00867628" w:rsidRPr="002B1F05" w:rsidRDefault="00861B5F" w:rsidP="00FE1E62">
            <w:pPr>
              <w:jc w:val="center"/>
            </w:pPr>
            <w:r w:rsidRPr="002B1F05">
              <w:t xml:space="preserve">5.67 </w:t>
            </w:r>
            <w:proofErr w:type="spellStart"/>
            <w:r w:rsidRPr="002B1F05">
              <w:t>lb</w:t>
            </w:r>
            <w:proofErr w:type="spellEnd"/>
            <w:r w:rsidRPr="002B1F05">
              <w:t>/</w:t>
            </w:r>
            <w:proofErr w:type="spellStart"/>
            <w:r w:rsidRPr="002B1F05">
              <w:t>MMcf</w:t>
            </w:r>
            <w:proofErr w:type="spellEnd"/>
          </w:p>
        </w:tc>
        <w:tc>
          <w:tcPr>
            <w:tcW w:w="2610" w:type="dxa"/>
          </w:tcPr>
          <w:p w:rsidR="00867628" w:rsidRPr="002B1F05" w:rsidRDefault="00861B5F" w:rsidP="00FE1E62">
            <w:pPr>
              <w:jc w:val="center"/>
            </w:pPr>
            <w:r w:rsidRPr="002B1F05">
              <w:t>AP-42</w:t>
            </w:r>
            <w:r w:rsidR="002B1F05" w:rsidRPr="002B1F05">
              <w:rPr>
                <w:vertAlign w:val="superscript"/>
              </w:rPr>
              <w:t>1</w:t>
            </w:r>
          </w:p>
        </w:tc>
        <w:tc>
          <w:tcPr>
            <w:tcW w:w="1485" w:type="dxa"/>
            <w:shd w:val="clear" w:color="auto" w:fill="auto"/>
          </w:tcPr>
          <w:p w:rsidR="00867628" w:rsidRPr="002B1F05" w:rsidRDefault="002B1F05" w:rsidP="00FE1E62">
            <w:pPr>
              <w:jc w:val="center"/>
              <w:rPr>
                <w:vertAlign w:val="superscript"/>
              </w:rPr>
            </w:pPr>
            <w:r>
              <w:t xml:space="preserve"> </w:t>
            </w:r>
            <w:r w:rsidR="00867628" w:rsidRPr="002B1F05">
              <w:t>0.76</w:t>
            </w:r>
            <w:r>
              <w:rPr>
                <w:vertAlign w:val="superscript"/>
              </w:rPr>
              <w:t>2</w:t>
            </w:r>
          </w:p>
        </w:tc>
        <w:tc>
          <w:tcPr>
            <w:tcW w:w="1890" w:type="dxa"/>
          </w:tcPr>
          <w:p w:rsidR="00867628" w:rsidRPr="002B1F05" w:rsidRDefault="00867628" w:rsidP="00FE1E62">
            <w:pPr>
              <w:jc w:val="center"/>
              <w:rPr>
                <w:highlight w:val="yellow"/>
                <w:vertAlign w:val="superscript"/>
              </w:rPr>
            </w:pPr>
            <w:r w:rsidRPr="00D82C50">
              <w:t>Exempt</w:t>
            </w:r>
            <w:r w:rsidR="002B1F05">
              <w:rPr>
                <w:vertAlign w:val="superscript"/>
              </w:rPr>
              <w:t>3</w:t>
            </w:r>
          </w:p>
        </w:tc>
      </w:tr>
      <w:bookmarkEnd w:id="9"/>
      <w:tr w:rsidR="00867628" w:rsidRPr="00245BEA" w:rsidTr="005F6BD4">
        <w:tc>
          <w:tcPr>
            <w:tcW w:w="899" w:type="dxa"/>
          </w:tcPr>
          <w:p w:rsidR="00867628" w:rsidRPr="006907E4" w:rsidRDefault="00867628" w:rsidP="00FE1E62">
            <w:pPr>
              <w:jc w:val="center"/>
            </w:pPr>
            <w:r w:rsidRPr="006907E4">
              <w:t>104</w:t>
            </w:r>
          </w:p>
        </w:tc>
        <w:tc>
          <w:tcPr>
            <w:tcW w:w="2881" w:type="dxa"/>
          </w:tcPr>
          <w:p w:rsidR="00867628" w:rsidRPr="006907E4" w:rsidRDefault="00867628" w:rsidP="00FE1E62">
            <w:pPr>
              <w:jc w:val="center"/>
            </w:pPr>
            <w:r w:rsidRPr="006907E4">
              <w:t>“D” Electric Furnace</w:t>
            </w:r>
          </w:p>
        </w:tc>
        <w:tc>
          <w:tcPr>
            <w:tcW w:w="1800" w:type="dxa"/>
          </w:tcPr>
          <w:p w:rsidR="00867628" w:rsidRPr="006907E4" w:rsidRDefault="00867628" w:rsidP="00FE1E62">
            <w:pPr>
              <w:jc w:val="center"/>
            </w:pPr>
            <w:r w:rsidRPr="006907E4">
              <w:t>76.5</w:t>
            </w:r>
          </w:p>
        </w:tc>
        <w:tc>
          <w:tcPr>
            <w:tcW w:w="1890" w:type="dxa"/>
          </w:tcPr>
          <w:p w:rsidR="00867628" w:rsidRPr="0053176A" w:rsidRDefault="005F6BD4" w:rsidP="00FE1E62">
            <w:pPr>
              <w:jc w:val="center"/>
              <w:rPr>
                <w:highlight w:val="yellow"/>
              </w:rPr>
            </w:pPr>
            <w:r w:rsidRPr="00A8360B">
              <w:t>0.</w:t>
            </w:r>
            <w:r w:rsidR="007D5932">
              <w:t>636</w:t>
            </w:r>
            <w:r w:rsidRPr="00A8360B">
              <w:t xml:space="preserve"> </w:t>
            </w:r>
            <w:proofErr w:type="spellStart"/>
            <w:r w:rsidRPr="00A8360B">
              <w:t>lb</w:t>
            </w:r>
            <w:proofErr w:type="spellEnd"/>
            <w:r w:rsidRPr="00A8360B">
              <w:t>/ton</w:t>
            </w:r>
          </w:p>
        </w:tc>
        <w:tc>
          <w:tcPr>
            <w:tcW w:w="2610" w:type="dxa"/>
          </w:tcPr>
          <w:p w:rsidR="00867628" w:rsidRPr="006D1E98" w:rsidRDefault="005F6BD4" w:rsidP="00FE1E62">
            <w:pPr>
              <w:jc w:val="center"/>
            </w:pPr>
            <w:r>
              <w:t>2005 Stack Test</w:t>
            </w:r>
          </w:p>
        </w:tc>
        <w:tc>
          <w:tcPr>
            <w:tcW w:w="1485" w:type="dxa"/>
            <w:shd w:val="clear" w:color="auto" w:fill="auto"/>
          </w:tcPr>
          <w:p w:rsidR="00867628" w:rsidRPr="00161A60" w:rsidRDefault="00161A60" w:rsidP="00FE1E62">
            <w:pPr>
              <w:jc w:val="center"/>
              <w:rPr>
                <w:highlight w:val="yellow"/>
                <w:vertAlign w:val="superscript"/>
              </w:rPr>
            </w:pPr>
            <w:r>
              <w:t xml:space="preserve"> </w:t>
            </w:r>
            <w:r w:rsidR="007D5932">
              <w:t>492.9</w:t>
            </w:r>
            <w:r>
              <w:rPr>
                <w:vertAlign w:val="superscript"/>
              </w:rPr>
              <w:t>4</w:t>
            </w:r>
          </w:p>
        </w:tc>
        <w:tc>
          <w:tcPr>
            <w:tcW w:w="1890" w:type="dxa"/>
            <w:shd w:val="clear" w:color="auto" w:fill="auto"/>
          </w:tcPr>
          <w:p w:rsidR="00867628" w:rsidRPr="00445EB9" w:rsidRDefault="00445EB9" w:rsidP="00FE1E62">
            <w:pPr>
              <w:jc w:val="center"/>
              <w:rPr>
                <w:highlight w:val="yellow"/>
                <w:vertAlign w:val="superscript"/>
              </w:rPr>
            </w:pPr>
            <w:r>
              <w:t xml:space="preserve"> </w:t>
            </w:r>
            <w:r w:rsidR="00867628" w:rsidRPr="00E768CD">
              <w:t>129.99(c)</w:t>
            </w:r>
            <w:r>
              <w:rPr>
                <w:vertAlign w:val="superscript"/>
              </w:rPr>
              <w:t>5</w:t>
            </w:r>
          </w:p>
        </w:tc>
      </w:tr>
      <w:tr w:rsidR="007D5932" w:rsidTr="005F6BD4">
        <w:tc>
          <w:tcPr>
            <w:tcW w:w="899" w:type="dxa"/>
          </w:tcPr>
          <w:p w:rsidR="007D5932" w:rsidRDefault="007D5932" w:rsidP="007D5932">
            <w:pPr>
              <w:jc w:val="center"/>
            </w:pPr>
            <w:r>
              <w:t>136</w:t>
            </w:r>
          </w:p>
        </w:tc>
        <w:tc>
          <w:tcPr>
            <w:tcW w:w="2881" w:type="dxa"/>
          </w:tcPr>
          <w:p w:rsidR="007D5932" w:rsidRDefault="007D5932" w:rsidP="007D5932">
            <w:pPr>
              <w:jc w:val="center"/>
            </w:pPr>
            <w:r>
              <w:t>BHT Furnace #2</w:t>
            </w:r>
          </w:p>
        </w:tc>
        <w:tc>
          <w:tcPr>
            <w:tcW w:w="1800" w:type="dxa"/>
          </w:tcPr>
          <w:p w:rsidR="007D5932" w:rsidRDefault="007D5932" w:rsidP="007D5932">
            <w:pPr>
              <w:jc w:val="center"/>
            </w:pPr>
            <w:r>
              <w:t>36.8</w:t>
            </w:r>
          </w:p>
        </w:tc>
        <w:tc>
          <w:tcPr>
            <w:tcW w:w="1890" w:type="dxa"/>
          </w:tcPr>
          <w:p w:rsidR="007D5932" w:rsidRPr="002B1F05" w:rsidRDefault="007D5932" w:rsidP="007D5932">
            <w:pPr>
              <w:jc w:val="center"/>
            </w:pPr>
            <w:r w:rsidRPr="002B1F05">
              <w:t xml:space="preserve">5.67 </w:t>
            </w:r>
            <w:proofErr w:type="spellStart"/>
            <w:r w:rsidRPr="002B1F05">
              <w:t>lb</w:t>
            </w:r>
            <w:proofErr w:type="spellEnd"/>
            <w:r w:rsidRPr="002B1F05">
              <w:t>/</w:t>
            </w:r>
            <w:proofErr w:type="spellStart"/>
            <w:r w:rsidRPr="002B1F05">
              <w:t>MMcf</w:t>
            </w:r>
            <w:proofErr w:type="spellEnd"/>
          </w:p>
        </w:tc>
        <w:tc>
          <w:tcPr>
            <w:tcW w:w="2610" w:type="dxa"/>
          </w:tcPr>
          <w:p w:rsidR="007D5932" w:rsidRPr="002B1F05" w:rsidRDefault="007D5932" w:rsidP="007D5932">
            <w:pPr>
              <w:jc w:val="center"/>
            </w:pPr>
            <w:r w:rsidRPr="002B1F05">
              <w:t>AP-42</w:t>
            </w:r>
            <w:r w:rsidRPr="002B1F05">
              <w:rPr>
                <w:vertAlign w:val="superscript"/>
              </w:rPr>
              <w:t>1</w:t>
            </w:r>
          </w:p>
        </w:tc>
        <w:tc>
          <w:tcPr>
            <w:tcW w:w="1485" w:type="dxa"/>
            <w:shd w:val="clear" w:color="auto" w:fill="auto"/>
          </w:tcPr>
          <w:p w:rsidR="007D5932" w:rsidRPr="0009128E" w:rsidRDefault="007D5932" w:rsidP="007D5932">
            <w:pPr>
              <w:jc w:val="center"/>
            </w:pPr>
            <w:r>
              <w:t>0.91</w:t>
            </w:r>
          </w:p>
        </w:tc>
        <w:tc>
          <w:tcPr>
            <w:tcW w:w="1890" w:type="dxa"/>
          </w:tcPr>
          <w:p w:rsidR="007D5932" w:rsidRDefault="007D5932" w:rsidP="007D5932">
            <w:pPr>
              <w:jc w:val="center"/>
            </w:pPr>
            <w:r w:rsidRPr="00E768CD">
              <w:t>Exempt</w:t>
            </w:r>
          </w:p>
        </w:tc>
      </w:tr>
      <w:tr w:rsidR="007D5932" w:rsidTr="005F6BD4">
        <w:tc>
          <w:tcPr>
            <w:tcW w:w="899" w:type="dxa"/>
          </w:tcPr>
          <w:p w:rsidR="007D5932" w:rsidRDefault="007D5932" w:rsidP="007D5932">
            <w:pPr>
              <w:jc w:val="center"/>
            </w:pPr>
            <w:r>
              <w:t>136</w:t>
            </w:r>
          </w:p>
        </w:tc>
        <w:tc>
          <w:tcPr>
            <w:tcW w:w="2881" w:type="dxa"/>
          </w:tcPr>
          <w:p w:rsidR="007D5932" w:rsidRDefault="007D5932" w:rsidP="007D5932">
            <w:pPr>
              <w:jc w:val="center"/>
            </w:pPr>
            <w:r>
              <w:t>BHT Furnace #3</w:t>
            </w:r>
          </w:p>
        </w:tc>
        <w:tc>
          <w:tcPr>
            <w:tcW w:w="1800" w:type="dxa"/>
          </w:tcPr>
          <w:p w:rsidR="007D5932" w:rsidRDefault="007D5932" w:rsidP="007D5932">
            <w:pPr>
              <w:jc w:val="center"/>
            </w:pPr>
            <w:r>
              <w:t>23.0</w:t>
            </w:r>
          </w:p>
        </w:tc>
        <w:tc>
          <w:tcPr>
            <w:tcW w:w="1890" w:type="dxa"/>
          </w:tcPr>
          <w:p w:rsidR="007D5932" w:rsidRPr="002B1F05" w:rsidRDefault="007D5932" w:rsidP="007D5932">
            <w:pPr>
              <w:jc w:val="center"/>
            </w:pPr>
            <w:r w:rsidRPr="002B1F05">
              <w:t xml:space="preserve">5.67 </w:t>
            </w:r>
            <w:proofErr w:type="spellStart"/>
            <w:r w:rsidRPr="002B1F05">
              <w:t>lb</w:t>
            </w:r>
            <w:proofErr w:type="spellEnd"/>
            <w:r w:rsidRPr="002B1F05">
              <w:t>/</w:t>
            </w:r>
            <w:proofErr w:type="spellStart"/>
            <w:r w:rsidRPr="002B1F05">
              <w:t>MMcf</w:t>
            </w:r>
            <w:proofErr w:type="spellEnd"/>
          </w:p>
        </w:tc>
        <w:tc>
          <w:tcPr>
            <w:tcW w:w="2610" w:type="dxa"/>
          </w:tcPr>
          <w:p w:rsidR="007D5932" w:rsidRPr="002B1F05" w:rsidRDefault="007D5932" w:rsidP="007D5932">
            <w:pPr>
              <w:jc w:val="center"/>
            </w:pPr>
            <w:r w:rsidRPr="002B1F05">
              <w:t>AP-42</w:t>
            </w:r>
            <w:r w:rsidRPr="002B1F05">
              <w:rPr>
                <w:vertAlign w:val="superscript"/>
              </w:rPr>
              <w:t>1</w:t>
            </w:r>
          </w:p>
        </w:tc>
        <w:tc>
          <w:tcPr>
            <w:tcW w:w="1485" w:type="dxa"/>
            <w:shd w:val="clear" w:color="auto" w:fill="auto"/>
          </w:tcPr>
          <w:p w:rsidR="007D5932" w:rsidRPr="0009128E" w:rsidRDefault="007D5932" w:rsidP="007D5932">
            <w:pPr>
              <w:jc w:val="center"/>
            </w:pPr>
            <w:r>
              <w:t>0.57</w:t>
            </w:r>
          </w:p>
        </w:tc>
        <w:tc>
          <w:tcPr>
            <w:tcW w:w="1890" w:type="dxa"/>
          </w:tcPr>
          <w:p w:rsidR="007D5932" w:rsidRDefault="007D5932" w:rsidP="007D5932">
            <w:pPr>
              <w:jc w:val="center"/>
            </w:pPr>
            <w:r w:rsidRPr="00E768CD">
              <w:t>Exempt</w:t>
            </w:r>
          </w:p>
        </w:tc>
      </w:tr>
      <w:tr w:rsidR="007D5932" w:rsidTr="005F6BD4">
        <w:tc>
          <w:tcPr>
            <w:tcW w:w="899" w:type="dxa"/>
          </w:tcPr>
          <w:p w:rsidR="007D5932" w:rsidRDefault="007D5932" w:rsidP="007D5932">
            <w:pPr>
              <w:jc w:val="center"/>
            </w:pPr>
            <w:r>
              <w:t>136</w:t>
            </w:r>
          </w:p>
        </w:tc>
        <w:tc>
          <w:tcPr>
            <w:tcW w:w="2881" w:type="dxa"/>
          </w:tcPr>
          <w:p w:rsidR="007D5932" w:rsidRDefault="007D5932" w:rsidP="007D5932">
            <w:pPr>
              <w:jc w:val="center"/>
            </w:pPr>
            <w:r>
              <w:t>BHT Furnace #4</w:t>
            </w:r>
          </w:p>
        </w:tc>
        <w:tc>
          <w:tcPr>
            <w:tcW w:w="1800" w:type="dxa"/>
          </w:tcPr>
          <w:p w:rsidR="007D5932" w:rsidRDefault="007D5932" w:rsidP="007D5932">
            <w:pPr>
              <w:jc w:val="center"/>
            </w:pPr>
            <w:r>
              <w:t>35.0</w:t>
            </w:r>
          </w:p>
        </w:tc>
        <w:tc>
          <w:tcPr>
            <w:tcW w:w="1890" w:type="dxa"/>
          </w:tcPr>
          <w:p w:rsidR="007D5932" w:rsidRPr="002B1F05" w:rsidRDefault="007D5932" w:rsidP="007D5932">
            <w:pPr>
              <w:jc w:val="center"/>
            </w:pPr>
            <w:r w:rsidRPr="002B1F05">
              <w:t xml:space="preserve">5.67 </w:t>
            </w:r>
            <w:proofErr w:type="spellStart"/>
            <w:r w:rsidRPr="002B1F05">
              <w:t>lb</w:t>
            </w:r>
            <w:proofErr w:type="spellEnd"/>
            <w:r w:rsidRPr="002B1F05">
              <w:t>/</w:t>
            </w:r>
            <w:proofErr w:type="spellStart"/>
            <w:r w:rsidRPr="002B1F05">
              <w:t>MMcf</w:t>
            </w:r>
            <w:proofErr w:type="spellEnd"/>
          </w:p>
        </w:tc>
        <w:tc>
          <w:tcPr>
            <w:tcW w:w="2610" w:type="dxa"/>
          </w:tcPr>
          <w:p w:rsidR="007D5932" w:rsidRPr="002B1F05" w:rsidRDefault="007D5932" w:rsidP="007D5932">
            <w:pPr>
              <w:jc w:val="center"/>
            </w:pPr>
            <w:r w:rsidRPr="002B1F05">
              <w:t>AP-42</w:t>
            </w:r>
            <w:r w:rsidRPr="002B1F05">
              <w:rPr>
                <w:vertAlign w:val="superscript"/>
              </w:rPr>
              <w:t>1</w:t>
            </w:r>
          </w:p>
        </w:tc>
        <w:tc>
          <w:tcPr>
            <w:tcW w:w="1485" w:type="dxa"/>
            <w:shd w:val="clear" w:color="auto" w:fill="auto"/>
          </w:tcPr>
          <w:p w:rsidR="007D5932" w:rsidRPr="0009128E" w:rsidRDefault="007D5932" w:rsidP="007D5932">
            <w:pPr>
              <w:jc w:val="center"/>
            </w:pPr>
            <w:r>
              <w:t>0.87</w:t>
            </w:r>
          </w:p>
        </w:tc>
        <w:tc>
          <w:tcPr>
            <w:tcW w:w="1890" w:type="dxa"/>
          </w:tcPr>
          <w:p w:rsidR="007D5932" w:rsidRDefault="007D5932" w:rsidP="007D5932">
            <w:pPr>
              <w:jc w:val="center"/>
            </w:pPr>
            <w:r w:rsidRPr="00E768CD">
              <w:t>Exempt</w:t>
            </w:r>
          </w:p>
        </w:tc>
      </w:tr>
      <w:tr w:rsidR="007D5932" w:rsidTr="005F6BD4">
        <w:tc>
          <w:tcPr>
            <w:tcW w:w="899" w:type="dxa"/>
          </w:tcPr>
          <w:p w:rsidR="007D5932" w:rsidRDefault="007D5932" w:rsidP="007D5932">
            <w:pPr>
              <w:jc w:val="center"/>
            </w:pPr>
            <w:r>
              <w:t>136</w:t>
            </w:r>
          </w:p>
        </w:tc>
        <w:tc>
          <w:tcPr>
            <w:tcW w:w="2881" w:type="dxa"/>
          </w:tcPr>
          <w:p w:rsidR="007D5932" w:rsidRDefault="007D5932" w:rsidP="007D5932">
            <w:pPr>
              <w:jc w:val="center"/>
            </w:pPr>
            <w:r>
              <w:t>BHT Furnace #5</w:t>
            </w:r>
          </w:p>
        </w:tc>
        <w:tc>
          <w:tcPr>
            <w:tcW w:w="1800" w:type="dxa"/>
          </w:tcPr>
          <w:p w:rsidR="007D5932" w:rsidRDefault="007D5932" w:rsidP="007D5932">
            <w:pPr>
              <w:jc w:val="center"/>
            </w:pPr>
            <w:r>
              <w:t>36.8</w:t>
            </w:r>
          </w:p>
        </w:tc>
        <w:tc>
          <w:tcPr>
            <w:tcW w:w="1890" w:type="dxa"/>
          </w:tcPr>
          <w:p w:rsidR="007D5932" w:rsidRPr="002B1F05" w:rsidRDefault="007D5932" w:rsidP="007D5932">
            <w:pPr>
              <w:jc w:val="center"/>
            </w:pPr>
            <w:r w:rsidRPr="002B1F05">
              <w:t xml:space="preserve">5.67 </w:t>
            </w:r>
            <w:proofErr w:type="spellStart"/>
            <w:r w:rsidRPr="002B1F05">
              <w:t>lb</w:t>
            </w:r>
            <w:proofErr w:type="spellEnd"/>
            <w:r w:rsidRPr="002B1F05">
              <w:t>/</w:t>
            </w:r>
            <w:proofErr w:type="spellStart"/>
            <w:r w:rsidRPr="002B1F05">
              <w:t>MMcf</w:t>
            </w:r>
            <w:proofErr w:type="spellEnd"/>
          </w:p>
        </w:tc>
        <w:tc>
          <w:tcPr>
            <w:tcW w:w="2610" w:type="dxa"/>
          </w:tcPr>
          <w:p w:rsidR="007D5932" w:rsidRPr="002B1F05" w:rsidRDefault="007D5932" w:rsidP="007D5932">
            <w:pPr>
              <w:jc w:val="center"/>
            </w:pPr>
            <w:r w:rsidRPr="002B1F05">
              <w:t>AP-42</w:t>
            </w:r>
            <w:r w:rsidRPr="002B1F05">
              <w:rPr>
                <w:vertAlign w:val="superscript"/>
              </w:rPr>
              <w:t>1</w:t>
            </w:r>
          </w:p>
        </w:tc>
        <w:tc>
          <w:tcPr>
            <w:tcW w:w="1485" w:type="dxa"/>
            <w:shd w:val="clear" w:color="auto" w:fill="auto"/>
          </w:tcPr>
          <w:p w:rsidR="007D5932" w:rsidRPr="0009128E" w:rsidRDefault="007D5932" w:rsidP="007D5932">
            <w:pPr>
              <w:jc w:val="center"/>
            </w:pPr>
            <w:r>
              <w:t>0.91</w:t>
            </w:r>
          </w:p>
        </w:tc>
        <w:tc>
          <w:tcPr>
            <w:tcW w:w="1890" w:type="dxa"/>
          </w:tcPr>
          <w:p w:rsidR="007D5932" w:rsidRDefault="007D5932" w:rsidP="007D5932">
            <w:pPr>
              <w:jc w:val="center"/>
            </w:pPr>
            <w:r w:rsidRPr="00E768CD">
              <w:t>Exempt</w:t>
            </w:r>
          </w:p>
        </w:tc>
      </w:tr>
      <w:tr w:rsidR="007D5932" w:rsidTr="005F6BD4">
        <w:tc>
          <w:tcPr>
            <w:tcW w:w="899" w:type="dxa"/>
          </w:tcPr>
          <w:p w:rsidR="007D5932" w:rsidRDefault="007D5932" w:rsidP="007D5932">
            <w:pPr>
              <w:jc w:val="center"/>
            </w:pPr>
            <w:r>
              <w:t>136</w:t>
            </w:r>
          </w:p>
        </w:tc>
        <w:tc>
          <w:tcPr>
            <w:tcW w:w="2881" w:type="dxa"/>
          </w:tcPr>
          <w:p w:rsidR="007D5932" w:rsidRDefault="007D5932" w:rsidP="007D5932">
            <w:pPr>
              <w:jc w:val="center"/>
            </w:pPr>
            <w:r>
              <w:t>BHT Furnace #6</w:t>
            </w:r>
          </w:p>
        </w:tc>
        <w:tc>
          <w:tcPr>
            <w:tcW w:w="1800" w:type="dxa"/>
          </w:tcPr>
          <w:p w:rsidR="007D5932" w:rsidRDefault="007D5932" w:rsidP="007D5932">
            <w:pPr>
              <w:jc w:val="center"/>
            </w:pPr>
            <w:r>
              <w:t>24.0</w:t>
            </w:r>
          </w:p>
        </w:tc>
        <w:tc>
          <w:tcPr>
            <w:tcW w:w="1890" w:type="dxa"/>
          </w:tcPr>
          <w:p w:rsidR="007D5932" w:rsidRPr="002B1F05" w:rsidRDefault="007D5932" w:rsidP="007D5932">
            <w:pPr>
              <w:jc w:val="center"/>
            </w:pPr>
            <w:r w:rsidRPr="002B1F05">
              <w:t xml:space="preserve">5.67 </w:t>
            </w:r>
            <w:proofErr w:type="spellStart"/>
            <w:r w:rsidRPr="002B1F05">
              <w:t>lb</w:t>
            </w:r>
            <w:proofErr w:type="spellEnd"/>
            <w:r w:rsidRPr="002B1F05">
              <w:t>/</w:t>
            </w:r>
            <w:proofErr w:type="spellStart"/>
            <w:r w:rsidRPr="002B1F05">
              <w:t>MMcf</w:t>
            </w:r>
            <w:proofErr w:type="spellEnd"/>
          </w:p>
        </w:tc>
        <w:tc>
          <w:tcPr>
            <w:tcW w:w="2610" w:type="dxa"/>
          </w:tcPr>
          <w:p w:rsidR="007D5932" w:rsidRPr="002B1F05" w:rsidRDefault="007D5932" w:rsidP="007D5932">
            <w:pPr>
              <w:jc w:val="center"/>
            </w:pPr>
            <w:r w:rsidRPr="002B1F05">
              <w:t>AP-42</w:t>
            </w:r>
            <w:r w:rsidRPr="002B1F05">
              <w:rPr>
                <w:vertAlign w:val="superscript"/>
              </w:rPr>
              <w:t>1</w:t>
            </w:r>
          </w:p>
        </w:tc>
        <w:tc>
          <w:tcPr>
            <w:tcW w:w="1485" w:type="dxa"/>
            <w:shd w:val="clear" w:color="auto" w:fill="auto"/>
          </w:tcPr>
          <w:p w:rsidR="007D5932" w:rsidRPr="0009128E" w:rsidRDefault="007D5932" w:rsidP="007D5932">
            <w:pPr>
              <w:jc w:val="center"/>
            </w:pPr>
            <w:r>
              <w:t>0.60</w:t>
            </w:r>
          </w:p>
        </w:tc>
        <w:tc>
          <w:tcPr>
            <w:tcW w:w="1890" w:type="dxa"/>
          </w:tcPr>
          <w:p w:rsidR="007D5932" w:rsidRDefault="007D5932" w:rsidP="007D5932">
            <w:pPr>
              <w:jc w:val="center"/>
            </w:pPr>
            <w:r w:rsidRPr="00E768CD">
              <w:t>Exempt</w:t>
            </w:r>
          </w:p>
        </w:tc>
      </w:tr>
      <w:tr w:rsidR="007D5932" w:rsidTr="007D5932">
        <w:trPr>
          <w:trHeight w:val="161"/>
        </w:trPr>
        <w:tc>
          <w:tcPr>
            <w:tcW w:w="899" w:type="dxa"/>
          </w:tcPr>
          <w:p w:rsidR="007D5932" w:rsidRDefault="007D5932" w:rsidP="007D5932">
            <w:pPr>
              <w:jc w:val="center"/>
            </w:pPr>
            <w:r>
              <w:t>136</w:t>
            </w:r>
          </w:p>
        </w:tc>
        <w:tc>
          <w:tcPr>
            <w:tcW w:w="2881" w:type="dxa"/>
          </w:tcPr>
          <w:p w:rsidR="007D5932" w:rsidRDefault="007D5932" w:rsidP="007D5932">
            <w:pPr>
              <w:jc w:val="center"/>
            </w:pPr>
            <w:r>
              <w:t>BHT Furnace #7</w:t>
            </w:r>
          </w:p>
        </w:tc>
        <w:tc>
          <w:tcPr>
            <w:tcW w:w="1800" w:type="dxa"/>
          </w:tcPr>
          <w:p w:rsidR="007D5932" w:rsidRDefault="007D5932" w:rsidP="007D5932">
            <w:pPr>
              <w:jc w:val="center"/>
            </w:pPr>
            <w:r>
              <w:t>40.0</w:t>
            </w:r>
          </w:p>
        </w:tc>
        <w:tc>
          <w:tcPr>
            <w:tcW w:w="1890" w:type="dxa"/>
          </w:tcPr>
          <w:p w:rsidR="007D5932" w:rsidRPr="002B1F05" w:rsidRDefault="007D5932" w:rsidP="007D5932">
            <w:pPr>
              <w:jc w:val="center"/>
            </w:pPr>
            <w:r w:rsidRPr="002B1F05">
              <w:t xml:space="preserve">5.67 </w:t>
            </w:r>
            <w:proofErr w:type="spellStart"/>
            <w:r w:rsidRPr="002B1F05">
              <w:t>lb</w:t>
            </w:r>
            <w:proofErr w:type="spellEnd"/>
            <w:r w:rsidRPr="002B1F05">
              <w:t>/</w:t>
            </w:r>
            <w:proofErr w:type="spellStart"/>
            <w:r w:rsidRPr="002B1F05">
              <w:t>MMcf</w:t>
            </w:r>
            <w:proofErr w:type="spellEnd"/>
          </w:p>
        </w:tc>
        <w:tc>
          <w:tcPr>
            <w:tcW w:w="2610" w:type="dxa"/>
          </w:tcPr>
          <w:p w:rsidR="007D5932" w:rsidRPr="002B1F05" w:rsidRDefault="007D5932" w:rsidP="007D5932">
            <w:pPr>
              <w:jc w:val="center"/>
            </w:pPr>
            <w:r w:rsidRPr="002B1F05">
              <w:t>AP-42</w:t>
            </w:r>
            <w:r w:rsidRPr="002B1F05">
              <w:rPr>
                <w:vertAlign w:val="superscript"/>
              </w:rPr>
              <w:t>1</w:t>
            </w:r>
          </w:p>
        </w:tc>
        <w:tc>
          <w:tcPr>
            <w:tcW w:w="1485" w:type="dxa"/>
            <w:shd w:val="clear" w:color="auto" w:fill="auto"/>
          </w:tcPr>
          <w:p w:rsidR="007D5932" w:rsidRPr="0009128E" w:rsidRDefault="007D5932" w:rsidP="007D5932">
            <w:pPr>
              <w:jc w:val="center"/>
            </w:pPr>
            <w:r>
              <w:t>0.99</w:t>
            </w:r>
          </w:p>
        </w:tc>
        <w:tc>
          <w:tcPr>
            <w:tcW w:w="1890" w:type="dxa"/>
          </w:tcPr>
          <w:p w:rsidR="007D5932" w:rsidRDefault="007D5932" w:rsidP="007D5932">
            <w:pPr>
              <w:jc w:val="center"/>
            </w:pPr>
            <w:r w:rsidRPr="00E768CD">
              <w:t>Exempt</w:t>
            </w:r>
          </w:p>
        </w:tc>
      </w:tr>
      <w:tr w:rsidR="007D5932" w:rsidTr="005F6BD4">
        <w:tc>
          <w:tcPr>
            <w:tcW w:w="899" w:type="dxa"/>
          </w:tcPr>
          <w:p w:rsidR="007D5932" w:rsidRDefault="007D5932" w:rsidP="007D5932">
            <w:pPr>
              <w:jc w:val="center"/>
            </w:pPr>
            <w:r>
              <w:t>136</w:t>
            </w:r>
          </w:p>
        </w:tc>
        <w:tc>
          <w:tcPr>
            <w:tcW w:w="2881" w:type="dxa"/>
          </w:tcPr>
          <w:p w:rsidR="007D5932" w:rsidRDefault="007D5932" w:rsidP="007D5932">
            <w:pPr>
              <w:jc w:val="center"/>
            </w:pPr>
            <w:r>
              <w:t>BHT Furnace #8</w:t>
            </w:r>
          </w:p>
        </w:tc>
        <w:tc>
          <w:tcPr>
            <w:tcW w:w="1800" w:type="dxa"/>
          </w:tcPr>
          <w:p w:rsidR="007D5932" w:rsidRDefault="007D5932" w:rsidP="007D5932">
            <w:pPr>
              <w:jc w:val="center"/>
            </w:pPr>
            <w:r>
              <w:t>45.1</w:t>
            </w:r>
          </w:p>
        </w:tc>
        <w:tc>
          <w:tcPr>
            <w:tcW w:w="1890" w:type="dxa"/>
          </w:tcPr>
          <w:p w:rsidR="007D5932" w:rsidRPr="002B1F05" w:rsidRDefault="007D5932" w:rsidP="007D5932">
            <w:pPr>
              <w:jc w:val="center"/>
            </w:pPr>
            <w:r w:rsidRPr="002B1F05">
              <w:t xml:space="preserve">5.67 </w:t>
            </w:r>
            <w:proofErr w:type="spellStart"/>
            <w:r w:rsidRPr="002B1F05">
              <w:t>lb</w:t>
            </w:r>
            <w:proofErr w:type="spellEnd"/>
            <w:r w:rsidRPr="002B1F05">
              <w:t>/</w:t>
            </w:r>
            <w:proofErr w:type="spellStart"/>
            <w:r w:rsidRPr="002B1F05">
              <w:t>MMcf</w:t>
            </w:r>
            <w:proofErr w:type="spellEnd"/>
          </w:p>
        </w:tc>
        <w:tc>
          <w:tcPr>
            <w:tcW w:w="2610" w:type="dxa"/>
          </w:tcPr>
          <w:p w:rsidR="007D5932" w:rsidRPr="002B1F05" w:rsidRDefault="007D5932" w:rsidP="007D5932">
            <w:pPr>
              <w:jc w:val="center"/>
            </w:pPr>
            <w:r w:rsidRPr="002B1F05">
              <w:t>AP-42</w:t>
            </w:r>
            <w:r w:rsidRPr="002B1F05">
              <w:rPr>
                <w:vertAlign w:val="superscript"/>
              </w:rPr>
              <w:t>1</w:t>
            </w:r>
          </w:p>
        </w:tc>
        <w:tc>
          <w:tcPr>
            <w:tcW w:w="1485" w:type="dxa"/>
            <w:shd w:val="clear" w:color="auto" w:fill="auto"/>
          </w:tcPr>
          <w:p w:rsidR="007D5932" w:rsidRPr="0009128E" w:rsidRDefault="007D5932" w:rsidP="007D5932">
            <w:pPr>
              <w:jc w:val="center"/>
            </w:pPr>
            <w:r>
              <w:t>1.12</w:t>
            </w:r>
          </w:p>
        </w:tc>
        <w:tc>
          <w:tcPr>
            <w:tcW w:w="1890" w:type="dxa"/>
          </w:tcPr>
          <w:p w:rsidR="007D5932" w:rsidRPr="00532346" w:rsidRDefault="00532346" w:rsidP="007D5932">
            <w:pPr>
              <w:jc w:val="center"/>
              <w:rPr>
                <w:vertAlign w:val="superscript"/>
              </w:rPr>
            </w:pPr>
            <w:r>
              <w:t xml:space="preserve"> </w:t>
            </w:r>
            <w:r w:rsidR="007D5932" w:rsidRPr="00E768CD">
              <w:t>129.97(c)(2)</w:t>
            </w:r>
            <w:r>
              <w:rPr>
                <w:vertAlign w:val="superscript"/>
              </w:rPr>
              <w:t>6</w:t>
            </w:r>
          </w:p>
        </w:tc>
      </w:tr>
      <w:tr w:rsidR="007D5932" w:rsidTr="005F6BD4">
        <w:tc>
          <w:tcPr>
            <w:tcW w:w="899" w:type="dxa"/>
          </w:tcPr>
          <w:p w:rsidR="007D5932" w:rsidRDefault="007D5932" w:rsidP="007D5932">
            <w:pPr>
              <w:jc w:val="center"/>
            </w:pPr>
            <w:r>
              <w:t>136</w:t>
            </w:r>
          </w:p>
        </w:tc>
        <w:tc>
          <w:tcPr>
            <w:tcW w:w="2881" w:type="dxa"/>
          </w:tcPr>
          <w:p w:rsidR="007D5932" w:rsidRDefault="007D5932" w:rsidP="007D5932">
            <w:pPr>
              <w:jc w:val="center"/>
            </w:pPr>
            <w:r>
              <w:t>BHT Furnace #10</w:t>
            </w:r>
          </w:p>
        </w:tc>
        <w:tc>
          <w:tcPr>
            <w:tcW w:w="1800" w:type="dxa"/>
          </w:tcPr>
          <w:p w:rsidR="007D5932" w:rsidRDefault="007D5932" w:rsidP="007D5932">
            <w:pPr>
              <w:jc w:val="center"/>
            </w:pPr>
            <w:r>
              <w:t>44.2</w:t>
            </w:r>
          </w:p>
        </w:tc>
        <w:tc>
          <w:tcPr>
            <w:tcW w:w="1890" w:type="dxa"/>
          </w:tcPr>
          <w:p w:rsidR="007D5932" w:rsidRPr="002B1F05" w:rsidRDefault="007D5932" w:rsidP="007D5932">
            <w:pPr>
              <w:jc w:val="center"/>
            </w:pPr>
            <w:r w:rsidRPr="002B1F05">
              <w:t xml:space="preserve">5.67 </w:t>
            </w:r>
            <w:proofErr w:type="spellStart"/>
            <w:r w:rsidRPr="002B1F05">
              <w:t>lb</w:t>
            </w:r>
            <w:proofErr w:type="spellEnd"/>
            <w:r w:rsidRPr="002B1F05">
              <w:t>/</w:t>
            </w:r>
            <w:proofErr w:type="spellStart"/>
            <w:r w:rsidRPr="002B1F05">
              <w:t>MMcf</w:t>
            </w:r>
            <w:proofErr w:type="spellEnd"/>
          </w:p>
        </w:tc>
        <w:tc>
          <w:tcPr>
            <w:tcW w:w="2610" w:type="dxa"/>
          </w:tcPr>
          <w:p w:rsidR="007D5932" w:rsidRPr="002B1F05" w:rsidRDefault="007D5932" w:rsidP="007D5932">
            <w:pPr>
              <w:jc w:val="center"/>
            </w:pPr>
            <w:r w:rsidRPr="002B1F05">
              <w:t>AP-42</w:t>
            </w:r>
            <w:r w:rsidRPr="002B1F05">
              <w:rPr>
                <w:vertAlign w:val="superscript"/>
              </w:rPr>
              <w:t>1</w:t>
            </w:r>
          </w:p>
        </w:tc>
        <w:tc>
          <w:tcPr>
            <w:tcW w:w="1485" w:type="dxa"/>
            <w:shd w:val="clear" w:color="auto" w:fill="auto"/>
          </w:tcPr>
          <w:p w:rsidR="007D5932" w:rsidRPr="0009128E" w:rsidRDefault="007D5932" w:rsidP="007D5932">
            <w:pPr>
              <w:jc w:val="center"/>
            </w:pPr>
            <w:r>
              <w:t>1.10</w:t>
            </w:r>
          </w:p>
        </w:tc>
        <w:tc>
          <w:tcPr>
            <w:tcW w:w="1890" w:type="dxa"/>
          </w:tcPr>
          <w:p w:rsidR="007D5932" w:rsidRDefault="007D5932" w:rsidP="007D5932">
            <w:pPr>
              <w:jc w:val="center"/>
            </w:pPr>
            <w:r w:rsidRPr="00E768CD">
              <w:t>129.97(c)(2)</w:t>
            </w:r>
          </w:p>
        </w:tc>
      </w:tr>
      <w:tr w:rsidR="007D5932" w:rsidTr="005F6BD4">
        <w:tc>
          <w:tcPr>
            <w:tcW w:w="899" w:type="dxa"/>
          </w:tcPr>
          <w:p w:rsidR="007D5932" w:rsidRDefault="007D5932" w:rsidP="007D5932">
            <w:pPr>
              <w:jc w:val="center"/>
            </w:pPr>
            <w:r>
              <w:t>146A</w:t>
            </w:r>
          </w:p>
        </w:tc>
        <w:tc>
          <w:tcPr>
            <w:tcW w:w="2881" w:type="dxa"/>
          </w:tcPr>
          <w:p w:rsidR="007D5932" w:rsidRDefault="007D5932" w:rsidP="007D5932">
            <w:pPr>
              <w:jc w:val="center"/>
            </w:pPr>
            <w:r>
              <w:t>145’ NAB Furnace</w:t>
            </w:r>
          </w:p>
        </w:tc>
        <w:tc>
          <w:tcPr>
            <w:tcW w:w="1800" w:type="dxa"/>
          </w:tcPr>
          <w:p w:rsidR="007D5932" w:rsidRDefault="007D5932" w:rsidP="007D5932">
            <w:pPr>
              <w:jc w:val="center"/>
            </w:pPr>
            <w:r>
              <w:t>55.0</w:t>
            </w:r>
          </w:p>
        </w:tc>
        <w:tc>
          <w:tcPr>
            <w:tcW w:w="1890" w:type="dxa"/>
          </w:tcPr>
          <w:p w:rsidR="007D5932" w:rsidRPr="002B1F05" w:rsidRDefault="007D5932" w:rsidP="007D5932">
            <w:pPr>
              <w:jc w:val="center"/>
            </w:pPr>
            <w:r w:rsidRPr="002B1F05">
              <w:t xml:space="preserve">5.67 </w:t>
            </w:r>
            <w:proofErr w:type="spellStart"/>
            <w:r w:rsidRPr="002B1F05">
              <w:t>lb</w:t>
            </w:r>
            <w:proofErr w:type="spellEnd"/>
            <w:r w:rsidRPr="002B1F05">
              <w:t>/</w:t>
            </w:r>
            <w:proofErr w:type="spellStart"/>
            <w:r w:rsidRPr="002B1F05">
              <w:t>MMcf</w:t>
            </w:r>
            <w:proofErr w:type="spellEnd"/>
          </w:p>
        </w:tc>
        <w:tc>
          <w:tcPr>
            <w:tcW w:w="2610" w:type="dxa"/>
          </w:tcPr>
          <w:p w:rsidR="007D5932" w:rsidRPr="002B1F05" w:rsidRDefault="007D5932" w:rsidP="007D5932">
            <w:pPr>
              <w:jc w:val="center"/>
            </w:pPr>
            <w:r w:rsidRPr="002B1F05">
              <w:t>AP-42</w:t>
            </w:r>
            <w:r w:rsidRPr="002B1F05">
              <w:rPr>
                <w:vertAlign w:val="superscript"/>
              </w:rPr>
              <w:t>1</w:t>
            </w:r>
          </w:p>
        </w:tc>
        <w:tc>
          <w:tcPr>
            <w:tcW w:w="1485" w:type="dxa"/>
            <w:shd w:val="clear" w:color="auto" w:fill="auto"/>
          </w:tcPr>
          <w:p w:rsidR="007D5932" w:rsidRPr="006A3CD3" w:rsidRDefault="007D5932" w:rsidP="007D5932">
            <w:pPr>
              <w:jc w:val="center"/>
            </w:pPr>
            <w:r w:rsidRPr="006A3CD3">
              <w:t>1.37</w:t>
            </w:r>
          </w:p>
        </w:tc>
        <w:tc>
          <w:tcPr>
            <w:tcW w:w="1890" w:type="dxa"/>
          </w:tcPr>
          <w:p w:rsidR="007D5932" w:rsidRDefault="007D5932" w:rsidP="007D5932">
            <w:pPr>
              <w:jc w:val="center"/>
            </w:pPr>
            <w:r w:rsidRPr="00E768CD">
              <w:t>129.97(c)(2)</w:t>
            </w:r>
          </w:p>
        </w:tc>
      </w:tr>
      <w:tr w:rsidR="007D5932" w:rsidTr="005F6BD4">
        <w:tc>
          <w:tcPr>
            <w:tcW w:w="899" w:type="dxa"/>
          </w:tcPr>
          <w:p w:rsidR="007D5932" w:rsidRDefault="007D5932" w:rsidP="007D5932">
            <w:pPr>
              <w:jc w:val="center"/>
            </w:pPr>
            <w:r>
              <w:t>146B</w:t>
            </w:r>
          </w:p>
        </w:tc>
        <w:tc>
          <w:tcPr>
            <w:tcW w:w="2881" w:type="dxa"/>
          </w:tcPr>
          <w:p w:rsidR="007D5932" w:rsidRDefault="007D5932" w:rsidP="007D5932">
            <w:pPr>
              <w:jc w:val="center"/>
            </w:pPr>
            <w:r>
              <w:t>200’ NAB Furnace</w:t>
            </w:r>
          </w:p>
        </w:tc>
        <w:tc>
          <w:tcPr>
            <w:tcW w:w="1800" w:type="dxa"/>
          </w:tcPr>
          <w:p w:rsidR="007D5932" w:rsidRDefault="007D5932" w:rsidP="007D5932">
            <w:pPr>
              <w:jc w:val="center"/>
            </w:pPr>
            <w:r>
              <w:t>128.0</w:t>
            </w:r>
          </w:p>
        </w:tc>
        <w:tc>
          <w:tcPr>
            <w:tcW w:w="1890" w:type="dxa"/>
          </w:tcPr>
          <w:p w:rsidR="007D5932" w:rsidRPr="002B1F05" w:rsidRDefault="007D5932" w:rsidP="007D5932">
            <w:pPr>
              <w:jc w:val="center"/>
            </w:pPr>
            <w:r w:rsidRPr="002B1F05">
              <w:t xml:space="preserve">5.67 </w:t>
            </w:r>
            <w:proofErr w:type="spellStart"/>
            <w:r w:rsidRPr="002B1F05">
              <w:t>lb</w:t>
            </w:r>
            <w:proofErr w:type="spellEnd"/>
            <w:r w:rsidRPr="002B1F05">
              <w:t>/</w:t>
            </w:r>
            <w:proofErr w:type="spellStart"/>
            <w:r w:rsidRPr="002B1F05">
              <w:t>MMcf</w:t>
            </w:r>
            <w:proofErr w:type="spellEnd"/>
          </w:p>
        </w:tc>
        <w:tc>
          <w:tcPr>
            <w:tcW w:w="2610" w:type="dxa"/>
          </w:tcPr>
          <w:p w:rsidR="007D5932" w:rsidRPr="002B1F05" w:rsidRDefault="007D5932" w:rsidP="007D5932">
            <w:pPr>
              <w:jc w:val="center"/>
            </w:pPr>
            <w:r w:rsidRPr="002B1F05">
              <w:t>AP-42</w:t>
            </w:r>
            <w:r w:rsidRPr="002B1F05">
              <w:rPr>
                <w:vertAlign w:val="superscript"/>
              </w:rPr>
              <w:t>1</w:t>
            </w:r>
          </w:p>
        </w:tc>
        <w:tc>
          <w:tcPr>
            <w:tcW w:w="1485" w:type="dxa"/>
            <w:shd w:val="clear" w:color="auto" w:fill="auto"/>
          </w:tcPr>
          <w:p w:rsidR="007D5932" w:rsidRPr="006A3CD3" w:rsidRDefault="007D5932" w:rsidP="007D5932">
            <w:pPr>
              <w:jc w:val="center"/>
            </w:pPr>
            <w:r w:rsidRPr="006A3CD3">
              <w:t>1.45</w:t>
            </w:r>
          </w:p>
        </w:tc>
        <w:tc>
          <w:tcPr>
            <w:tcW w:w="1890" w:type="dxa"/>
          </w:tcPr>
          <w:p w:rsidR="007D5932" w:rsidRDefault="007D5932" w:rsidP="007D5932">
            <w:pPr>
              <w:jc w:val="center"/>
            </w:pPr>
            <w:r w:rsidRPr="00E768CD">
              <w:t>129.97(c)(2)</w:t>
            </w:r>
          </w:p>
        </w:tc>
      </w:tr>
      <w:tr w:rsidR="00867628" w:rsidTr="005F6BD4">
        <w:tc>
          <w:tcPr>
            <w:tcW w:w="899" w:type="dxa"/>
          </w:tcPr>
          <w:p w:rsidR="00867628" w:rsidRDefault="00867628" w:rsidP="00FE1E62">
            <w:pPr>
              <w:jc w:val="center"/>
            </w:pPr>
            <w:r>
              <w:t>151</w:t>
            </w:r>
          </w:p>
        </w:tc>
        <w:tc>
          <w:tcPr>
            <w:tcW w:w="2881" w:type="dxa"/>
          </w:tcPr>
          <w:p w:rsidR="00867628" w:rsidRPr="00290912" w:rsidRDefault="00867628" w:rsidP="00FE1E62">
            <w:pPr>
              <w:jc w:val="center"/>
            </w:pPr>
            <w:r w:rsidRPr="00290912">
              <w:t>Soaking Pits #35</w:t>
            </w:r>
            <w:r>
              <w:t xml:space="preserve"> </w:t>
            </w:r>
            <w:r w:rsidRPr="00290912">
              <w:t>-</w:t>
            </w:r>
            <w:r>
              <w:t xml:space="preserve"> </w:t>
            </w:r>
            <w:r w:rsidRPr="00290912">
              <w:t>#4</w:t>
            </w:r>
            <w:r>
              <w:t>9</w:t>
            </w:r>
          </w:p>
        </w:tc>
        <w:tc>
          <w:tcPr>
            <w:tcW w:w="1800" w:type="dxa"/>
          </w:tcPr>
          <w:p w:rsidR="00867628" w:rsidRDefault="00867628" w:rsidP="00FE1E62">
            <w:pPr>
              <w:jc w:val="center"/>
            </w:pPr>
            <w:r>
              <w:t>30.0 (each)</w:t>
            </w:r>
          </w:p>
        </w:tc>
        <w:tc>
          <w:tcPr>
            <w:tcW w:w="1890" w:type="dxa"/>
          </w:tcPr>
          <w:p w:rsidR="00867628" w:rsidRPr="0009128E" w:rsidRDefault="00FE3D00" w:rsidP="00FE1E62">
            <w:pPr>
              <w:jc w:val="center"/>
            </w:pPr>
            <w:r>
              <w:t xml:space="preserve">3.16 </w:t>
            </w:r>
            <w:proofErr w:type="spellStart"/>
            <w:r>
              <w:t>lb</w:t>
            </w:r>
            <w:proofErr w:type="spellEnd"/>
            <w:r>
              <w:t>/</w:t>
            </w:r>
            <w:proofErr w:type="spellStart"/>
            <w:r>
              <w:t>MMcf</w:t>
            </w:r>
            <w:proofErr w:type="spellEnd"/>
          </w:p>
        </w:tc>
        <w:tc>
          <w:tcPr>
            <w:tcW w:w="2610" w:type="dxa"/>
          </w:tcPr>
          <w:p w:rsidR="00867628" w:rsidRPr="00307717" w:rsidRDefault="00FE3D00" w:rsidP="00FE1E62">
            <w:pPr>
              <w:jc w:val="center"/>
              <w:rPr>
                <w:vertAlign w:val="superscript"/>
              </w:rPr>
            </w:pPr>
            <w:r>
              <w:t>1998 Stack Test</w:t>
            </w:r>
            <w:r w:rsidR="00307717">
              <w:rPr>
                <w:vertAlign w:val="superscript"/>
              </w:rPr>
              <w:t>7</w:t>
            </w:r>
          </w:p>
        </w:tc>
        <w:tc>
          <w:tcPr>
            <w:tcW w:w="1485" w:type="dxa"/>
            <w:shd w:val="clear" w:color="auto" w:fill="auto"/>
          </w:tcPr>
          <w:p w:rsidR="00867628" w:rsidRPr="0009128E" w:rsidRDefault="00867628" w:rsidP="00FE1E62">
            <w:pPr>
              <w:jc w:val="center"/>
            </w:pPr>
            <w:r>
              <w:t>0.42 (each)</w:t>
            </w:r>
          </w:p>
        </w:tc>
        <w:tc>
          <w:tcPr>
            <w:tcW w:w="1890" w:type="dxa"/>
          </w:tcPr>
          <w:p w:rsidR="00867628" w:rsidRDefault="00867628" w:rsidP="00FE1E62">
            <w:pPr>
              <w:jc w:val="center"/>
            </w:pPr>
            <w:r w:rsidRPr="00E768CD">
              <w:t>Exempt</w:t>
            </w:r>
          </w:p>
        </w:tc>
      </w:tr>
    </w:tbl>
    <w:p w:rsidR="00F26145" w:rsidRDefault="002B1F05" w:rsidP="00F26145">
      <w:pPr>
        <w:ind w:left="180" w:hanging="90"/>
      </w:pPr>
      <w:r w:rsidRPr="002B1F05">
        <w:rPr>
          <w:vertAlign w:val="superscript"/>
        </w:rPr>
        <w:t>1</w:t>
      </w:r>
      <w:r w:rsidR="00F26145" w:rsidRPr="002B1F05">
        <w:t>Adjusted to account for actual BTU rating of 1,052 Btu/</w:t>
      </w:r>
      <w:proofErr w:type="spellStart"/>
      <w:r w:rsidR="00F26145" w:rsidRPr="002B1F05">
        <w:t>cf</w:t>
      </w:r>
      <w:proofErr w:type="spellEnd"/>
      <w:r w:rsidR="00F26145" w:rsidRPr="002B1F05">
        <w:t xml:space="preserve"> versus 1,020 used for AP-42, Table 1.4-</w:t>
      </w:r>
      <w:r w:rsidRPr="002B1F05">
        <w:t>2</w:t>
      </w:r>
    </w:p>
    <w:p w:rsidR="00F26145" w:rsidRPr="002B1F05" w:rsidRDefault="002B1F05" w:rsidP="00F26145">
      <w:pPr>
        <w:ind w:left="90"/>
      </w:pPr>
      <w:r w:rsidRPr="002B1F05">
        <w:rPr>
          <w:vertAlign w:val="superscript"/>
        </w:rPr>
        <w:t>2</w:t>
      </w:r>
      <w:r w:rsidR="00F26145" w:rsidRPr="002B1F05">
        <w:t xml:space="preserve">Limit based on existing fuel restriction of 267 </w:t>
      </w:r>
      <w:proofErr w:type="spellStart"/>
      <w:r w:rsidR="00F26145" w:rsidRPr="002B1F05">
        <w:t>MMcf</w:t>
      </w:r>
      <w:proofErr w:type="spellEnd"/>
      <w:r w:rsidR="00F26145" w:rsidRPr="002B1F05">
        <w:t>/</w:t>
      </w:r>
      <w:proofErr w:type="spellStart"/>
      <w:r w:rsidR="00F26145" w:rsidRPr="002B1F05">
        <w:t>yr</w:t>
      </w:r>
      <w:proofErr w:type="spellEnd"/>
      <w:r w:rsidR="00F26145" w:rsidRPr="002B1F05">
        <w:t xml:space="preserve"> and the emission factor</w:t>
      </w:r>
    </w:p>
    <w:p w:rsidR="00C81E2D" w:rsidRDefault="002B1F05" w:rsidP="00C81E2D">
      <w:pPr>
        <w:ind w:left="90"/>
      </w:pPr>
      <w:r w:rsidRPr="002B1F05">
        <w:rPr>
          <w:vertAlign w:val="superscript"/>
        </w:rPr>
        <w:t>3</w:t>
      </w:r>
      <w:r w:rsidR="00C81E2D" w:rsidRPr="002B1F05">
        <w:t>Exemption based on 25 Pa. Code § 129.96(c); RACT does not apply for VOC when less than 1 TPY</w:t>
      </w:r>
    </w:p>
    <w:p w:rsidR="00161A60" w:rsidRPr="00161A60" w:rsidRDefault="00161A60" w:rsidP="00161A60">
      <w:pPr>
        <w:ind w:left="90"/>
      </w:pPr>
      <w:r>
        <w:rPr>
          <w:vertAlign w:val="superscript"/>
        </w:rPr>
        <w:t>4</w:t>
      </w:r>
      <w:r w:rsidRPr="00161A60">
        <w:t>Limit based on existing tonnage limit of 1.55 MM tons/</w:t>
      </w:r>
      <w:proofErr w:type="spellStart"/>
      <w:r w:rsidRPr="00161A60">
        <w:t>yr</w:t>
      </w:r>
      <w:proofErr w:type="spellEnd"/>
      <w:r w:rsidRPr="00161A60">
        <w:t xml:space="preserve"> and the emission factor</w:t>
      </w:r>
    </w:p>
    <w:p w:rsidR="00532346" w:rsidRPr="00241C05" w:rsidRDefault="00532346" w:rsidP="00532346">
      <w:pPr>
        <w:ind w:left="90"/>
        <w:rPr>
          <w:sz w:val="22"/>
        </w:rPr>
      </w:pPr>
      <w:r>
        <w:rPr>
          <w:sz w:val="22"/>
          <w:vertAlign w:val="superscript"/>
        </w:rPr>
        <w:t>5</w:t>
      </w:r>
      <w:r w:rsidRPr="00241C05">
        <w:rPr>
          <w:sz w:val="22"/>
        </w:rPr>
        <w:t>RACT II Case -by-Case for VOC</w:t>
      </w:r>
    </w:p>
    <w:p w:rsidR="00A51EC8" w:rsidRPr="00532346" w:rsidRDefault="00532346" w:rsidP="00A51EC8">
      <w:pPr>
        <w:ind w:left="180" w:hanging="90"/>
      </w:pPr>
      <w:r w:rsidRPr="00532346">
        <w:rPr>
          <w:vertAlign w:val="superscript"/>
        </w:rPr>
        <w:t>6</w:t>
      </w:r>
      <w:r w:rsidRPr="00532346">
        <w:t xml:space="preserve">Presumptice RACT </w:t>
      </w:r>
      <w:r>
        <w:t xml:space="preserve">applies </w:t>
      </w:r>
      <w:r w:rsidRPr="00532346">
        <w:t xml:space="preserve">for VOC emissions </w:t>
      </w:r>
      <w:r w:rsidR="00F932DC">
        <w:t xml:space="preserve">between 1 TPY and </w:t>
      </w:r>
      <w:r w:rsidRPr="00532346">
        <w:t>2.7 TPY</w:t>
      </w:r>
    </w:p>
    <w:p w:rsidR="00241C05" w:rsidRPr="00307717" w:rsidRDefault="00307717" w:rsidP="00D82C50">
      <w:pPr>
        <w:ind w:left="90"/>
      </w:pPr>
      <w:r>
        <w:rPr>
          <w:vertAlign w:val="superscript"/>
        </w:rPr>
        <w:t>7</w:t>
      </w:r>
      <w:r>
        <w:t xml:space="preserve">Stack testing </w:t>
      </w:r>
      <w:r w:rsidRPr="00307717">
        <w:t>was performed while three units were operating</w:t>
      </w:r>
    </w:p>
    <w:p w:rsidR="00241C05" w:rsidRDefault="00C81E2D" w:rsidP="00D82C50">
      <w:pPr>
        <w:ind w:left="90"/>
        <w:rPr>
          <w:highlight w:val="yellow"/>
        </w:rPr>
      </w:pPr>
      <w:r>
        <w:rPr>
          <w:highlight w:val="yellow"/>
        </w:rPr>
        <w:t xml:space="preserve"> </w:t>
      </w:r>
    </w:p>
    <w:p w:rsidR="00511048" w:rsidRPr="00C062FB" w:rsidRDefault="000324F2" w:rsidP="000324F2">
      <w:pPr>
        <w:jc w:val="center"/>
        <w:rPr>
          <w:b/>
          <w:vertAlign w:val="superscript"/>
        </w:rPr>
      </w:pPr>
      <w:r w:rsidRPr="001C2F6C">
        <w:rPr>
          <w:b/>
        </w:rPr>
        <w:t>Table 1</w:t>
      </w:r>
      <w:r w:rsidR="004D201B">
        <w:rPr>
          <w:b/>
        </w:rPr>
        <w:t>c</w:t>
      </w:r>
    </w:p>
    <w:tbl>
      <w:tblPr>
        <w:tblStyle w:val="TableGrid"/>
        <w:tblW w:w="14085" w:type="dxa"/>
        <w:tblInd w:w="198" w:type="dxa"/>
        <w:tblLook w:val="04A0" w:firstRow="1" w:lastRow="0" w:firstColumn="1" w:lastColumn="0" w:noHBand="0" w:noVBand="1"/>
      </w:tblPr>
      <w:tblGrid>
        <w:gridCol w:w="899"/>
        <w:gridCol w:w="3151"/>
        <w:gridCol w:w="1958"/>
        <w:gridCol w:w="2272"/>
        <w:gridCol w:w="2610"/>
        <w:gridCol w:w="1485"/>
        <w:gridCol w:w="1710"/>
      </w:tblGrid>
      <w:tr w:rsidR="00997083" w:rsidRPr="00751D71" w:rsidTr="003A2F19">
        <w:tc>
          <w:tcPr>
            <w:tcW w:w="899" w:type="dxa"/>
            <w:shd w:val="clear" w:color="auto" w:fill="D9D9D9" w:themeFill="background1" w:themeFillShade="D9"/>
          </w:tcPr>
          <w:p w:rsidR="00997083" w:rsidRPr="006907E4" w:rsidRDefault="00997083" w:rsidP="00997083">
            <w:pPr>
              <w:jc w:val="center"/>
            </w:pPr>
            <w:r w:rsidRPr="006907E4">
              <w:t>Source ID</w:t>
            </w:r>
          </w:p>
        </w:tc>
        <w:tc>
          <w:tcPr>
            <w:tcW w:w="3151" w:type="dxa"/>
            <w:shd w:val="clear" w:color="auto" w:fill="D9D9D9" w:themeFill="background1" w:themeFillShade="D9"/>
            <w:vAlign w:val="center"/>
          </w:tcPr>
          <w:p w:rsidR="00997083" w:rsidRPr="006907E4" w:rsidRDefault="00997083" w:rsidP="00997083">
            <w:pPr>
              <w:jc w:val="center"/>
            </w:pPr>
            <w:r w:rsidRPr="006907E4">
              <w:t>Source Name</w:t>
            </w:r>
          </w:p>
        </w:tc>
        <w:tc>
          <w:tcPr>
            <w:tcW w:w="1958" w:type="dxa"/>
            <w:shd w:val="clear" w:color="auto" w:fill="D9D9D9" w:themeFill="background1" w:themeFillShade="D9"/>
            <w:vAlign w:val="center"/>
          </w:tcPr>
          <w:p w:rsidR="00997083" w:rsidRPr="006907E4" w:rsidRDefault="00997083" w:rsidP="00997083">
            <w:pPr>
              <w:jc w:val="center"/>
            </w:pPr>
            <w:r w:rsidRPr="006907E4">
              <w:t>Rated Capacity</w:t>
            </w:r>
            <w:r>
              <w:br/>
              <w:t>(tons/</w:t>
            </w:r>
            <w:proofErr w:type="spellStart"/>
            <w:r>
              <w:t>hr</w:t>
            </w:r>
            <w:proofErr w:type="spellEnd"/>
            <w:r>
              <w:t>)</w:t>
            </w:r>
          </w:p>
        </w:tc>
        <w:tc>
          <w:tcPr>
            <w:tcW w:w="2272" w:type="dxa"/>
            <w:shd w:val="clear" w:color="auto" w:fill="D9D9D9" w:themeFill="background1" w:themeFillShade="D9"/>
          </w:tcPr>
          <w:p w:rsidR="00997083" w:rsidRPr="00751D71" w:rsidRDefault="00997083" w:rsidP="00997083">
            <w:pPr>
              <w:jc w:val="center"/>
              <w:rPr>
                <w:sz w:val="22"/>
                <w:szCs w:val="22"/>
              </w:rPr>
            </w:pPr>
            <w:r>
              <w:rPr>
                <w:sz w:val="22"/>
                <w:szCs w:val="22"/>
              </w:rPr>
              <w:t>Emission Factor (EF)</w:t>
            </w:r>
          </w:p>
        </w:tc>
        <w:tc>
          <w:tcPr>
            <w:tcW w:w="2610" w:type="dxa"/>
            <w:shd w:val="clear" w:color="auto" w:fill="D9D9D9" w:themeFill="background1" w:themeFillShade="D9"/>
            <w:vAlign w:val="center"/>
          </w:tcPr>
          <w:p w:rsidR="00997083" w:rsidRPr="00751D71" w:rsidRDefault="00997083" w:rsidP="00997083">
            <w:pPr>
              <w:jc w:val="center"/>
              <w:rPr>
                <w:sz w:val="22"/>
                <w:szCs w:val="22"/>
              </w:rPr>
            </w:pPr>
            <w:r>
              <w:rPr>
                <w:sz w:val="22"/>
                <w:szCs w:val="22"/>
              </w:rPr>
              <w:t>EF Source</w:t>
            </w:r>
          </w:p>
        </w:tc>
        <w:tc>
          <w:tcPr>
            <w:tcW w:w="1485" w:type="dxa"/>
            <w:shd w:val="clear" w:color="auto" w:fill="D9D9D9" w:themeFill="background1" w:themeFillShade="D9"/>
          </w:tcPr>
          <w:p w:rsidR="00997083" w:rsidRPr="00751D71" w:rsidRDefault="00997083" w:rsidP="00997083">
            <w:pPr>
              <w:jc w:val="center"/>
              <w:rPr>
                <w:sz w:val="22"/>
                <w:szCs w:val="22"/>
              </w:rPr>
            </w:pPr>
            <w:r w:rsidRPr="00751D71">
              <w:rPr>
                <w:sz w:val="22"/>
                <w:szCs w:val="22"/>
              </w:rPr>
              <w:t>PTE of VOC (TPY)</w:t>
            </w:r>
          </w:p>
        </w:tc>
        <w:tc>
          <w:tcPr>
            <w:tcW w:w="1710" w:type="dxa"/>
            <w:shd w:val="clear" w:color="auto" w:fill="D9D9D9" w:themeFill="background1" w:themeFillShade="D9"/>
            <w:vAlign w:val="center"/>
          </w:tcPr>
          <w:p w:rsidR="00997083" w:rsidRPr="00751D71" w:rsidRDefault="00997083" w:rsidP="00997083">
            <w:pPr>
              <w:jc w:val="center"/>
              <w:rPr>
                <w:sz w:val="22"/>
                <w:szCs w:val="22"/>
              </w:rPr>
            </w:pPr>
            <w:r w:rsidRPr="00751D71">
              <w:rPr>
                <w:sz w:val="22"/>
                <w:szCs w:val="22"/>
              </w:rPr>
              <w:t>RACT (VOC)</w:t>
            </w:r>
          </w:p>
        </w:tc>
      </w:tr>
      <w:tr w:rsidR="00625F25" w:rsidRPr="00D82C50" w:rsidTr="00636A69">
        <w:tc>
          <w:tcPr>
            <w:tcW w:w="899" w:type="dxa"/>
            <w:shd w:val="clear" w:color="auto" w:fill="auto"/>
          </w:tcPr>
          <w:p w:rsidR="00625F25" w:rsidRPr="00DD5038" w:rsidRDefault="00625F25" w:rsidP="007531CD">
            <w:pPr>
              <w:jc w:val="center"/>
            </w:pPr>
            <w:r>
              <w:t>250</w:t>
            </w:r>
          </w:p>
        </w:tc>
        <w:tc>
          <w:tcPr>
            <w:tcW w:w="3151" w:type="dxa"/>
            <w:shd w:val="clear" w:color="auto" w:fill="auto"/>
          </w:tcPr>
          <w:p w:rsidR="00625F25" w:rsidRPr="00677619" w:rsidRDefault="00C062FB" w:rsidP="007531CD">
            <w:pPr>
              <w:jc w:val="center"/>
              <w:rPr>
                <w:vertAlign w:val="superscript"/>
              </w:rPr>
            </w:pPr>
            <w:r w:rsidRPr="00C062FB">
              <w:t>I</w:t>
            </w:r>
            <w:r w:rsidR="00D24639">
              <w:t>dentification</w:t>
            </w:r>
            <w:r w:rsidRPr="00C062FB">
              <w:t xml:space="preserve"> M</w:t>
            </w:r>
            <w:r w:rsidR="00D24639">
              <w:t>arking</w:t>
            </w:r>
            <w:r w:rsidR="00677619">
              <w:rPr>
                <w:vertAlign w:val="superscript"/>
              </w:rPr>
              <w:t>1</w:t>
            </w:r>
          </w:p>
        </w:tc>
        <w:tc>
          <w:tcPr>
            <w:tcW w:w="1958" w:type="dxa"/>
            <w:shd w:val="clear" w:color="auto" w:fill="auto"/>
          </w:tcPr>
          <w:p w:rsidR="00625F25" w:rsidRPr="00940F1F" w:rsidRDefault="00940F1F" w:rsidP="007531CD">
            <w:pPr>
              <w:jc w:val="center"/>
              <w:rPr>
                <w:vertAlign w:val="superscript"/>
              </w:rPr>
            </w:pPr>
            <w:r>
              <w:t xml:space="preserve"> </w:t>
            </w:r>
            <w:r w:rsidR="00F840D0">
              <w:t>N/A</w:t>
            </w:r>
            <w:r>
              <w:rPr>
                <w:vertAlign w:val="superscript"/>
              </w:rPr>
              <w:t>2</w:t>
            </w:r>
          </w:p>
        </w:tc>
        <w:tc>
          <w:tcPr>
            <w:tcW w:w="2272" w:type="dxa"/>
            <w:shd w:val="clear" w:color="auto" w:fill="auto"/>
          </w:tcPr>
          <w:p w:rsidR="00625F25" w:rsidRPr="00713C89" w:rsidRDefault="00F840D0" w:rsidP="007531CD">
            <w:pPr>
              <w:jc w:val="center"/>
            </w:pPr>
            <w:r>
              <w:t>Mass Balance</w:t>
            </w:r>
          </w:p>
        </w:tc>
        <w:tc>
          <w:tcPr>
            <w:tcW w:w="2610" w:type="dxa"/>
            <w:shd w:val="clear" w:color="auto" w:fill="auto"/>
          </w:tcPr>
          <w:p w:rsidR="00625F25" w:rsidRDefault="00F840D0" w:rsidP="007531CD">
            <w:pPr>
              <w:jc w:val="center"/>
            </w:pPr>
            <w:r>
              <w:t>N/A</w:t>
            </w:r>
          </w:p>
        </w:tc>
        <w:tc>
          <w:tcPr>
            <w:tcW w:w="1485" w:type="dxa"/>
            <w:shd w:val="clear" w:color="auto" w:fill="auto"/>
          </w:tcPr>
          <w:p w:rsidR="00625F25" w:rsidRPr="00DD5038" w:rsidRDefault="00086240" w:rsidP="007531CD">
            <w:pPr>
              <w:jc w:val="center"/>
            </w:pPr>
            <w:r>
              <w:t>5.40</w:t>
            </w:r>
          </w:p>
        </w:tc>
        <w:tc>
          <w:tcPr>
            <w:tcW w:w="1710" w:type="dxa"/>
            <w:shd w:val="clear" w:color="auto" w:fill="auto"/>
          </w:tcPr>
          <w:p w:rsidR="00625F25" w:rsidRPr="00C062FB" w:rsidRDefault="00C062FB" w:rsidP="007531CD">
            <w:pPr>
              <w:jc w:val="center"/>
              <w:rPr>
                <w:vertAlign w:val="superscript"/>
              </w:rPr>
            </w:pPr>
            <w:r>
              <w:t>129.99(c)</w:t>
            </w:r>
            <w:r w:rsidR="0006583E">
              <w:rPr>
                <w:vertAlign w:val="superscript"/>
              </w:rPr>
              <w:t>3</w:t>
            </w:r>
          </w:p>
        </w:tc>
      </w:tr>
      <w:tr w:rsidR="00532346" w:rsidRPr="00D82C50" w:rsidTr="003A2F19">
        <w:tc>
          <w:tcPr>
            <w:tcW w:w="899" w:type="dxa"/>
            <w:shd w:val="clear" w:color="auto" w:fill="auto"/>
          </w:tcPr>
          <w:p w:rsidR="00532346" w:rsidRPr="00DD5038" w:rsidRDefault="00532346" w:rsidP="007531CD">
            <w:pPr>
              <w:jc w:val="center"/>
            </w:pPr>
            <w:r w:rsidRPr="00DD5038">
              <w:t>270</w:t>
            </w:r>
          </w:p>
        </w:tc>
        <w:tc>
          <w:tcPr>
            <w:tcW w:w="3151" w:type="dxa"/>
            <w:shd w:val="clear" w:color="auto" w:fill="auto"/>
          </w:tcPr>
          <w:p w:rsidR="00532346" w:rsidRPr="00532346" w:rsidRDefault="00532346" w:rsidP="007531CD">
            <w:pPr>
              <w:jc w:val="center"/>
              <w:rPr>
                <w:vertAlign w:val="superscript"/>
              </w:rPr>
            </w:pPr>
            <w:r w:rsidRPr="00DD5038">
              <w:t>Cont. Cast Spray Chamber</w:t>
            </w:r>
            <w:r>
              <w:rPr>
                <w:vertAlign w:val="superscript"/>
              </w:rPr>
              <w:t>1</w:t>
            </w:r>
          </w:p>
        </w:tc>
        <w:tc>
          <w:tcPr>
            <w:tcW w:w="1958" w:type="dxa"/>
            <w:shd w:val="clear" w:color="auto" w:fill="auto"/>
          </w:tcPr>
          <w:p w:rsidR="00532346" w:rsidRPr="00DD5038" w:rsidRDefault="00532346" w:rsidP="007531CD">
            <w:pPr>
              <w:jc w:val="center"/>
            </w:pPr>
            <w:r w:rsidRPr="00DD5038">
              <w:t>93.6</w:t>
            </w:r>
          </w:p>
        </w:tc>
        <w:tc>
          <w:tcPr>
            <w:tcW w:w="2272" w:type="dxa"/>
            <w:shd w:val="clear" w:color="auto" w:fill="auto"/>
          </w:tcPr>
          <w:p w:rsidR="00532346" w:rsidRPr="00713C89" w:rsidRDefault="00713C89" w:rsidP="007531CD">
            <w:pPr>
              <w:jc w:val="center"/>
            </w:pPr>
            <w:r w:rsidRPr="00713C89">
              <w:t>0.0</w:t>
            </w:r>
            <w:r w:rsidR="00EB36C4">
              <w:t>22</w:t>
            </w:r>
            <w:r>
              <w:t xml:space="preserve"> </w:t>
            </w:r>
            <w:proofErr w:type="spellStart"/>
            <w:r>
              <w:t>lb</w:t>
            </w:r>
            <w:proofErr w:type="spellEnd"/>
            <w:r>
              <w:t>/ton</w:t>
            </w:r>
          </w:p>
        </w:tc>
        <w:tc>
          <w:tcPr>
            <w:tcW w:w="2610" w:type="dxa"/>
          </w:tcPr>
          <w:p w:rsidR="00532346" w:rsidRPr="00DD5038" w:rsidRDefault="003A2F19" w:rsidP="007531CD">
            <w:pPr>
              <w:jc w:val="center"/>
            </w:pPr>
            <w:r>
              <w:t>1998 Stack Test</w:t>
            </w:r>
          </w:p>
        </w:tc>
        <w:tc>
          <w:tcPr>
            <w:tcW w:w="1485" w:type="dxa"/>
            <w:shd w:val="clear" w:color="auto" w:fill="auto"/>
          </w:tcPr>
          <w:p w:rsidR="00532346" w:rsidRPr="00DD5038" w:rsidRDefault="00532346" w:rsidP="007531CD">
            <w:pPr>
              <w:jc w:val="center"/>
            </w:pPr>
            <w:r w:rsidRPr="00DD5038">
              <w:t>9.02</w:t>
            </w:r>
          </w:p>
        </w:tc>
        <w:tc>
          <w:tcPr>
            <w:tcW w:w="1710" w:type="dxa"/>
            <w:shd w:val="clear" w:color="auto" w:fill="auto"/>
          </w:tcPr>
          <w:p w:rsidR="00532346" w:rsidRPr="006E3009" w:rsidRDefault="00532346" w:rsidP="007531CD">
            <w:pPr>
              <w:jc w:val="center"/>
              <w:rPr>
                <w:vertAlign w:val="superscript"/>
              </w:rPr>
            </w:pPr>
            <w:r w:rsidRPr="00DD5038">
              <w:t>129.99(c)</w:t>
            </w:r>
            <w:r w:rsidR="0006583E">
              <w:rPr>
                <w:vertAlign w:val="superscript"/>
              </w:rPr>
              <w:t>3</w:t>
            </w:r>
          </w:p>
        </w:tc>
      </w:tr>
    </w:tbl>
    <w:p w:rsidR="00676D51" w:rsidRDefault="004D4D46" w:rsidP="007531CD">
      <w:pPr>
        <w:ind w:left="90"/>
        <w:rPr>
          <w:sz w:val="22"/>
        </w:rPr>
      </w:pPr>
      <w:r w:rsidRPr="00241C05">
        <w:rPr>
          <w:sz w:val="22"/>
          <w:vertAlign w:val="superscript"/>
        </w:rPr>
        <w:t>1</w:t>
      </w:r>
      <w:r w:rsidR="007531CD" w:rsidRPr="00241C05">
        <w:rPr>
          <w:sz w:val="22"/>
        </w:rPr>
        <w:t>Th</w:t>
      </w:r>
      <w:r w:rsidR="003F2042">
        <w:rPr>
          <w:sz w:val="22"/>
        </w:rPr>
        <w:t>i</w:t>
      </w:r>
      <w:r w:rsidR="007531CD" w:rsidRPr="00241C05">
        <w:rPr>
          <w:sz w:val="22"/>
        </w:rPr>
        <w:t>s source do</w:t>
      </w:r>
      <w:r w:rsidR="003F2042">
        <w:rPr>
          <w:sz w:val="22"/>
        </w:rPr>
        <w:t>es</w:t>
      </w:r>
      <w:r w:rsidR="007531CD" w:rsidRPr="00241C05">
        <w:rPr>
          <w:sz w:val="22"/>
        </w:rPr>
        <w:t xml:space="preserve"> not produce NOx</w:t>
      </w:r>
    </w:p>
    <w:p w:rsidR="0006583E" w:rsidRPr="0006583E" w:rsidRDefault="0006583E" w:rsidP="007531CD">
      <w:pPr>
        <w:ind w:left="90"/>
        <w:rPr>
          <w:sz w:val="22"/>
        </w:rPr>
      </w:pPr>
      <w:r>
        <w:rPr>
          <w:sz w:val="22"/>
          <w:vertAlign w:val="superscript"/>
        </w:rPr>
        <w:t>2</w:t>
      </w:r>
      <w:r>
        <w:rPr>
          <w:sz w:val="22"/>
        </w:rPr>
        <w:t>This source is the use of spray cans to mark steel slabs for identification purposes; spray cans are randomly used through the plant</w:t>
      </w:r>
    </w:p>
    <w:p w:rsidR="004D4D46" w:rsidRPr="00241C05" w:rsidRDefault="0006583E" w:rsidP="004D4D46">
      <w:pPr>
        <w:ind w:left="90"/>
        <w:rPr>
          <w:sz w:val="22"/>
        </w:rPr>
      </w:pPr>
      <w:bookmarkStart w:id="10" w:name="_Hlk5612191"/>
      <w:r>
        <w:rPr>
          <w:sz w:val="22"/>
          <w:vertAlign w:val="superscript"/>
        </w:rPr>
        <w:t>3</w:t>
      </w:r>
      <w:r w:rsidR="004D4D46" w:rsidRPr="00241C05">
        <w:rPr>
          <w:sz w:val="22"/>
        </w:rPr>
        <w:t>RACT II Case -by-Case for VOC</w:t>
      </w:r>
    </w:p>
    <w:bookmarkEnd w:id="10"/>
    <w:p w:rsidR="00991959" w:rsidRDefault="00991959">
      <w:pPr>
        <w:rPr>
          <w:b/>
          <w:u w:val="single"/>
        </w:rPr>
      </w:pPr>
    </w:p>
    <w:p w:rsidR="00991959" w:rsidRDefault="00991959">
      <w:pPr>
        <w:rPr>
          <w:b/>
          <w:u w:val="single"/>
        </w:rPr>
      </w:pPr>
    </w:p>
    <w:p w:rsidR="00991959" w:rsidRDefault="00F94E42" w:rsidP="00701960">
      <w:pPr>
        <w:tabs>
          <w:tab w:val="left" w:pos="6210"/>
        </w:tabs>
        <w:spacing w:after="120"/>
      </w:pPr>
      <w:r w:rsidRPr="00A241D8">
        <w:t xml:space="preserve">Table 2a </w:t>
      </w:r>
      <w:r w:rsidR="00991959" w:rsidRPr="00A241D8">
        <w:t xml:space="preserve">summarizes controls considered for NOx for the </w:t>
      </w:r>
      <w:bookmarkStart w:id="11" w:name="_Hlk15559677"/>
      <w:r w:rsidR="00991959" w:rsidRPr="00A241D8">
        <w:t xml:space="preserve">various </w:t>
      </w:r>
      <w:r w:rsidR="00A241D8" w:rsidRPr="00A241D8">
        <w:t xml:space="preserve">case-by-case </w:t>
      </w:r>
      <w:r w:rsidR="00991959" w:rsidRPr="00A241D8">
        <w:t xml:space="preserve">sources </w:t>
      </w:r>
      <w:bookmarkEnd w:id="11"/>
      <w:r w:rsidR="00991959" w:rsidRPr="00A241D8">
        <w:t xml:space="preserve">and the cost/ton removed of NOx.  </w:t>
      </w:r>
      <w:r w:rsidR="006E3009">
        <w:t xml:space="preserve">Controls include low-NOx burners (LNB), flue gas recirculation (FGR), selective non-catalyst reduction (SNCR), </w:t>
      </w:r>
      <w:r w:rsidR="00307717">
        <w:t xml:space="preserve">ultra-low </w:t>
      </w:r>
      <w:r w:rsidR="006E3009">
        <w:t xml:space="preserve">NOx burners (ULNB), and selective catalytic reduction (SCR).  </w:t>
      </w:r>
      <w:r w:rsidR="00991959" w:rsidRPr="00A241D8">
        <w:t>As the cost/ton removed of NOx exceeded $</w:t>
      </w:r>
      <w:r w:rsidR="009D10CD" w:rsidRPr="00A241D8">
        <w:t>3</w:t>
      </w:r>
      <w:r w:rsidR="00991959" w:rsidRPr="00A241D8">
        <w:t>,</w:t>
      </w:r>
      <w:r w:rsidR="009D10CD" w:rsidRPr="00A241D8">
        <w:t>5</w:t>
      </w:r>
      <w:r w:rsidR="00991959" w:rsidRPr="00A241D8">
        <w:t>00 for all controls that were evaluated, ArcelorMittal Plate will not be adding any new controls.</w:t>
      </w:r>
      <w:r w:rsidR="00701960">
        <w:t xml:space="preserve">  </w:t>
      </w:r>
    </w:p>
    <w:p w:rsidR="00991959" w:rsidRPr="001C2F6C" w:rsidRDefault="000324F2" w:rsidP="000324F2">
      <w:pPr>
        <w:jc w:val="center"/>
        <w:rPr>
          <w:b/>
        </w:rPr>
      </w:pPr>
      <w:r w:rsidRPr="001C2F6C">
        <w:rPr>
          <w:b/>
        </w:rPr>
        <w:t>Table 2a</w:t>
      </w:r>
    </w:p>
    <w:tbl>
      <w:tblPr>
        <w:tblStyle w:val="TableGrid"/>
        <w:tblW w:w="13128" w:type="dxa"/>
        <w:tblInd w:w="108" w:type="dxa"/>
        <w:tblLook w:val="04A0" w:firstRow="1" w:lastRow="0" w:firstColumn="1" w:lastColumn="0" w:noHBand="0" w:noVBand="1"/>
      </w:tblPr>
      <w:tblGrid>
        <w:gridCol w:w="1350"/>
        <w:gridCol w:w="4050"/>
        <w:gridCol w:w="1598"/>
        <w:gridCol w:w="1518"/>
        <w:gridCol w:w="1438"/>
        <w:gridCol w:w="1537"/>
        <w:gridCol w:w="1637"/>
      </w:tblGrid>
      <w:tr w:rsidR="00FD1A2D" w:rsidRPr="00751D71" w:rsidTr="00241C05">
        <w:tc>
          <w:tcPr>
            <w:tcW w:w="1350" w:type="dxa"/>
            <w:shd w:val="clear" w:color="auto" w:fill="D9D9D9" w:themeFill="background1" w:themeFillShade="D9"/>
          </w:tcPr>
          <w:p w:rsidR="00FD1A2D" w:rsidRPr="0054648C" w:rsidRDefault="00FD1A2D" w:rsidP="0054648C">
            <w:pPr>
              <w:jc w:val="center"/>
            </w:pPr>
            <w:r w:rsidRPr="0054648C">
              <w:t>Source ID</w:t>
            </w:r>
          </w:p>
        </w:tc>
        <w:tc>
          <w:tcPr>
            <w:tcW w:w="4050" w:type="dxa"/>
            <w:shd w:val="clear" w:color="auto" w:fill="D9D9D9" w:themeFill="background1" w:themeFillShade="D9"/>
            <w:vAlign w:val="center"/>
          </w:tcPr>
          <w:p w:rsidR="00FD1A2D" w:rsidRPr="0054648C" w:rsidRDefault="00FD1A2D" w:rsidP="0054648C">
            <w:pPr>
              <w:jc w:val="center"/>
            </w:pPr>
            <w:r w:rsidRPr="0054648C">
              <w:t>Source Name</w:t>
            </w:r>
          </w:p>
        </w:tc>
        <w:tc>
          <w:tcPr>
            <w:tcW w:w="1598" w:type="dxa"/>
            <w:shd w:val="clear" w:color="auto" w:fill="D9D9D9" w:themeFill="background1" w:themeFillShade="D9"/>
            <w:vAlign w:val="center"/>
          </w:tcPr>
          <w:p w:rsidR="00FD1A2D" w:rsidRPr="0054648C" w:rsidRDefault="00FD1A2D" w:rsidP="0054648C">
            <w:pPr>
              <w:jc w:val="center"/>
            </w:pPr>
            <w:r w:rsidRPr="0054648C">
              <w:t>LNB</w:t>
            </w:r>
          </w:p>
        </w:tc>
        <w:tc>
          <w:tcPr>
            <w:tcW w:w="1518" w:type="dxa"/>
            <w:shd w:val="clear" w:color="auto" w:fill="D9D9D9" w:themeFill="background1" w:themeFillShade="D9"/>
            <w:vAlign w:val="center"/>
          </w:tcPr>
          <w:p w:rsidR="00FD1A2D" w:rsidRPr="0054648C" w:rsidRDefault="00FD1A2D" w:rsidP="0054648C">
            <w:pPr>
              <w:jc w:val="center"/>
              <w:rPr>
                <w:sz w:val="22"/>
                <w:szCs w:val="22"/>
              </w:rPr>
            </w:pPr>
            <w:r w:rsidRPr="0054648C">
              <w:rPr>
                <w:sz w:val="22"/>
                <w:szCs w:val="22"/>
              </w:rPr>
              <w:t>FGR</w:t>
            </w:r>
            <w:r>
              <w:rPr>
                <w:sz w:val="22"/>
                <w:szCs w:val="22"/>
              </w:rPr>
              <w:t>/LNB</w:t>
            </w:r>
          </w:p>
        </w:tc>
        <w:tc>
          <w:tcPr>
            <w:tcW w:w="1438" w:type="dxa"/>
            <w:shd w:val="clear" w:color="auto" w:fill="D9D9D9" w:themeFill="background1" w:themeFillShade="D9"/>
            <w:vAlign w:val="center"/>
          </w:tcPr>
          <w:p w:rsidR="00FD1A2D" w:rsidRPr="0054648C" w:rsidRDefault="00FD1A2D" w:rsidP="00C444A6">
            <w:pPr>
              <w:jc w:val="center"/>
              <w:rPr>
                <w:sz w:val="22"/>
                <w:szCs w:val="22"/>
              </w:rPr>
            </w:pPr>
            <w:r w:rsidRPr="0054648C">
              <w:rPr>
                <w:sz w:val="22"/>
                <w:szCs w:val="22"/>
              </w:rPr>
              <w:t>SNCR</w:t>
            </w:r>
          </w:p>
        </w:tc>
        <w:tc>
          <w:tcPr>
            <w:tcW w:w="1537" w:type="dxa"/>
            <w:shd w:val="clear" w:color="auto" w:fill="D9D9D9" w:themeFill="background1" w:themeFillShade="D9"/>
            <w:vAlign w:val="center"/>
          </w:tcPr>
          <w:p w:rsidR="00FD1A2D" w:rsidRPr="0054648C" w:rsidRDefault="00FD1A2D" w:rsidP="00C444A6">
            <w:pPr>
              <w:jc w:val="center"/>
              <w:rPr>
                <w:sz w:val="22"/>
                <w:szCs w:val="22"/>
              </w:rPr>
            </w:pPr>
            <w:r w:rsidRPr="0054648C">
              <w:rPr>
                <w:sz w:val="22"/>
                <w:szCs w:val="22"/>
              </w:rPr>
              <w:t>ULNB</w:t>
            </w:r>
          </w:p>
        </w:tc>
        <w:tc>
          <w:tcPr>
            <w:tcW w:w="1637" w:type="dxa"/>
            <w:shd w:val="clear" w:color="auto" w:fill="D9D9D9" w:themeFill="background1" w:themeFillShade="D9"/>
            <w:vAlign w:val="center"/>
          </w:tcPr>
          <w:p w:rsidR="00FD1A2D" w:rsidRPr="0054648C" w:rsidRDefault="00FD1A2D" w:rsidP="00C444A6">
            <w:pPr>
              <w:jc w:val="center"/>
              <w:rPr>
                <w:sz w:val="22"/>
                <w:szCs w:val="22"/>
              </w:rPr>
            </w:pPr>
            <w:r w:rsidRPr="0054648C">
              <w:rPr>
                <w:sz w:val="22"/>
                <w:szCs w:val="22"/>
              </w:rPr>
              <w:t>SCR</w:t>
            </w:r>
          </w:p>
        </w:tc>
      </w:tr>
      <w:tr w:rsidR="00FD1A2D" w:rsidRPr="00D82C50" w:rsidTr="00241C05">
        <w:tc>
          <w:tcPr>
            <w:tcW w:w="1350" w:type="dxa"/>
          </w:tcPr>
          <w:p w:rsidR="00FD1A2D" w:rsidRPr="0054648C" w:rsidRDefault="00A423B7" w:rsidP="0054648C">
            <w:pPr>
              <w:jc w:val="center"/>
            </w:pPr>
            <w:r>
              <w:t>0</w:t>
            </w:r>
            <w:r w:rsidR="00FD1A2D" w:rsidRPr="0054648C">
              <w:t>55</w:t>
            </w:r>
          </w:p>
        </w:tc>
        <w:tc>
          <w:tcPr>
            <w:tcW w:w="4050" w:type="dxa"/>
          </w:tcPr>
          <w:p w:rsidR="00FD1A2D" w:rsidRPr="0054648C" w:rsidRDefault="00FD1A2D" w:rsidP="0054648C">
            <w:pPr>
              <w:jc w:val="center"/>
            </w:pPr>
            <w:r w:rsidRPr="0054648C">
              <w:t>EMS Boiler</w:t>
            </w:r>
          </w:p>
        </w:tc>
        <w:tc>
          <w:tcPr>
            <w:tcW w:w="1598" w:type="dxa"/>
          </w:tcPr>
          <w:p w:rsidR="00FD1A2D" w:rsidRPr="0054648C" w:rsidRDefault="00FD1A2D" w:rsidP="00FE3464">
            <w:pPr>
              <w:jc w:val="center"/>
            </w:pPr>
            <w:r w:rsidRPr="0054648C">
              <w:t>$</w:t>
            </w:r>
            <w:r w:rsidR="00F7677E">
              <w:t>21</w:t>
            </w:r>
            <w:r w:rsidRPr="0054648C">
              <w:t>,</w:t>
            </w:r>
            <w:r w:rsidR="00F7677E">
              <w:t>758</w:t>
            </w:r>
          </w:p>
        </w:tc>
        <w:tc>
          <w:tcPr>
            <w:tcW w:w="1518" w:type="dxa"/>
          </w:tcPr>
          <w:p w:rsidR="00FD1A2D" w:rsidRPr="0054648C" w:rsidRDefault="00FD1A2D" w:rsidP="0054648C">
            <w:pPr>
              <w:jc w:val="center"/>
            </w:pPr>
            <w:r>
              <w:t>$</w:t>
            </w:r>
            <w:r w:rsidR="00F7677E">
              <w:t>26</w:t>
            </w:r>
            <w:r>
              <w:t>,</w:t>
            </w:r>
            <w:r w:rsidR="00F7677E">
              <w:t>091</w:t>
            </w:r>
          </w:p>
        </w:tc>
        <w:tc>
          <w:tcPr>
            <w:tcW w:w="1438" w:type="dxa"/>
            <w:shd w:val="clear" w:color="auto" w:fill="auto"/>
          </w:tcPr>
          <w:p w:rsidR="00FD1A2D" w:rsidRPr="0054648C" w:rsidRDefault="00FD1A2D" w:rsidP="0054648C">
            <w:pPr>
              <w:jc w:val="center"/>
            </w:pPr>
            <w:r w:rsidRPr="00E905B1">
              <w:t xml:space="preserve">  N/A</w:t>
            </w:r>
            <w:r w:rsidRPr="00E905B1">
              <w:rPr>
                <w:vertAlign w:val="superscript"/>
              </w:rPr>
              <w:t>1</w:t>
            </w:r>
          </w:p>
        </w:tc>
        <w:tc>
          <w:tcPr>
            <w:tcW w:w="1537" w:type="dxa"/>
            <w:shd w:val="clear" w:color="auto" w:fill="auto"/>
          </w:tcPr>
          <w:p w:rsidR="00FD1A2D" w:rsidRPr="0054648C" w:rsidRDefault="00FD1A2D" w:rsidP="0054648C">
            <w:pPr>
              <w:jc w:val="center"/>
            </w:pPr>
            <w:r>
              <w:t>$11,</w:t>
            </w:r>
            <w:r w:rsidR="00F7677E">
              <w:t>236</w:t>
            </w:r>
          </w:p>
        </w:tc>
        <w:tc>
          <w:tcPr>
            <w:tcW w:w="1637" w:type="dxa"/>
            <w:shd w:val="clear" w:color="auto" w:fill="auto"/>
          </w:tcPr>
          <w:p w:rsidR="00FD1A2D" w:rsidRPr="0054648C" w:rsidRDefault="00A71B84" w:rsidP="0054648C">
            <w:pPr>
              <w:jc w:val="center"/>
            </w:pPr>
            <w:r>
              <w:t>$</w:t>
            </w:r>
            <w:r w:rsidR="00F7677E">
              <w:t>68</w:t>
            </w:r>
            <w:r w:rsidR="00FD1A2D">
              <w:t>,</w:t>
            </w:r>
            <w:r w:rsidR="00F7677E">
              <w:t>295</w:t>
            </w:r>
          </w:p>
        </w:tc>
      </w:tr>
      <w:tr w:rsidR="00FD1A2D" w:rsidRPr="000A12F9" w:rsidTr="00241C05">
        <w:tc>
          <w:tcPr>
            <w:tcW w:w="1350" w:type="dxa"/>
          </w:tcPr>
          <w:p w:rsidR="00FD1A2D" w:rsidRPr="0054648C" w:rsidRDefault="00FD1A2D" w:rsidP="0054648C">
            <w:pPr>
              <w:jc w:val="center"/>
            </w:pPr>
            <w:r w:rsidRPr="0054648C">
              <w:t>104</w:t>
            </w:r>
          </w:p>
        </w:tc>
        <w:tc>
          <w:tcPr>
            <w:tcW w:w="4050" w:type="dxa"/>
          </w:tcPr>
          <w:p w:rsidR="00FD1A2D" w:rsidRPr="0054648C" w:rsidRDefault="00FD1A2D" w:rsidP="0054648C">
            <w:pPr>
              <w:jc w:val="center"/>
            </w:pPr>
            <w:r w:rsidRPr="0054648C">
              <w:t>“D” Electric Furnace</w:t>
            </w:r>
          </w:p>
        </w:tc>
        <w:tc>
          <w:tcPr>
            <w:tcW w:w="1598" w:type="dxa"/>
          </w:tcPr>
          <w:p w:rsidR="00FD1A2D" w:rsidRPr="0054648C" w:rsidRDefault="00FD1A2D" w:rsidP="0054648C">
            <w:pPr>
              <w:jc w:val="center"/>
            </w:pPr>
            <w:r w:rsidRPr="00902267">
              <w:t xml:space="preserve">  N/A</w:t>
            </w:r>
            <w:r>
              <w:rPr>
                <w:vertAlign w:val="superscript"/>
              </w:rPr>
              <w:t>2</w:t>
            </w:r>
          </w:p>
        </w:tc>
        <w:tc>
          <w:tcPr>
            <w:tcW w:w="1518" w:type="dxa"/>
          </w:tcPr>
          <w:p w:rsidR="00FD1A2D" w:rsidRPr="0054648C" w:rsidRDefault="00FD1A2D" w:rsidP="0054648C">
            <w:pPr>
              <w:jc w:val="center"/>
            </w:pPr>
            <w:r w:rsidRPr="00902267">
              <w:t xml:space="preserve">  N/A</w:t>
            </w:r>
            <w:r>
              <w:rPr>
                <w:vertAlign w:val="superscript"/>
              </w:rPr>
              <w:t>2</w:t>
            </w:r>
          </w:p>
        </w:tc>
        <w:tc>
          <w:tcPr>
            <w:tcW w:w="1438" w:type="dxa"/>
            <w:shd w:val="clear" w:color="auto" w:fill="auto"/>
          </w:tcPr>
          <w:p w:rsidR="00FD1A2D" w:rsidRPr="00F75AF4" w:rsidRDefault="00FD1A2D" w:rsidP="00E905B1">
            <w:pPr>
              <w:jc w:val="center"/>
            </w:pPr>
            <w:r w:rsidRPr="00F75AF4">
              <w:t xml:space="preserve">  N/A</w:t>
            </w:r>
            <w:r w:rsidRPr="00F75AF4">
              <w:rPr>
                <w:vertAlign w:val="superscript"/>
              </w:rPr>
              <w:t>3</w:t>
            </w:r>
          </w:p>
        </w:tc>
        <w:tc>
          <w:tcPr>
            <w:tcW w:w="1537" w:type="dxa"/>
            <w:shd w:val="clear" w:color="auto" w:fill="auto"/>
          </w:tcPr>
          <w:p w:rsidR="00FD1A2D" w:rsidRPr="00F75AF4" w:rsidRDefault="00FD1A2D" w:rsidP="0054648C">
            <w:pPr>
              <w:jc w:val="center"/>
            </w:pPr>
            <w:r w:rsidRPr="00F75AF4">
              <w:t xml:space="preserve">  N/A</w:t>
            </w:r>
            <w:r w:rsidRPr="00F75AF4">
              <w:rPr>
                <w:vertAlign w:val="superscript"/>
              </w:rPr>
              <w:t>2</w:t>
            </w:r>
          </w:p>
        </w:tc>
        <w:tc>
          <w:tcPr>
            <w:tcW w:w="1637" w:type="dxa"/>
            <w:shd w:val="clear" w:color="auto" w:fill="auto"/>
          </w:tcPr>
          <w:p w:rsidR="00FD1A2D" w:rsidRPr="00F75AF4" w:rsidRDefault="00FD1A2D" w:rsidP="0054648C">
            <w:pPr>
              <w:jc w:val="center"/>
            </w:pPr>
            <w:r w:rsidRPr="00F75AF4">
              <w:t xml:space="preserve">  N/A</w:t>
            </w:r>
            <w:r w:rsidRPr="00F75AF4">
              <w:rPr>
                <w:vertAlign w:val="superscript"/>
              </w:rPr>
              <w:t>3</w:t>
            </w:r>
          </w:p>
        </w:tc>
      </w:tr>
      <w:tr w:rsidR="00FD1A2D" w:rsidTr="00017417">
        <w:tc>
          <w:tcPr>
            <w:tcW w:w="1350" w:type="dxa"/>
            <w:shd w:val="clear" w:color="auto" w:fill="auto"/>
          </w:tcPr>
          <w:p w:rsidR="00FD1A2D" w:rsidRPr="0054648C" w:rsidRDefault="00FD1A2D" w:rsidP="0054648C">
            <w:pPr>
              <w:jc w:val="center"/>
            </w:pPr>
            <w:r w:rsidRPr="0054648C">
              <w:t>136</w:t>
            </w:r>
          </w:p>
        </w:tc>
        <w:tc>
          <w:tcPr>
            <w:tcW w:w="4050" w:type="dxa"/>
            <w:shd w:val="clear" w:color="auto" w:fill="auto"/>
          </w:tcPr>
          <w:p w:rsidR="00FD1A2D" w:rsidRPr="0054648C" w:rsidRDefault="00FD1A2D" w:rsidP="0054648C">
            <w:pPr>
              <w:jc w:val="center"/>
            </w:pPr>
            <w:r w:rsidRPr="0054648C">
              <w:t>BHT Furnace #2</w:t>
            </w:r>
          </w:p>
        </w:tc>
        <w:tc>
          <w:tcPr>
            <w:tcW w:w="1598" w:type="dxa"/>
            <w:shd w:val="clear" w:color="auto" w:fill="auto"/>
          </w:tcPr>
          <w:p w:rsidR="00FD1A2D" w:rsidRPr="00F75AF4" w:rsidRDefault="00FD1A2D" w:rsidP="0054648C">
            <w:pPr>
              <w:jc w:val="center"/>
            </w:pPr>
            <w:r w:rsidRPr="00F75AF4">
              <w:t xml:space="preserve">  </w:t>
            </w:r>
            <w:r w:rsidR="00A71B84">
              <w:t>$</w:t>
            </w:r>
            <w:r w:rsidR="00F7677E">
              <w:t>18</w:t>
            </w:r>
            <w:r w:rsidR="00A71B84">
              <w:t>,</w:t>
            </w:r>
            <w:r w:rsidR="00F7677E">
              <w:t>751</w:t>
            </w:r>
          </w:p>
        </w:tc>
        <w:tc>
          <w:tcPr>
            <w:tcW w:w="1518" w:type="dxa"/>
            <w:shd w:val="clear" w:color="auto" w:fill="auto"/>
          </w:tcPr>
          <w:p w:rsidR="00FD1A2D" w:rsidRPr="00F75AF4" w:rsidRDefault="00FD1A2D" w:rsidP="0054648C">
            <w:pPr>
              <w:jc w:val="center"/>
            </w:pPr>
            <w:r w:rsidRPr="00F75AF4">
              <w:t xml:space="preserve">  N/A</w:t>
            </w:r>
            <w:r w:rsidRPr="00F75AF4">
              <w:rPr>
                <w:vertAlign w:val="superscript"/>
              </w:rPr>
              <w:t>4</w:t>
            </w:r>
          </w:p>
        </w:tc>
        <w:tc>
          <w:tcPr>
            <w:tcW w:w="1438" w:type="dxa"/>
            <w:shd w:val="clear" w:color="auto" w:fill="auto"/>
          </w:tcPr>
          <w:p w:rsidR="00FD1A2D" w:rsidRPr="00E905B1" w:rsidRDefault="00FD1A2D" w:rsidP="0054648C">
            <w:pPr>
              <w:jc w:val="center"/>
              <w:rPr>
                <w:vertAlign w:val="superscript"/>
              </w:rPr>
            </w:pPr>
            <w:r>
              <w:t xml:space="preserve">  N/A</w:t>
            </w:r>
            <w:r>
              <w:rPr>
                <w:vertAlign w:val="superscript"/>
              </w:rPr>
              <w:t>1</w:t>
            </w:r>
          </w:p>
        </w:tc>
        <w:tc>
          <w:tcPr>
            <w:tcW w:w="1537" w:type="dxa"/>
            <w:shd w:val="clear" w:color="auto" w:fill="auto"/>
          </w:tcPr>
          <w:p w:rsidR="00FD1A2D" w:rsidRPr="00017417" w:rsidRDefault="00017417" w:rsidP="0054648C">
            <w:pPr>
              <w:jc w:val="center"/>
              <w:rPr>
                <w:vertAlign w:val="superscript"/>
              </w:rPr>
            </w:pPr>
            <w:r>
              <w:t xml:space="preserve"> </w:t>
            </w:r>
            <w:r w:rsidR="00D11CD7">
              <w:t>N/A</w:t>
            </w:r>
            <w:r>
              <w:rPr>
                <w:vertAlign w:val="superscript"/>
              </w:rPr>
              <w:t>5</w:t>
            </w:r>
          </w:p>
        </w:tc>
        <w:tc>
          <w:tcPr>
            <w:tcW w:w="1637" w:type="dxa"/>
            <w:shd w:val="clear" w:color="auto" w:fill="auto"/>
          </w:tcPr>
          <w:p w:rsidR="00FD1A2D" w:rsidRPr="00A363D1" w:rsidRDefault="00A363D1" w:rsidP="0054648C">
            <w:pPr>
              <w:jc w:val="center"/>
              <w:rPr>
                <w:highlight w:val="yellow"/>
              </w:rPr>
            </w:pPr>
            <w:r w:rsidRPr="004D1E0C">
              <w:t>$</w:t>
            </w:r>
            <w:r w:rsidR="00017417">
              <w:t>43</w:t>
            </w:r>
            <w:r w:rsidRPr="004D1E0C">
              <w:t>,</w:t>
            </w:r>
            <w:r w:rsidR="00017417">
              <w:t>164</w:t>
            </w:r>
          </w:p>
        </w:tc>
      </w:tr>
      <w:tr w:rsidR="00FD1A2D" w:rsidTr="00017417">
        <w:tc>
          <w:tcPr>
            <w:tcW w:w="1350" w:type="dxa"/>
            <w:shd w:val="clear" w:color="auto" w:fill="auto"/>
          </w:tcPr>
          <w:p w:rsidR="00FD1A2D" w:rsidRPr="0054648C" w:rsidRDefault="00FD1A2D" w:rsidP="0054648C">
            <w:pPr>
              <w:jc w:val="center"/>
            </w:pPr>
            <w:r w:rsidRPr="0054648C">
              <w:t>136</w:t>
            </w:r>
          </w:p>
        </w:tc>
        <w:tc>
          <w:tcPr>
            <w:tcW w:w="4050" w:type="dxa"/>
            <w:shd w:val="clear" w:color="auto" w:fill="auto"/>
          </w:tcPr>
          <w:p w:rsidR="00FD1A2D" w:rsidRPr="0054648C" w:rsidRDefault="00FD1A2D" w:rsidP="0054648C">
            <w:pPr>
              <w:jc w:val="center"/>
            </w:pPr>
            <w:r w:rsidRPr="0054648C">
              <w:t>BHT Furnace #3</w:t>
            </w:r>
          </w:p>
        </w:tc>
        <w:tc>
          <w:tcPr>
            <w:tcW w:w="1598" w:type="dxa"/>
            <w:shd w:val="clear" w:color="auto" w:fill="auto"/>
          </w:tcPr>
          <w:p w:rsidR="00FD1A2D" w:rsidRPr="0013657E" w:rsidRDefault="004D1E0C" w:rsidP="00AF52C5">
            <w:pPr>
              <w:jc w:val="center"/>
              <w:rPr>
                <w:highlight w:val="yellow"/>
              </w:rPr>
            </w:pPr>
            <w:r w:rsidRPr="004D1E0C">
              <w:t>$</w:t>
            </w:r>
            <w:r w:rsidR="00F7677E">
              <w:t>30</w:t>
            </w:r>
            <w:r w:rsidRPr="004D1E0C">
              <w:t>,0</w:t>
            </w:r>
            <w:r w:rsidR="00F7677E">
              <w:t>01</w:t>
            </w:r>
          </w:p>
        </w:tc>
        <w:tc>
          <w:tcPr>
            <w:tcW w:w="1518" w:type="dxa"/>
            <w:shd w:val="clear" w:color="auto" w:fill="auto"/>
          </w:tcPr>
          <w:p w:rsidR="00FD1A2D" w:rsidRPr="0013657E" w:rsidRDefault="00522115" w:rsidP="00AF52C5">
            <w:pPr>
              <w:jc w:val="center"/>
              <w:rPr>
                <w:highlight w:val="yellow"/>
              </w:rPr>
            </w:pPr>
            <w:r w:rsidRPr="004D1E0C">
              <w:t>$</w:t>
            </w:r>
            <w:r w:rsidR="007E6106">
              <w:t>41</w:t>
            </w:r>
            <w:r w:rsidRPr="004D1E0C">
              <w:t>,</w:t>
            </w:r>
            <w:r w:rsidR="007E6106">
              <w:t>046</w:t>
            </w:r>
          </w:p>
        </w:tc>
        <w:tc>
          <w:tcPr>
            <w:tcW w:w="1438" w:type="dxa"/>
            <w:shd w:val="clear" w:color="auto" w:fill="auto"/>
          </w:tcPr>
          <w:p w:rsidR="00FD1A2D" w:rsidRPr="0054648C" w:rsidRDefault="00FD1A2D" w:rsidP="0054648C">
            <w:pPr>
              <w:jc w:val="center"/>
            </w:pPr>
            <w:r w:rsidRPr="00E905B1">
              <w:t xml:space="preserve">  N/A</w:t>
            </w:r>
            <w:r w:rsidRPr="00E905B1">
              <w:rPr>
                <w:vertAlign w:val="superscript"/>
              </w:rPr>
              <w:t>1</w:t>
            </w:r>
          </w:p>
        </w:tc>
        <w:tc>
          <w:tcPr>
            <w:tcW w:w="1537" w:type="dxa"/>
            <w:shd w:val="clear" w:color="auto" w:fill="auto"/>
          </w:tcPr>
          <w:p w:rsidR="00FD1A2D" w:rsidRPr="0054648C" w:rsidRDefault="00017417" w:rsidP="0054648C">
            <w:pPr>
              <w:jc w:val="center"/>
            </w:pPr>
            <w:r>
              <w:t xml:space="preserve"> N/A</w:t>
            </w:r>
            <w:r>
              <w:rPr>
                <w:vertAlign w:val="superscript"/>
              </w:rPr>
              <w:t>5</w:t>
            </w:r>
          </w:p>
        </w:tc>
        <w:tc>
          <w:tcPr>
            <w:tcW w:w="1637" w:type="dxa"/>
            <w:shd w:val="clear" w:color="auto" w:fill="auto"/>
          </w:tcPr>
          <w:p w:rsidR="00FD1A2D" w:rsidRPr="00A363D1" w:rsidRDefault="003724E8" w:rsidP="0054648C">
            <w:pPr>
              <w:jc w:val="center"/>
              <w:rPr>
                <w:highlight w:val="yellow"/>
              </w:rPr>
            </w:pPr>
            <w:r>
              <w:t>$</w:t>
            </w:r>
            <w:r w:rsidR="00017417">
              <w:t>51</w:t>
            </w:r>
            <w:r>
              <w:t>,</w:t>
            </w:r>
            <w:r w:rsidR="00017417">
              <w:t>768</w:t>
            </w:r>
          </w:p>
        </w:tc>
      </w:tr>
      <w:tr w:rsidR="00FD1A2D" w:rsidTr="00017417">
        <w:tc>
          <w:tcPr>
            <w:tcW w:w="1350" w:type="dxa"/>
            <w:shd w:val="clear" w:color="auto" w:fill="auto"/>
          </w:tcPr>
          <w:p w:rsidR="00FD1A2D" w:rsidRPr="0054648C" w:rsidRDefault="00FD1A2D" w:rsidP="0054648C">
            <w:pPr>
              <w:jc w:val="center"/>
            </w:pPr>
            <w:r w:rsidRPr="0054648C">
              <w:t>136</w:t>
            </w:r>
          </w:p>
        </w:tc>
        <w:tc>
          <w:tcPr>
            <w:tcW w:w="4050" w:type="dxa"/>
            <w:shd w:val="clear" w:color="auto" w:fill="auto"/>
          </w:tcPr>
          <w:p w:rsidR="00FD1A2D" w:rsidRPr="0054648C" w:rsidRDefault="00FD1A2D" w:rsidP="0054648C">
            <w:pPr>
              <w:jc w:val="center"/>
            </w:pPr>
            <w:r w:rsidRPr="0054648C">
              <w:t>BHT Furnace #4</w:t>
            </w:r>
          </w:p>
        </w:tc>
        <w:tc>
          <w:tcPr>
            <w:tcW w:w="1598" w:type="dxa"/>
            <w:shd w:val="clear" w:color="auto" w:fill="auto"/>
          </w:tcPr>
          <w:p w:rsidR="00FD1A2D" w:rsidRPr="00F75AF4" w:rsidRDefault="00522115" w:rsidP="00AF52C5">
            <w:pPr>
              <w:jc w:val="center"/>
            </w:pPr>
            <w:r w:rsidRPr="004D1E0C">
              <w:t>$</w:t>
            </w:r>
            <w:r w:rsidR="00F7677E">
              <w:t>19</w:t>
            </w:r>
            <w:r w:rsidRPr="004D1E0C">
              <w:t>,</w:t>
            </w:r>
            <w:r w:rsidR="00F7677E">
              <w:t>715</w:t>
            </w:r>
          </w:p>
        </w:tc>
        <w:tc>
          <w:tcPr>
            <w:tcW w:w="1518" w:type="dxa"/>
            <w:shd w:val="clear" w:color="auto" w:fill="auto"/>
          </w:tcPr>
          <w:p w:rsidR="00FD1A2D" w:rsidRPr="00F75AF4" w:rsidRDefault="00FD1A2D" w:rsidP="00AF52C5">
            <w:pPr>
              <w:jc w:val="center"/>
            </w:pPr>
            <w:r w:rsidRPr="00F75AF4">
              <w:t xml:space="preserve">  N/A</w:t>
            </w:r>
            <w:r w:rsidRPr="00F75AF4">
              <w:rPr>
                <w:vertAlign w:val="superscript"/>
              </w:rPr>
              <w:t>4</w:t>
            </w:r>
          </w:p>
        </w:tc>
        <w:tc>
          <w:tcPr>
            <w:tcW w:w="1438" w:type="dxa"/>
            <w:shd w:val="clear" w:color="auto" w:fill="auto"/>
          </w:tcPr>
          <w:p w:rsidR="00FD1A2D" w:rsidRPr="0054648C" w:rsidRDefault="00FD1A2D" w:rsidP="0054648C">
            <w:pPr>
              <w:jc w:val="center"/>
            </w:pPr>
            <w:r w:rsidRPr="00E905B1">
              <w:t xml:space="preserve">  N/A</w:t>
            </w:r>
            <w:r w:rsidRPr="00E905B1">
              <w:rPr>
                <w:vertAlign w:val="superscript"/>
              </w:rPr>
              <w:t>1</w:t>
            </w:r>
          </w:p>
        </w:tc>
        <w:tc>
          <w:tcPr>
            <w:tcW w:w="1537" w:type="dxa"/>
            <w:shd w:val="clear" w:color="auto" w:fill="auto"/>
          </w:tcPr>
          <w:p w:rsidR="00FD1A2D" w:rsidRPr="0054648C" w:rsidRDefault="00017417" w:rsidP="0054648C">
            <w:pPr>
              <w:jc w:val="center"/>
            </w:pPr>
            <w:r>
              <w:t xml:space="preserve"> N/A</w:t>
            </w:r>
            <w:r>
              <w:rPr>
                <w:vertAlign w:val="superscript"/>
              </w:rPr>
              <w:t>5</w:t>
            </w:r>
          </w:p>
        </w:tc>
        <w:tc>
          <w:tcPr>
            <w:tcW w:w="1637" w:type="dxa"/>
            <w:shd w:val="clear" w:color="auto" w:fill="auto"/>
          </w:tcPr>
          <w:p w:rsidR="00FD1A2D" w:rsidRPr="00A363D1" w:rsidRDefault="003724E8" w:rsidP="0054648C">
            <w:pPr>
              <w:jc w:val="center"/>
              <w:rPr>
                <w:highlight w:val="yellow"/>
              </w:rPr>
            </w:pPr>
            <w:r w:rsidRPr="004D1E0C">
              <w:t>$</w:t>
            </w:r>
            <w:r w:rsidR="00017417">
              <w:t>44</w:t>
            </w:r>
            <w:r w:rsidRPr="004D1E0C">
              <w:t>,</w:t>
            </w:r>
            <w:r w:rsidR="00017417">
              <w:t>007</w:t>
            </w:r>
          </w:p>
        </w:tc>
      </w:tr>
      <w:tr w:rsidR="00FD1A2D" w:rsidTr="00017417">
        <w:tc>
          <w:tcPr>
            <w:tcW w:w="1350" w:type="dxa"/>
            <w:shd w:val="clear" w:color="auto" w:fill="auto"/>
          </w:tcPr>
          <w:p w:rsidR="00FD1A2D" w:rsidRPr="0054648C" w:rsidRDefault="00FD1A2D" w:rsidP="0054648C">
            <w:pPr>
              <w:jc w:val="center"/>
            </w:pPr>
            <w:r w:rsidRPr="0054648C">
              <w:t>136</w:t>
            </w:r>
          </w:p>
        </w:tc>
        <w:tc>
          <w:tcPr>
            <w:tcW w:w="4050" w:type="dxa"/>
            <w:shd w:val="clear" w:color="auto" w:fill="auto"/>
          </w:tcPr>
          <w:p w:rsidR="00FD1A2D" w:rsidRPr="0054648C" w:rsidRDefault="00FD1A2D" w:rsidP="0054648C">
            <w:pPr>
              <w:jc w:val="center"/>
            </w:pPr>
            <w:r w:rsidRPr="0054648C">
              <w:t>BHT Furnace #5</w:t>
            </w:r>
          </w:p>
        </w:tc>
        <w:tc>
          <w:tcPr>
            <w:tcW w:w="1598" w:type="dxa"/>
            <w:shd w:val="clear" w:color="auto" w:fill="auto"/>
          </w:tcPr>
          <w:p w:rsidR="00FD1A2D" w:rsidRPr="00F75AF4" w:rsidRDefault="003724E8" w:rsidP="00AF52C5">
            <w:pPr>
              <w:jc w:val="center"/>
            </w:pPr>
            <w:r>
              <w:t>$</w:t>
            </w:r>
            <w:r w:rsidR="00F7677E">
              <w:t>1</w:t>
            </w:r>
            <w:r>
              <w:t>8,</w:t>
            </w:r>
            <w:r w:rsidR="00F7677E">
              <w:t>751</w:t>
            </w:r>
          </w:p>
        </w:tc>
        <w:tc>
          <w:tcPr>
            <w:tcW w:w="1518" w:type="dxa"/>
            <w:shd w:val="clear" w:color="auto" w:fill="auto"/>
          </w:tcPr>
          <w:p w:rsidR="00FD1A2D" w:rsidRPr="00F75AF4" w:rsidRDefault="00FD1A2D" w:rsidP="00AF52C5">
            <w:pPr>
              <w:jc w:val="center"/>
            </w:pPr>
            <w:r w:rsidRPr="00F75AF4">
              <w:t xml:space="preserve">  N/A</w:t>
            </w:r>
            <w:r w:rsidRPr="00F75AF4">
              <w:rPr>
                <w:vertAlign w:val="superscript"/>
              </w:rPr>
              <w:t>4</w:t>
            </w:r>
          </w:p>
        </w:tc>
        <w:tc>
          <w:tcPr>
            <w:tcW w:w="1438" w:type="dxa"/>
            <w:shd w:val="clear" w:color="auto" w:fill="auto"/>
          </w:tcPr>
          <w:p w:rsidR="00FD1A2D" w:rsidRPr="0054648C" w:rsidRDefault="00FD1A2D" w:rsidP="0054648C">
            <w:pPr>
              <w:jc w:val="center"/>
            </w:pPr>
            <w:r w:rsidRPr="00E905B1">
              <w:t xml:space="preserve">  N/A</w:t>
            </w:r>
            <w:r w:rsidRPr="00E905B1">
              <w:rPr>
                <w:vertAlign w:val="superscript"/>
              </w:rPr>
              <w:t>1</w:t>
            </w:r>
          </w:p>
        </w:tc>
        <w:tc>
          <w:tcPr>
            <w:tcW w:w="1537" w:type="dxa"/>
            <w:shd w:val="clear" w:color="auto" w:fill="auto"/>
          </w:tcPr>
          <w:p w:rsidR="00FD1A2D" w:rsidRPr="0054648C" w:rsidRDefault="00017417" w:rsidP="0054648C">
            <w:pPr>
              <w:jc w:val="center"/>
            </w:pPr>
            <w:r>
              <w:t xml:space="preserve"> N/A</w:t>
            </w:r>
            <w:r>
              <w:rPr>
                <w:vertAlign w:val="superscript"/>
              </w:rPr>
              <w:t>5</w:t>
            </w:r>
          </w:p>
        </w:tc>
        <w:tc>
          <w:tcPr>
            <w:tcW w:w="1637" w:type="dxa"/>
            <w:shd w:val="clear" w:color="auto" w:fill="auto"/>
          </w:tcPr>
          <w:p w:rsidR="00FD1A2D" w:rsidRPr="00A363D1" w:rsidRDefault="003724E8" w:rsidP="0054648C">
            <w:pPr>
              <w:jc w:val="center"/>
              <w:rPr>
                <w:highlight w:val="yellow"/>
              </w:rPr>
            </w:pPr>
            <w:r w:rsidRPr="004D1E0C">
              <w:t>$</w:t>
            </w:r>
            <w:r w:rsidR="00017417">
              <w:t>43</w:t>
            </w:r>
            <w:r w:rsidRPr="004D1E0C">
              <w:t>,</w:t>
            </w:r>
            <w:r w:rsidR="00017417">
              <w:t>164</w:t>
            </w:r>
          </w:p>
        </w:tc>
      </w:tr>
      <w:tr w:rsidR="00FD1A2D" w:rsidTr="00017417">
        <w:tc>
          <w:tcPr>
            <w:tcW w:w="1350" w:type="dxa"/>
            <w:shd w:val="clear" w:color="auto" w:fill="auto"/>
          </w:tcPr>
          <w:p w:rsidR="00FD1A2D" w:rsidRPr="0054648C" w:rsidRDefault="00FD1A2D" w:rsidP="0054648C">
            <w:pPr>
              <w:jc w:val="center"/>
            </w:pPr>
            <w:r w:rsidRPr="0054648C">
              <w:t>136</w:t>
            </w:r>
          </w:p>
        </w:tc>
        <w:tc>
          <w:tcPr>
            <w:tcW w:w="4050" w:type="dxa"/>
            <w:shd w:val="clear" w:color="auto" w:fill="auto"/>
          </w:tcPr>
          <w:p w:rsidR="00FD1A2D" w:rsidRPr="0054648C" w:rsidRDefault="00FD1A2D" w:rsidP="0054648C">
            <w:pPr>
              <w:jc w:val="center"/>
            </w:pPr>
            <w:r w:rsidRPr="0054648C">
              <w:t>BHT Furnace #6</w:t>
            </w:r>
          </w:p>
        </w:tc>
        <w:tc>
          <w:tcPr>
            <w:tcW w:w="1598" w:type="dxa"/>
            <w:shd w:val="clear" w:color="auto" w:fill="auto"/>
          </w:tcPr>
          <w:p w:rsidR="00FD1A2D" w:rsidRPr="00FD1A2D" w:rsidRDefault="00522115" w:rsidP="00AF52C5">
            <w:pPr>
              <w:jc w:val="center"/>
              <w:rPr>
                <w:highlight w:val="yellow"/>
              </w:rPr>
            </w:pPr>
            <w:r w:rsidRPr="00522115">
              <w:t>$</w:t>
            </w:r>
            <w:r w:rsidR="00F7677E">
              <w:t>28</w:t>
            </w:r>
            <w:r w:rsidRPr="00522115">
              <w:t>,</w:t>
            </w:r>
            <w:r w:rsidR="00F7677E">
              <w:t>751</w:t>
            </w:r>
          </w:p>
        </w:tc>
        <w:tc>
          <w:tcPr>
            <w:tcW w:w="1518" w:type="dxa"/>
            <w:shd w:val="clear" w:color="auto" w:fill="auto"/>
          </w:tcPr>
          <w:p w:rsidR="00FD1A2D" w:rsidRPr="00FD1A2D" w:rsidRDefault="00522115" w:rsidP="00AF52C5">
            <w:pPr>
              <w:jc w:val="center"/>
              <w:rPr>
                <w:highlight w:val="yellow"/>
              </w:rPr>
            </w:pPr>
            <w:r w:rsidRPr="004D1E0C">
              <w:t>$</w:t>
            </w:r>
            <w:r w:rsidR="001A4A6E">
              <w:t>3</w:t>
            </w:r>
            <w:r w:rsidR="007E6106">
              <w:t>9</w:t>
            </w:r>
            <w:r w:rsidRPr="004D1E0C">
              <w:t>,</w:t>
            </w:r>
            <w:r w:rsidR="007E6106">
              <w:t>621</w:t>
            </w:r>
          </w:p>
        </w:tc>
        <w:tc>
          <w:tcPr>
            <w:tcW w:w="1438" w:type="dxa"/>
            <w:shd w:val="clear" w:color="auto" w:fill="auto"/>
          </w:tcPr>
          <w:p w:rsidR="00FD1A2D" w:rsidRPr="0054648C" w:rsidRDefault="00FD1A2D" w:rsidP="0054648C">
            <w:pPr>
              <w:jc w:val="center"/>
            </w:pPr>
            <w:r w:rsidRPr="00E905B1">
              <w:t xml:space="preserve">  N/A</w:t>
            </w:r>
            <w:r w:rsidRPr="00E905B1">
              <w:rPr>
                <w:vertAlign w:val="superscript"/>
              </w:rPr>
              <w:t>1</w:t>
            </w:r>
          </w:p>
        </w:tc>
        <w:tc>
          <w:tcPr>
            <w:tcW w:w="1537" w:type="dxa"/>
            <w:shd w:val="clear" w:color="auto" w:fill="auto"/>
          </w:tcPr>
          <w:p w:rsidR="00FD1A2D" w:rsidRPr="0054648C" w:rsidRDefault="00017417" w:rsidP="0054648C">
            <w:pPr>
              <w:jc w:val="center"/>
            </w:pPr>
            <w:r>
              <w:t xml:space="preserve"> N/A</w:t>
            </w:r>
            <w:r>
              <w:rPr>
                <w:vertAlign w:val="superscript"/>
              </w:rPr>
              <w:t>5</w:t>
            </w:r>
          </w:p>
        </w:tc>
        <w:tc>
          <w:tcPr>
            <w:tcW w:w="1637" w:type="dxa"/>
            <w:shd w:val="clear" w:color="auto" w:fill="auto"/>
          </w:tcPr>
          <w:p w:rsidR="00FD1A2D" w:rsidRPr="00A363D1" w:rsidRDefault="003724E8" w:rsidP="0054648C">
            <w:pPr>
              <w:jc w:val="center"/>
              <w:rPr>
                <w:highlight w:val="yellow"/>
              </w:rPr>
            </w:pPr>
            <w:r>
              <w:t>$</w:t>
            </w:r>
            <w:r w:rsidR="00017417">
              <w:t>50</w:t>
            </w:r>
            <w:r>
              <w:t>,</w:t>
            </w:r>
            <w:r w:rsidR="00017417">
              <w:t>920</w:t>
            </w:r>
          </w:p>
        </w:tc>
      </w:tr>
      <w:tr w:rsidR="00FD1A2D" w:rsidTr="00017417">
        <w:trPr>
          <w:trHeight w:val="260"/>
        </w:trPr>
        <w:tc>
          <w:tcPr>
            <w:tcW w:w="1350" w:type="dxa"/>
            <w:shd w:val="clear" w:color="auto" w:fill="auto"/>
          </w:tcPr>
          <w:p w:rsidR="00FD1A2D" w:rsidRPr="0054648C" w:rsidRDefault="00FD1A2D" w:rsidP="0054648C">
            <w:pPr>
              <w:jc w:val="center"/>
            </w:pPr>
            <w:r w:rsidRPr="0054648C">
              <w:t>136</w:t>
            </w:r>
          </w:p>
        </w:tc>
        <w:tc>
          <w:tcPr>
            <w:tcW w:w="4050" w:type="dxa"/>
            <w:shd w:val="clear" w:color="auto" w:fill="auto"/>
          </w:tcPr>
          <w:p w:rsidR="00FD1A2D" w:rsidRPr="0054648C" w:rsidRDefault="00FD1A2D" w:rsidP="0054648C">
            <w:pPr>
              <w:jc w:val="center"/>
            </w:pPr>
            <w:r w:rsidRPr="0054648C">
              <w:t>BHT Furnace #7</w:t>
            </w:r>
          </w:p>
        </w:tc>
        <w:tc>
          <w:tcPr>
            <w:tcW w:w="1598" w:type="dxa"/>
            <w:shd w:val="clear" w:color="auto" w:fill="auto"/>
          </w:tcPr>
          <w:p w:rsidR="00FD1A2D" w:rsidRPr="00FD1A2D" w:rsidRDefault="00522115" w:rsidP="00AF52C5">
            <w:pPr>
              <w:jc w:val="center"/>
              <w:rPr>
                <w:highlight w:val="yellow"/>
              </w:rPr>
            </w:pPr>
            <w:r w:rsidRPr="00522115">
              <w:t>$</w:t>
            </w:r>
            <w:r w:rsidR="00F7677E">
              <w:t>18</w:t>
            </w:r>
            <w:r w:rsidRPr="00522115">
              <w:t>,</w:t>
            </w:r>
            <w:r w:rsidR="00F7677E">
              <w:t>751</w:t>
            </w:r>
          </w:p>
        </w:tc>
        <w:tc>
          <w:tcPr>
            <w:tcW w:w="1518" w:type="dxa"/>
            <w:shd w:val="clear" w:color="auto" w:fill="auto"/>
          </w:tcPr>
          <w:p w:rsidR="00FD1A2D" w:rsidRPr="00FD1A2D" w:rsidRDefault="002E7A73" w:rsidP="00AF52C5">
            <w:pPr>
              <w:jc w:val="center"/>
              <w:rPr>
                <w:highlight w:val="yellow"/>
              </w:rPr>
            </w:pPr>
            <w:r w:rsidRPr="00522115">
              <w:t>$</w:t>
            </w:r>
            <w:r w:rsidR="001A4A6E">
              <w:t>2</w:t>
            </w:r>
            <w:r w:rsidR="007E6106">
              <w:t>8</w:t>
            </w:r>
            <w:r w:rsidRPr="00522115">
              <w:t>,</w:t>
            </w:r>
            <w:r w:rsidR="007E6106">
              <w:t>00</w:t>
            </w:r>
            <w:r w:rsidR="001A4A6E">
              <w:t>7</w:t>
            </w:r>
          </w:p>
        </w:tc>
        <w:tc>
          <w:tcPr>
            <w:tcW w:w="1438" w:type="dxa"/>
            <w:shd w:val="clear" w:color="auto" w:fill="auto"/>
          </w:tcPr>
          <w:p w:rsidR="00FD1A2D" w:rsidRPr="0054648C" w:rsidRDefault="00FD1A2D" w:rsidP="0054648C">
            <w:pPr>
              <w:jc w:val="center"/>
            </w:pPr>
            <w:r w:rsidRPr="00E905B1">
              <w:t xml:space="preserve">  N/A</w:t>
            </w:r>
            <w:r w:rsidRPr="00E905B1">
              <w:rPr>
                <w:vertAlign w:val="superscript"/>
              </w:rPr>
              <w:t>1</w:t>
            </w:r>
          </w:p>
        </w:tc>
        <w:tc>
          <w:tcPr>
            <w:tcW w:w="1537" w:type="dxa"/>
            <w:shd w:val="clear" w:color="auto" w:fill="auto"/>
          </w:tcPr>
          <w:p w:rsidR="00FD1A2D" w:rsidRPr="0054648C" w:rsidRDefault="00017417" w:rsidP="0054648C">
            <w:pPr>
              <w:jc w:val="center"/>
            </w:pPr>
            <w:r>
              <w:t xml:space="preserve"> N/A</w:t>
            </w:r>
            <w:r>
              <w:rPr>
                <w:vertAlign w:val="superscript"/>
              </w:rPr>
              <w:t>5</w:t>
            </w:r>
          </w:p>
        </w:tc>
        <w:tc>
          <w:tcPr>
            <w:tcW w:w="1637" w:type="dxa"/>
            <w:shd w:val="clear" w:color="auto" w:fill="auto"/>
          </w:tcPr>
          <w:p w:rsidR="00FD1A2D" w:rsidRPr="00A363D1" w:rsidRDefault="003724E8" w:rsidP="0054648C">
            <w:pPr>
              <w:jc w:val="center"/>
              <w:rPr>
                <w:highlight w:val="yellow"/>
              </w:rPr>
            </w:pPr>
            <w:r w:rsidRPr="004D1E0C">
              <w:t>$</w:t>
            </w:r>
            <w:r w:rsidR="00017417">
              <w:t>43</w:t>
            </w:r>
            <w:r w:rsidRPr="004D1E0C">
              <w:t>,</w:t>
            </w:r>
            <w:r w:rsidR="00017417">
              <w:t>164</w:t>
            </w:r>
          </w:p>
        </w:tc>
      </w:tr>
      <w:tr w:rsidR="00FD1A2D" w:rsidTr="00017417">
        <w:tc>
          <w:tcPr>
            <w:tcW w:w="1350" w:type="dxa"/>
            <w:shd w:val="clear" w:color="auto" w:fill="auto"/>
          </w:tcPr>
          <w:p w:rsidR="00FD1A2D" w:rsidRPr="0054648C" w:rsidRDefault="00FD1A2D" w:rsidP="0054648C">
            <w:pPr>
              <w:jc w:val="center"/>
            </w:pPr>
            <w:r w:rsidRPr="0054648C">
              <w:t>136</w:t>
            </w:r>
          </w:p>
        </w:tc>
        <w:tc>
          <w:tcPr>
            <w:tcW w:w="4050" w:type="dxa"/>
            <w:shd w:val="clear" w:color="auto" w:fill="auto"/>
          </w:tcPr>
          <w:p w:rsidR="00FD1A2D" w:rsidRPr="0054648C" w:rsidRDefault="00FD1A2D" w:rsidP="0054648C">
            <w:pPr>
              <w:jc w:val="center"/>
            </w:pPr>
            <w:r w:rsidRPr="0054648C">
              <w:t>BHT Furnace #8</w:t>
            </w:r>
          </w:p>
        </w:tc>
        <w:tc>
          <w:tcPr>
            <w:tcW w:w="1598" w:type="dxa"/>
            <w:shd w:val="clear" w:color="auto" w:fill="auto"/>
          </w:tcPr>
          <w:p w:rsidR="00FD1A2D" w:rsidRPr="00F75AF4" w:rsidRDefault="00522115" w:rsidP="00AF52C5">
            <w:pPr>
              <w:jc w:val="center"/>
            </w:pPr>
            <w:r w:rsidRPr="00522115">
              <w:t>$</w:t>
            </w:r>
            <w:r w:rsidR="00F7677E">
              <w:t>15</w:t>
            </w:r>
            <w:r w:rsidRPr="00522115">
              <w:t>,</w:t>
            </w:r>
            <w:r w:rsidR="00F7677E">
              <w:t>300</w:t>
            </w:r>
          </w:p>
        </w:tc>
        <w:tc>
          <w:tcPr>
            <w:tcW w:w="1518" w:type="dxa"/>
            <w:shd w:val="clear" w:color="auto" w:fill="auto"/>
          </w:tcPr>
          <w:p w:rsidR="00FD1A2D" w:rsidRPr="00F75AF4" w:rsidRDefault="00FD1A2D" w:rsidP="00AF52C5">
            <w:pPr>
              <w:jc w:val="center"/>
            </w:pPr>
            <w:r w:rsidRPr="00F75AF4">
              <w:t xml:space="preserve">  N/A</w:t>
            </w:r>
            <w:r w:rsidRPr="00F75AF4">
              <w:rPr>
                <w:vertAlign w:val="superscript"/>
              </w:rPr>
              <w:t>4</w:t>
            </w:r>
          </w:p>
        </w:tc>
        <w:tc>
          <w:tcPr>
            <w:tcW w:w="1438" w:type="dxa"/>
            <w:shd w:val="clear" w:color="auto" w:fill="auto"/>
          </w:tcPr>
          <w:p w:rsidR="00FD1A2D" w:rsidRPr="0054648C" w:rsidRDefault="00FD1A2D" w:rsidP="0054648C">
            <w:pPr>
              <w:jc w:val="center"/>
            </w:pPr>
            <w:r w:rsidRPr="00E905B1">
              <w:t xml:space="preserve">  N/A</w:t>
            </w:r>
            <w:r w:rsidRPr="00E905B1">
              <w:rPr>
                <w:vertAlign w:val="superscript"/>
              </w:rPr>
              <w:t>1</w:t>
            </w:r>
          </w:p>
        </w:tc>
        <w:tc>
          <w:tcPr>
            <w:tcW w:w="1537" w:type="dxa"/>
            <w:shd w:val="clear" w:color="auto" w:fill="auto"/>
          </w:tcPr>
          <w:p w:rsidR="00FD1A2D" w:rsidRPr="0054648C" w:rsidRDefault="00017417" w:rsidP="0054648C">
            <w:pPr>
              <w:jc w:val="center"/>
            </w:pPr>
            <w:r>
              <w:t xml:space="preserve"> N/A</w:t>
            </w:r>
            <w:r>
              <w:rPr>
                <w:vertAlign w:val="superscript"/>
              </w:rPr>
              <w:t>5</w:t>
            </w:r>
          </w:p>
        </w:tc>
        <w:tc>
          <w:tcPr>
            <w:tcW w:w="1637" w:type="dxa"/>
            <w:shd w:val="clear" w:color="auto" w:fill="auto"/>
          </w:tcPr>
          <w:p w:rsidR="00FD1A2D" w:rsidRPr="00A363D1" w:rsidRDefault="003724E8" w:rsidP="0054648C">
            <w:pPr>
              <w:jc w:val="center"/>
              <w:rPr>
                <w:highlight w:val="yellow"/>
              </w:rPr>
            </w:pPr>
            <w:r>
              <w:t>$</w:t>
            </w:r>
            <w:r w:rsidR="00017417">
              <w:t>39</w:t>
            </w:r>
            <w:r>
              <w:t>,</w:t>
            </w:r>
            <w:r w:rsidR="00FE3464">
              <w:t>9</w:t>
            </w:r>
            <w:r w:rsidR="00017417">
              <w:t>15</w:t>
            </w:r>
          </w:p>
        </w:tc>
      </w:tr>
      <w:tr w:rsidR="00FD1A2D" w:rsidTr="00017417">
        <w:tc>
          <w:tcPr>
            <w:tcW w:w="1350" w:type="dxa"/>
            <w:shd w:val="clear" w:color="auto" w:fill="auto"/>
          </w:tcPr>
          <w:p w:rsidR="00FD1A2D" w:rsidRPr="0054648C" w:rsidRDefault="00FD1A2D" w:rsidP="0054648C">
            <w:pPr>
              <w:jc w:val="center"/>
            </w:pPr>
            <w:r w:rsidRPr="0054648C">
              <w:t>136</w:t>
            </w:r>
          </w:p>
        </w:tc>
        <w:tc>
          <w:tcPr>
            <w:tcW w:w="4050" w:type="dxa"/>
            <w:shd w:val="clear" w:color="auto" w:fill="auto"/>
          </w:tcPr>
          <w:p w:rsidR="00FD1A2D" w:rsidRPr="0054648C" w:rsidRDefault="00FD1A2D" w:rsidP="0054648C">
            <w:pPr>
              <w:jc w:val="center"/>
            </w:pPr>
            <w:r w:rsidRPr="0054648C">
              <w:t>BHT Furnace #10</w:t>
            </w:r>
          </w:p>
        </w:tc>
        <w:tc>
          <w:tcPr>
            <w:tcW w:w="1598" w:type="dxa"/>
            <w:shd w:val="clear" w:color="auto" w:fill="auto"/>
          </w:tcPr>
          <w:p w:rsidR="00FD1A2D" w:rsidRPr="00FD1A2D" w:rsidRDefault="00522115" w:rsidP="00AF52C5">
            <w:pPr>
              <w:jc w:val="center"/>
              <w:rPr>
                <w:highlight w:val="yellow"/>
              </w:rPr>
            </w:pPr>
            <w:r w:rsidRPr="00522115">
              <w:t>$</w:t>
            </w:r>
            <w:r w:rsidR="00F7677E">
              <w:t>18</w:t>
            </w:r>
            <w:r w:rsidRPr="00522115">
              <w:t>,</w:t>
            </w:r>
            <w:r w:rsidR="00F7677E">
              <w:t>751</w:t>
            </w:r>
          </w:p>
        </w:tc>
        <w:tc>
          <w:tcPr>
            <w:tcW w:w="1518" w:type="dxa"/>
            <w:shd w:val="clear" w:color="auto" w:fill="auto"/>
          </w:tcPr>
          <w:p w:rsidR="00FD1A2D" w:rsidRPr="00FD1A2D" w:rsidRDefault="002E7A73" w:rsidP="00AF52C5">
            <w:pPr>
              <w:jc w:val="center"/>
              <w:rPr>
                <w:highlight w:val="yellow"/>
              </w:rPr>
            </w:pPr>
            <w:r w:rsidRPr="00522115">
              <w:t>$</w:t>
            </w:r>
            <w:r w:rsidR="007E6106">
              <w:t>28</w:t>
            </w:r>
            <w:r w:rsidRPr="00522115">
              <w:t>,</w:t>
            </w:r>
            <w:r w:rsidR="007E6106">
              <w:t>007</w:t>
            </w:r>
          </w:p>
        </w:tc>
        <w:tc>
          <w:tcPr>
            <w:tcW w:w="1438" w:type="dxa"/>
            <w:shd w:val="clear" w:color="auto" w:fill="auto"/>
          </w:tcPr>
          <w:p w:rsidR="00FD1A2D" w:rsidRPr="0054648C" w:rsidRDefault="00FD1A2D" w:rsidP="0054648C">
            <w:pPr>
              <w:jc w:val="center"/>
            </w:pPr>
            <w:r w:rsidRPr="00E905B1">
              <w:t xml:space="preserve">  N/A</w:t>
            </w:r>
            <w:r w:rsidRPr="00E905B1">
              <w:rPr>
                <w:vertAlign w:val="superscript"/>
              </w:rPr>
              <w:t>1</w:t>
            </w:r>
          </w:p>
        </w:tc>
        <w:tc>
          <w:tcPr>
            <w:tcW w:w="1537" w:type="dxa"/>
            <w:shd w:val="clear" w:color="auto" w:fill="auto"/>
          </w:tcPr>
          <w:p w:rsidR="00FD1A2D" w:rsidRPr="0054648C" w:rsidRDefault="00017417" w:rsidP="0054648C">
            <w:pPr>
              <w:jc w:val="center"/>
            </w:pPr>
            <w:r>
              <w:t xml:space="preserve"> N/A</w:t>
            </w:r>
            <w:r>
              <w:rPr>
                <w:vertAlign w:val="superscript"/>
              </w:rPr>
              <w:t>5</w:t>
            </w:r>
          </w:p>
        </w:tc>
        <w:tc>
          <w:tcPr>
            <w:tcW w:w="1637" w:type="dxa"/>
            <w:shd w:val="clear" w:color="auto" w:fill="auto"/>
          </w:tcPr>
          <w:p w:rsidR="00FD1A2D" w:rsidRPr="00A363D1" w:rsidRDefault="003724E8" w:rsidP="0054648C">
            <w:pPr>
              <w:jc w:val="center"/>
              <w:rPr>
                <w:highlight w:val="yellow"/>
              </w:rPr>
            </w:pPr>
            <w:r w:rsidRPr="004D1E0C">
              <w:t>$</w:t>
            </w:r>
            <w:r w:rsidR="00017417">
              <w:t>43.164</w:t>
            </w:r>
          </w:p>
        </w:tc>
      </w:tr>
      <w:tr w:rsidR="00FD1A2D" w:rsidTr="007E6106">
        <w:tc>
          <w:tcPr>
            <w:tcW w:w="1350" w:type="dxa"/>
            <w:shd w:val="clear" w:color="auto" w:fill="auto"/>
          </w:tcPr>
          <w:p w:rsidR="00FD1A2D" w:rsidRPr="0054648C" w:rsidRDefault="00FD1A2D" w:rsidP="0054648C">
            <w:pPr>
              <w:jc w:val="center"/>
            </w:pPr>
            <w:r w:rsidRPr="0054648C">
              <w:t>146A</w:t>
            </w:r>
          </w:p>
        </w:tc>
        <w:tc>
          <w:tcPr>
            <w:tcW w:w="4050" w:type="dxa"/>
            <w:shd w:val="clear" w:color="auto" w:fill="auto"/>
          </w:tcPr>
          <w:p w:rsidR="00FD1A2D" w:rsidRPr="0054648C" w:rsidRDefault="00FD1A2D" w:rsidP="0054648C">
            <w:pPr>
              <w:jc w:val="center"/>
            </w:pPr>
            <w:r w:rsidRPr="0054648C">
              <w:t>145’ NAB Furnace</w:t>
            </w:r>
          </w:p>
        </w:tc>
        <w:tc>
          <w:tcPr>
            <w:tcW w:w="1598" w:type="dxa"/>
            <w:shd w:val="clear" w:color="auto" w:fill="auto"/>
          </w:tcPr>
          <w:p w:rsidR="00FD1A2D" w:rsidRPr="0054648C" w:rsidRDefault="00FD1A2D" w:rsidP="0054648C">
            <w:pPr>
              <w:jc w:val="center"/>
            </w:pPr>
            <w:r>
              <w:t>$</w:t>
            </w:r>
            <w:r w:rsidR="00F7677E">
              <w:t>18</w:t>
            </w:r>
            <w:r>
              <w:t>,</w:t>
            </w:r>
            <w:r w:rsidR="00F7677E">
              <w:t>264</w:t>
            </w:r>
          </w:p>
        </w:tc>
        <w:tc>
          <w:tcPr>
            <w:tcW w:w="1518" w:type="dxa"/>
            <w:shd w:val="clear" w:color="auto" w:fill="auto"/>
          </w:tcPr>
          <w:p w:rsidR="00FD1A2D" w:rsidRPr="0054648C" w:rsidRDefault="00A363D1" w:rsidP="0054648C">
            <w:pPr>
              <w:jc w:val="center"/>
            </w:pPr>
            <w:r w:rsidRPr="00522115">
              <w:t>$</w:t>
            </w:r>
            <w:r w:rsidR="007E6106">
              <w:t>29</w:t>
            </w:r>
            <w:r w:rsidRPr="00522115">
              <w:t>,</w:t>
            </w:r>
            <w:r w:rsidR="007E6106">
              <w:t>224</w:t>
            </w:r>
          </w:p>
        </w:tc>
        <w:tc>
          <w:tcPr>
            <w:tcW w:w="1438" w:type="dxa"/>
            <w:shd w:val="clear" w:color="auto" w:fill="auto"/>
          </w:tcPr>
          <w:p w:rsidR="00FD1A2D" w:rsidRPr="0054648C" w:rsidRDefault="00FD1A2D" w:rsidP="0054648C">
            <w:pPr>
              <w:jc w:val="center"/>
            </w:pPr>
            <w:r w:rsidRPr="00E905B1">
              <w:t xml:space="preserve">  N/A</w:t>
            </w:r>
            <w:r w:rsidRPr="00E905B1">
              <w:rPr>
                <w:vertAlign w:val="superscript"/>
              </w:rPr>
              <w:t>1</w:t>
            </w:r>
          </w:p>
        </w:tc>
        <w:tc>
          <w:tcPr>
            <w:tcW w:w="1537" w:type="dxa"/>
            <w:shd w:val="clear" w:color="auto" w:fill="auto"/>
          </w:tcPr>
          <w:p w:rsidR="00FD1A2D" w:rsidRPr="0054648C" w:rsidRDefault="00FD1A2D" w:rsidP="0054648C">
            <w:pPr>
              <w:jc w:val="center"/>
            </w:pPr>
            <w:r>
              <w:t>$</w:t>
            </w:r>
            <w:r w:rsidR="00017417">
              <w:t>48</w:t>
            </w:r>
            <w:r>
              <w:t>,</w:t>
            </w:r>
            <w:r w:rsidR="00017417">
              <w:t>659</w:t>
            </w:r>
          </w:p>
        </w:tc>
        <w:tc>
          <w:tcPr>
            <w:tcW w:w="1637" w:type="dxa"/>
            <w:shd w:val="clear" w:color="auto" w:fill="auto"/>
          </w:tcPr>
          <w:p w:rsidR="00FD1A2D" w:rsidRPr="00A363D1" w:rsidRDefault="003724E8" w:rsidP="0054648C">
            <w:pPr>
              <w:jc w:val="center"/>
              <w:rPr>
                <w:highlight w:val="yellow"/>
              </w:rPr>
            </w:pPr>
            <w:r w:rsidRPr="00522115">
              <w:t>$</w:t>
            </w:r>
            <w:r w:rsidR="00017417">
              <w:t>36</w:t>
            </w:r>
            <w:r w:rsidRPr="00522115">
              <w:t>,</w:t>
            </w:r>
            <w:r w:rsidR="00017417">
              <w:t>787</w:t>
            </w:r>
          </w:p>
        </w:tc>
      </w:tr>
      <w:tr w:rsidR="00FD1A2D" w:rsidTr="007E6106">
        <w:tc>
          <w:tcPr>
            <w:tcW w:w="1350" w:type="dxa"/>
            <w:shd w:val="clear" w:color="auto" w:fill="auto"/>
          </w:tcPr>
          <w:p w:rsidR="00FD1A2D" w:rsidRPr="0054648C" w:rsidRDefault="00FD1A2D" w:rsidP="0054648C">
            <w:pPr>
              <w:jc w:val="center"/>
            </w:pPr>
            <w:r w:rsidRPr="0054648C">
              <w:t>146B</w:t>
            </w:r>
          </w:p>
        </w:tc>
        <w:tc>
          <w:tcPr>
            <w:tcW w:w="4050" w:type="dxa"/>
            <w:shd w:val="clear" w:color="auto" w:fill="auto"/>
          </w:tcPr>
          <w:p w:rsidR="00FD1A2D" w:rsidRPr="0054648C" w:rsidRDefault="00FD1A2D" w:rsidP="0054648C">
            <w:pPr>
              <w:jc w:val="center"/>
            </w:pPr>
            <w:r w:rsidRPr="0054648C">
              <w:t>200’ NAB Furnace</w:t>
            </w:r>
          </w:p>
        </w:tc>
        <w:tc>
          <w:tcPr>
            <w:tcW w:w="1598" w:type="dxa"/>
            <w:shd w:val="clear" w:color="auto" w:fill="auto"/>
          </w:tcPr>
          <w:p w:rsidR="00FD1A2D" w:rsidRPr="0054648C" w:rsidRDefault="00FD1A2D" w:rsidP="0054648C">
            <w:pPr>
              <w:jc w:val="center"/>
            </w:pPr>
            <w:r>
              <w:t>$</w:t>
            </w:r>
            <w:r w:rsidR="00F7677E">
              <w:t>32</w:t>
            </w:r>
            <w:r>
              <w:t>,</w:t>
            </w:r>
            <w:r w:rsidR="00F7677E">
              <w:t>201</w:t>
            </w:r>
          </w:p>
        </w:tc>
        <w:tc>
          <w:tcPr>
            <w:tcW w:w="1518" w:type="dxa"/>
            <w:shd w:val="clear" w:color="auto" w:fill="auto"/>
          </w:tcPr>
          <w:p w:rsidR="00FD1A2D" w:rsidRPr="0054648C" w:rsidRDefault="00A363D1" w:rsidP="0054648C">
            <w:pPr>
              <w:jc w:val="center"/>
            </w:pPr>
            <w:r w:rsidRPr="00522115">
              <w:t>$</w:t>
            </w:r>
            <w:r w:rsidR="007E6106">
              <w:t>48</w:t>
            </w:r>
            <w:r w:rsidRPr="00522115">
              <w:t>,</w:t>
            </w:r>
            <w:r w:rsidR="007E6106">
              <w:t>825</w:t>
            </w:r>
          </w:p>
        </w:tc>
        <w:tc>
          <w:tcPr>
            <w:tcW w:w="1438" w:type="dxa"/>
            <w:shd w:val="clear" w:color="auto" w:fill="auto"/>
          </w:tcPr>
          <w:p w:rsidR="00FD1A2D" w:rsidRPr="0054648C" w:rsidRDefault="00FD1A2D" w:rsidP="0054648C">
            <w:pPr>
              <w:jc w:val="center"/>
            </w:pPr>
            <w:r w:rsidRPr="00E905B1">
              <w:t xml:space="preserve">  N/A</w:t>
            </w:r>
            <w:r w:rsidRPr="00E905B1">
              <w:rPr>
                <w:vertAlign w:val="superscript"/>
              </w:rPr>
              <w:t>1</w:t>
            </w:r>
          </w:p>
        </w:tc>
        <w:tc>
          <w:tcPr>
            <w:tcW w:w="1537" w:type="dxa"/>
            <w:shd w:val="clear" w:color="auto" w:fill="auto"/>
          </w:tcPr>
          <w:p w:rsidR="00FD1A2D" w:rsidRPr="0054648C" w:rsidRDefault="00FD1A2D" w:rsidP="0054648C">
            <w:pPr>
              <w:jc w:val="center"/>
            </w:pPr>
            <w:r>
              <w:t>$</w:t>
            </w:r>
            <w:r w:rsidR="00017417">
              <w:t>26</w:t>
            </w:r>
            <w:r w:rsidR="00A363D1">
              <w:t>,</w:t>
            </w:r>
            <w:r w:rsidR="00017417">
              <w:t>191</w:t>
            </w:r>
          </w:p>
        </w:tc>
        <w:tc>
          <w:tcPr>
            <w:tcW w:w="1637" w:type="dxa"/>
            <w:shd w:val="clear" w:color="auto" w:fill="auto"/>
          </w:tcPr>
          <w:p w:rsidR="00FD1A2D" w:rsidRPr="00A363D1" w:rsidRDefault="006A43E1" w:rsidP="0054648C">
            <w:pPr>
              <w:jc w:val="center"/>
              <w:rPr>
                <w:highlight w:val="yellow"/>
              </w:rPr>
            </w:pPr>
            <w:r>
              <w:t>$</w:t>
            </w:r>
            <w:r w:rsidR="00017417">
              <w:t>68</w:t>
            </w:r>
            <w:r>
              <w:t>,</w:t>
            </w:r>
            <w:r w:rsidR="00017417">
              <w:t>391</w:t>
            </w:r>
          </w:p>
        </w:tc>
      </w:tr>
      <w:tr w:rsidR="00FD1A2D" w:rsidTr="00017417">
        <w:tc>
          <w:tcPr>
            <w:tcW w:w="1350" w:type="dxa"/>
            <w:shd w:val="clear" w:color="auto" w:fill="auto"/>
            <w:vAlign w:val="center"/>
          </w:tcPr>
          <w:p w:rsidR="00FD1A2D" w:rsidRPr="0054648C" w:rsidRDefault="00FD1A2D" w:rsidP="0029463F">
            <w:pPr>
              <w:jc w:val="center"/>
            </w:pPr>
            <w:r w:rsidRPr="0054648C">
              <w:t>151</w:t>
            </w:r>
          </w:p>
        </w:tc>
        <w:tc>
          <w:tcPr>
            <w:tcW w:w="4050" w:type="dxa"/>
            <w:shd w:val="clear" w:color="auto" w:fill="auto"/>
            <w:vAlign w:val="center"/>
          </w:tcPr>
          <w:p w:rsidR="00FD1A2D" w:rsidRPr="00142383" w:rsidRDefault="00FD1A2D" w:rsidP="00241C05">
            <w:pPr>
              <w:jc w:val="center"/>
            </w:pPr>
            <w:r w:rsidRPr="00142383">
              <w:t>Soaking Pits #35 - #49</w:t>
            </w:r>
            <w:r w:rsidR="00241C05">
              <w:t xml:space="preserve"> </w:t>
            </w:r>
            <w:r w:rsidRPr="00142383">
              <w:t>(minus #41)</w:t>
            </w:r>
          </w:p>
        </w:tc>
        <w:tc>
          <w:tcPr>
            <w:tcW w:w="1598" w:type="dxa"/>
            <w:shd w:val="clear" w:color="auto" w:fill="auto"/>
            <w:vAlign w:val="center"/>
          </w:tcPr>
          <w:p w:rsidR="00FD1A2D" w:rsidRPr="0054648C" w:rsidRDefault="00FD1A2D" w:rsidP="0029463F">
            <w:pPr>
              <w:jc w:val="center"/>
            </w:pPr>
            <w:r>
              <w:t>$1</w:t>
            </w:r>
            <w:r w:rsidR="00F7677E">
              <w:t>0</w:t>
            </w:r>
            <w:r>
              <w:t>,</w:t>
            </w:r>
            <w:r w:rsidR="00F7677E">
              <w:t>465</w:t>
            </w:r>
          </w:p>
        </w:tc>
        <w:tc>
          <w:tcPr>
            <w:tcW w:w="1518" w:type="dxa"/>
            <w:shd w:val="clear" w:color="auto" w:fill="auto"/>
            <w:vAlign w:val="center"/>
          </w:tcPr>
          <w:p w:rsidR="00FD1A2D" w:rsidRPr="0054648C" w:rsidRDefault="00FD1A2D" w:rsidP="0029463F">
            <w:pPr>
              <w:jc w:val="center"/>
            </w:pPr>
            <w:r>
              <w:t>$</w:t>
            </w:r>
            <w:r w:rsidR="007E6106">
              <w:t>16</w:t>
            </w:r>
            <w:r>
              <w:t>,</w:t>
            </w:r>
            <w:r w:rsidR="001A4A6E">
              <w:t>7</w:t>
            </w:r>
            <w:r w:rsidR="007E6106">
              <w:t>12</w:t>
            </w:r>
          </w:p>
        </w:tc>
        <w:tc>
          <w:tcPr>
            <w:tcW w:w="1438" w:type="dxa"/>
            <w:shd w:val="clear" w:color="auto" w:fill="auto"/>
            <w:vAlign w:val="center"/>
          </w:tcPr>
          <w:p w:rsidR="00FD1A2D" w:rsidRPr="0054648C" w:rsidRDefault="00FD1A2D" w:rsidP="0029463F">
            <w:pPr>
              <w:jc w:val="center"/>
            </w:pPr>
            <w:r>
              <w:t>$1</w:t>
            </w:r>
            <w:r w:rsidR="00794C2F">
              <w:t>2</w:t>
            </w:r>
            <w:r>
              <w:t>,</w:t>
            </w:r>
            <w:r w:rsidR="00794C2F">
              <w:t>217</w:t>
            </w:r>
          </w:p>
        </w:tc>
        <w:tc>
          <w:tcPr>
            <w:tcW w:w="1537" w:type="dxa"/>
            <w:shd w:val="clear" w:color="auto" w:fill="auto"/>
            <w:vAlign w:val="center"/>
          </w:tcPr>
          <w:p w:rsidR="00FD1A2D" w:rsidRPr="0054648C" w:rsidRDefault="00FD1A2D" w:rsidP="0029463F">
            <w:pPr>
              <w:jc w:val="center"/>
            </w:pPr>
            <w:r>
              <w:t>$1</w:t>
            </w:r>
            <w:r w:rsidR="00017417">
              <w:t>0</w:t>
            </w:r>
            <w:r>
              <w:t>,</w:t>
            </w:r>
            <w:r w:rsidR="00017417">
              <w:t>556</w:t>
            </w:r>
          </w:p>
        </w:tc>
        <w:tc>
          <w:tcPr>
            <w:tcW w:w="1637" w:type="dxa"/>
            <w:shd w:val="clear" w:color="auto" w:fill="auto"/>
            <w:vAlign w:val="center"/>
          </w:tcPr>
          <w:p w:rsidR="00FD1A2D" w:rsidRPr="00A363D1" w:rsidRDefault="006A43E1" w:rsidP="0029463F">
            <w:pPr>
              <w:jc w:val="center"/>
              <w:rPr>
                <w:highlight w:val="yellow"/>
              </w:rPr>
            </w:pPr>
            <w:r>
              <w:t>$</w:t>
            </w:r>
            <w:r w:rsidR="00017417">
              <w:t>25</w:t>
            </w:r>
            <w:r>
              <w:t>,</w:t>
            </w:r>
            <w:r w:rsidR="00017417">
              <w:t>570</w:t>
            </w:r>
          </w:p>
        </w:tc>
      </w:tr>
      <w:tr w:rsidR="00FD1A2D" w:rsidTr="00017417">
        <w:tc>
          <w:tcPr>
            <w:tcW w:w="1350" w:type="dxa"/>
            <w:shd w:val="clear" w:color="auto" w:fill="auto"/>
          </w:tcPr>
          <w:p w:rsidR="00FD1A2D" w:rsidRPr="0054648C" w:rsidRDefault="00FD1A2D" w:rsidP="0054648C">
            <w:pPr>
              <w:jc w:val="center"/>
            </w:pPr>
            <w:r>
              <w:t>151</w:t>
            </w:r>
          </w:p>
        </w:tc>
        <w:tc>
          <w:tcPr>
            <w:tcW w:w="4050" w:type="dxa"/>
            <w:shd w:val="clear" w:color="auto" w:fill="auto"/>
          </w:tcPr>
          <w:p w:rsidR="00FD1A2D" w:rsidRPr="00142383" w:rsidRDefault="00FD1A2D" w:rsidP="0029463F">
            <w:pPr>
              <w:jc w:val="center"/>
            </w:pPr>
            <w:r w:rsidRPr="00142383">
              <w:t>Soaking Pit #41</w:t>
            </w:r>
          </w:p>
        </w:tc>
        <w:tc>
          <w:tcPr>
            <w:tcW w:w="1598" w:type="dxa"/>
            <w:shd w:val="clear" w:color="auto" w:fill="auto"/>
          </w:tcPr>
          <w:p w:rsidR="00FD1A2D" w:rsidRPr="0054648C" w:rsidRDefault="00FD1A2D" w:rsidP="0054648C">
            <w:pPr>
              <w:jc w:val="center"/>
            </w:pPr>
            <w:r>
              <w:t>$</w:t>
            </w:r>
            <w:r w:rsidR="00F7677E">
              <w:t>1</w:t>
            </w:r>
            <w:r w:rsidR="001A4A6E">
              <w:t>0</w:t>
            </w:r>
            <w:r>
              <w:t>,</w:t>
            </w:r>
            <w:r w:rsidR="00F7677E">
              <w:t>465</w:t>
            </w:r>
          </w:p>
        </w:tc>
        <w:tc>
          <w:tcPr>
            <w:tcW w:w="1518" w:type="dxa"/>
            <w:shd w:val="clear" w:color="auto" w:fill="auto"/>
          </w:tcPr>
          <w:p w:rsidR="00FD1A2D" w:rsidRPr="0054648C" w:rsidRDefault="00FD1A2D" w:rsidP="0054648C">
            <w:pPr>
              <w:jc w:val="center"/>
            </w:pPr>
            <w:r>
              <w:t>$</w:t>
            </w:r>
            <w:r w:rsidR="007E6106">
              <w:t>16</w:t>
            </w:r>
            <w:r>
              <w:t>,</w:t>
            </w:r>
            <w:r w:rsidR="007E6106">
              <w:t>712</w:t>
            </w:r>
          </w:p>
        </w:tc>
        <w:tc>
          <w:tcPr>
            <w:tcW w:w="1438" w:type="dxa"/>
            <w:shd w:val="clear" w:color="auto" w:fill="auto"/>
          </w:tcPr>
          <w:p w:rsidR="00FD1A2D" w:rsidRPr="0054648C" w:rsidRDefault="00A363D1" w:rsidP="0054648C">
            <w:pPr>
              <w:jc w:val="center"/>
            </w:pPr>
            <w:r>
              <w:t>$</w:t>
            </w:r>
            <w:r w:rsidR="00794C2F">
              <w:t>12</w:t>
            </w:r>
            <w:r>
              <w:t>,</w:t>
            </w:r>
            <w:r w:rsidR="00794C2F">
              <w:t>217</w:t>
            </w:r>
          </w:p>
        </w:tc>
        <w:tc>
          <w:tcPr>
            <w:tcW w:w="1537" w:type="dxa"/>
            <w:shd w:val="clear" w:color="auto" w:fill="auto"/>
          </w:tcPr>
          <w:p w:rsidR="00FD1A2D" w:rsidRPr="0054648C" w:rsidRDefault="00A363D1" w:rsidP="0054648C">
            <w:pPr>
              <w:jc w:val="center"/>
            </w:pPr>
            <w:r>
              <w:t>$</w:t>
            </w:r>
            <w:r w:rsidR="00017417">
              <w:t>10</w:t>
            </w:r>
            <w:r>
              <w:t>,</w:t>
            </w:r>
            <w:r w:rsidR="00017417">
              <w:t>556</w:t>
            </w:r>
          </w:p>
        </w:tc>
        <w:tc>
          <w:tcPr>
            <w:tcW w:w="1637" w:type="dxa"/>
            <w:shd w:val="clear" w:color="auto" w:fill="auto"/>
          </w:tcPr>
          <w:p w:rsidR="00FD1A2D" w:rsidRPr="00A363D1" w:rsidRDefault="006A43E1" w:rsidP="0054648C">
            <w:pPr>
              <w:jc w:val="center"/>
              <w:rPr>
                <w:highlight w:val="yellow"/>
              </w:rPr>
            </w:pPr>
            <w:r>
              <w:t>$</w:t>
            </w:r>
            <w:r w:rsidR="00017417">
              <w:t>25</w:t>
            </w:r>
            <w:r>
              <w:t>,</w:t>
            </w:r>
            <w:r w:rsidR="00017417">
              <w:t>570</w:t>
            </w:r>
          </w:p>
        </w:tc>
      </w:tr>
    </w:tbl>
    <w:p w:rsidR="00991959" w:rsidRPr="00241C05" w:rsidRDefault="00E905B1" w:rsidP="00E905B1">
      <w:pPr>
        <w:rPr>
          <w:sz w:val="22"/>
        </w:rPr>
      </w:pPr>
      <w:r w:rsidRPr="00241C05">
        <w:rPr>
          <w:sz w:val="22"/>
          <w:vertAlign w:val="superscript"/>
        </w:rPr>
        <w:t>1</w:t>
      </w:r>
      <w:r w:rsidRPr="00241C05">
        <w:rPr>
          <w:sz w:val="22"/>
        </w:rPr>
        <w:t>Not technically feasible due to exhaust temperature being too low</w:t>
      </w:r>
    </w:p>
    <w:p w:rsidR="005B08FB" w:rsidRPr="00241C05" w:rsidRDefault="00902267">
      <w:pPr>
        <w:rPr>
          <w:sz w:val="22"/>
        </w:rPr>
      </w:pPr>
      <w:r w:rsidRPr="00241C05">
        <w:rPr>
          <w:sz w:val="22"/>
          <w:vertAlign w:val="superscript"/>
        </w:rPr>
        <w:t>2</w:t>
      </w:r>
      <w:r w:rsidRPr="00241C05">
        <w:rPr>
          <w:sz w:val="22"/>
        </w:rPr>
        <w:t>NOx emissions produced primarily from electric arc</w:t>
      </w:r>
    </w:p>
    <w:p w:rsidR="00052063" w:rsidRPr="00241C05" w:rsidRDefault="005B08FB">
      <w:pPr>
        <w:rPr>
          <w:sz w:val="22"/>
        </w:rPr>
      </w:pPr>
      <w:r w:rsidRPr="00241C05">
        <w:rPr>
          <w:sz w:val="22"/>
          <w:vertAlign w:val="superscript"/>
        </w:rPr>
        <w:t>3</w:t>
      </w:r>
      <w:r w:rsidR="00052063" w:rsidRPr="00241C05">
        <w:rPr>
          <w:sz w:val="22"/>
        </w:rPr>
        <w:t xml:space="preserve">Not technically feasible due to </w:t>
      </w:r>
      <w:r w:rsidR="00F75AF4" w:rsidRPr="00241C05">
        <w:rPr>
          <w:sz w:val="22"/>
        </w:rPr>
        <w:t>widely variable flow rate and temperature, and high particulate matter</w:t>
      </w:r>
    </w:p>
    <w:p w:rsidR="00017417" w:rsidRDefault="00052063">
      <w:pPr>
        <w:rPr>
          <w:sz w:val="22"/>
        </w:rPr>
      </w:pPr>
      <w:r w:rsidRPr="00241C05">
        <w:rPr>
          <w:sz w:val="22"/>
          <w:vertAlign w:val="superscript"/>
        </w:rPr>
        <w:t>4</w:t>
      </w:r>
      <w:r w:rsidR="005B08FB" w:rsidRPr="00241C05">
        <w:rPr>
          <w:sz w:val="22"/>
        </w:rPr>
        <w:t>NOx emissions are already low</w:t>
      </w:r>
    </w:p>
    <w:p w:rsidR="00BE63DF" w:rsidRDefault="00017417">
      <w:r>
        <w:rPr>
          <w:vertAlign w:val="superscript"/>
        </w:rPr>
        <w:t>5</w:t>
      </w:r>
      <w:r>
        <w:t xml:space="preserve">Ultra Low-NOx burners cannot reduce NOx beyond that of Low-NOx burners for this source type </w:t>
      </w:r>
      <w:r w:rsidR="00BE63DF">
        <w:br w:type="page"/>
      </w:r>
    </w:p>
    <w:p w:rsidR="00C01466" w:rsidRDefault="00A241D8">
      <w:r>
        <w:lastRenderedPageBreak/>
        <w:t xml:space="preserve">Table 2b </w:t>
      </w:r>
      <w:r w:rsidR="006B3397" w:rsidRPr="000B0A17">
        <w:t xml:space="preserve">summarizes controls considered for </w:t>
      </w:r>
      <w:r w:rsidR="000B0A17" w:rsidRPr="000B0A17">
        <w:t>VOC</w:t>
      </w:r>
      <w:r w:rsidR="006B3397" w:rsidRPr="000B0A17">
        <w:t xml:space="preserve"> </w:t>
      </w:r>
      <w:r w:rsidR="000B0A17" w:rsidRPr="000B0A17">
        <w:t xml:space="preserve">for </w:t>
      </w:r>
      <w:r w:rsidR="006B3397" w:rsidRPr="000B0A17">
        <w:t xml:space="preserve">the </w:t>
      </w:r>
      <w:r w:rsidR="00017417" w:rsidRPr="00A241D8">
        <w:t xml:space="preserve">various case-by-case sources </w:t>
      </w:r>
      <w:r w:rsidR="006B3397" w:rsidRPr="000B0A17">
        <w:t xml:space="preserve">and the cost/ton removed of </w:t>
      </w:r>
      <w:r w:rsidR="000B0A17" w:rsidRPr="000B0A17">
        <w:t>VOC</w:t>
      </w:r>
      <w:r w:rsidR="006B3397" w:rsidRPr="000B0A17">
        <w:t xml:space="preserve">.  As the cost/ton removed of </w:t>
      </w:r>
      <w:r w:rsidR="000B0A17" w:rsidRPr="000B0A17">
        <w:t>VOC</w:t>
      </w:r>
      <w:r w:rsidR="006B3397" w:rsidRPr="000B0A17">
        <w:t xml:space="preserve"> </w:t>
      </w:r>
      <w:r w:rsidR="006B3397" w:rsidRPr="009D10CD">
        <w:t>exceeded $7,000 for all controls that were evaluated, ArcelorMittal</w:t>
      </w:r>
      <w:r w:rsidR="006B3397" w:rsidRPr="000B0A17">
        <w:t xml:space="preserve"> Plate will not be adding any new controls.</w:t>
      </w:r>
    </w:p>
    <w:p w:rsidR="00A241D8" w:rsidRDefault="00A241D8"/>
    <w:p w:rsidR="006B3397" w:rsidRPr="00235AF6" w:rsidRDefault="00A241D8" w:rsidP="00A241D8">
      <w:pPr>
        <w:jc w:val="center"/>
        <w:rPr>
          <w:b/>
        </w:rPr>
      </w:pPr>
      <w:r w:rsidRPr="00235AF6">
        <w:rPr>
          <w:b/>
        </w:rPr>
        <w:t>Table 2b</w:t>
      </w:r>
    </w:p>
    <w:tbl>
      <w:tblPr>
        <w:tblStyle w:val="TableGrid"/>
        <w:tblW w:w="12204" w:type="dxa"/>
        <w:tblInd w:w="108" w:type="dxa"/>
        <w:tblLook w:val="04A0" w:firstRow="1" w:lastRow="0" w:firstColumn="1" w:lastColumn="0" w:noHBand="0" w:noVBand="1"/>
      </w:tblPr>
      <w:tblGrid>
        <w:gridCol w:w="900"/>
        <w:gridCol w:w="4320"/>
        <w:gridCol w:w="1368"/>
        <w:gridCol w:w="1512"/>
        <w:gridCol w:w="1368"/>
        <w:gridCol w:w="1368"/>
        <w:gridCol w:w="1368"/>
      </w:tblGrid>
      <w:tr w:rsidR="00A95C8F" w:rsidRPr="00991959" w:rsidTr="009B0816">
        <w:tc>
          <w:tcPr>
            <w:tcW w:w="900" w:type="dxa"/>
            <w:shd w:val="clear" w:color="auto" w:fill="D9D9D9" w:themeFill="background1" w:themeFillShade="D9"/>
          </w:tcPr>
          <w:p w:rsidR="00A95C8F" w:rsidRPr="0054648C" w:rsidRDefault="00A95C8F" w:rsidP="00F66088">
            <w:pPr>
              <w:jc w:val="center"/>
            </w:pPr>
            <w:r w:rsidRPr="0054648C">
              <w:t>Source ID</w:t>
            </w:r>
          </w:p>
        </w:tc>
        <w:tc>
          <w:tcPr>
            <w:tcW w:w="4320" w:type="dxa"/>
            <w:shd w:val="clear" w:color="auto" w:fill="D9D9D9" w:themeFill="background1" w:themeFillShade="D9"/>
            <w:vAlign w:val="center"/>
          </w:tcPr>
          <w:p w:rsidR="00A95C8F" w:rsidRPr="0054648C" w:rsidRDefault="00A95C8F" w:rsidP="00F66088">
            <w:pPr>
              <w:jc w:val="center"/>
              <w:rPr>
                <w:sz w:val="22"/>
                <w:szCs w:val="22"/>
              </w:rPr>
            </w:pPr>
            <w:r w:rsidRPr="0054648C">
              <w:t>Source Name</w:t>
            </w:r>
          </w:p>
        </w:tc>
        <w:tc>
          <w:tcPr>
            <w:tcW w:w="1368" w:type="dxa"/>
            <w:shd w:val="clear" w:color="auto" w:fill="D9D9D9" w:themeFill="background1" w:themeFillShade="D9"/>
            <w:vAlign w:val="center"/>
          </w:tcPr>
          <w:p w:rsidR="00A95C8F" w:rsidRPr="0054648C" w:rsidRDefault="00A95C8F" w:rsidP="00F66088">
            <w:pPr>
              <w:jc w:val="center"/>
              <w:rPr>
                <w:sz w:val="22"/>
                <w:szCs w:val="22"/>
              </w:rPr>
            </w:pPr>
            <w:r>
              <w:rPr>
                <w:sz w:val="22"/>
                <w:szCs w:val="22"/>
              </w:rPr>
              <w:t>RTO</w:t>
            </w:r>
          </w:p>
        </w:tc>
        <w:tc>
          <w:tcPr>
            <w:tcW w:w="1512" w:type="dxa"/>
            <w:shd w:val="clear" w:color="auto" w:fill="D9D9D9" w:themeFill="background1" w:themeFillShade="D9"/>
          </w:tcPr>
          <w:p w:rsidR="00A95C8F" w:rsidRPr="009B0816" w:rsidRDefault="00A95C8F" w:rsidP="000B0A17">
            <w:pPr>
              <w:jc w:val="center"/>
              <w:rPr>
                <w:sz w:val="22"/>
                <w:szCs w:val="22"/>
                <w:vertAlign w:val="superscript"/>
              </w:rPr>
            </w:pPr>
            <w:r>
              <w:rPr>
                <w:sz w:val="22"/>
                <w:szCs w:val="22"/>
              </w:rPr>
              <w:t xml:space="preserve">Thermal </w:t>
            </w:r>
            <w:r w:rsidR="009B0816">
              <w:rPr>
                <w:sz w:val="22"/>
                <w:szCs w:val="22"/>
              </w:rPr>
              <w:t xml:space="preserve">                      </w:t>
            </w:r>
            <w:r>
              <w:rPr>
                <w:sz w:val="22"/>
                <w:szCs w:val="22"/>
              </w:rPr>
              <w:t>Incinerator</w:t>
            </w:r>
          </w:p>
        </w:tc>
        <w:tc>
          <w:tcPr>
            <w:tcW w:w="1368" w:type="dxa"/>
            <w:shd w:val="clear" w:color="auto" w:fill="D9D9D9" w:themeFill="background1" w:themeFillShade="D9"/>
            <w:vAlign w:val="center"/>
          </w:tcPr>
          <w:p w:rsidR="00A95C8F" w:rsidRPr="000B0A17" w:rsidRDefault="00A95C8F" w:rsidP="000B0A17">
            <w:pPr>
              <w:jc w:val="center"/>
              <w:rPr>
                <w:sz w:val="22"/>
                <w:szCs w:val="22"/>
                <w:vertAlign w:val="superscript"/>
              </w:rPr>
            </w:pPr>
            <w:r w:rsidRPr="009B0816">
              <w:rPr>
                <w:sz w:val="22"/>
                <w:szCs w:val="22"/>
              </w:rPr>
              <w:t>Carbon</w:t>
            </w:r>
            <w:r w:rsidRPr="009B0816">
              <w:rPr>
                <w:sz w:val="22"/>
                <w:szCs w:val="22"/>
              </w:rPr>
              <w:br/>
              <w:t>Adsorption</w:t>
            </w:r>
          </w:p>
        </w:tc>
        <w:tc>
          <w:tcPr>
            <w:tcW w:w="1368" w:type="dxa"/>
            <w:shd w:val="clear" w:color="auto" w:fill="D9D9D9" w:themeFill="background1" w:themeFillShade="D9"/>
            <w:vAlign w:val="center"/>
          </w:tcPr>
          <w:p w:rsidR="00A95C8F" w:rsidRPr="00A25969" w:rsidRDefault="007052B6" w:rsidP="00F66088">
            <w:pPr>
              <w:jc w:val="center"/>
              <w:rPr>
                <w:sz w:val="22"/>
                <w:szCs w:val="22"/>
                <w:vertAlign w:val="superscript"/>
              </w:rPr>
            </w:pPr>
            <w:r>
              <w:rPr>
                <w:sz w:val="22"/>
                <w:szCs w:val="22"/>
              </w:rPr>
              <w:t xml:space="preserve"> </w:t>
            </w:r>
            <w:r w:rsidR="00A95C8F">
              <w:rPr>
                <w:sz w:val="22"/>
                <w:szCs w:val="22"/>
              </w:rPr>
              <w:t>Flare</w:t>
            </w:r>
          </w:p>
        </w:tc>
        <w:tc>
          <w:tcPr>
            <w:tcW w:w="1368" w:type="dxa"/>
            <w:shd w:val="clear" w:color="auto" w:fill="D9D9D9" w:themeFill="background1" w:themeFillShade="D9"/>
            <w:vAlign w:val="center"/>
          </w:tcPr>
          <w:p w:rsidR="00A95C8F" w:rsidRPr="00A25969" w:rsidRDefault="00A95C8F" w:rsidP="00F66088">
            <w:pPr>
              <w:jc w:val="center"/>
              <w:rPr>
                <w:sz w:val="22"/>
                <w:szCs w:val="22"/>
                <w:vertAlign w:val="superscript"/>
              </w:rPr>
            </w:pPr>
            <w:r w:rsidRPr="00B018F0">
              <w:rPr>
                <w:sz w:val="22"/>
                <w:szCs w:val="22"/>
              </w:rPr>
              <w:t>Condenser</w:t>
            </w:r>
          </w:p>
        </w:tc>
      </w:tr>
      <w:tr w:rsidR="00745E24" w:rsidRPr="00991959" w:rsidTr="009B0816">
        <w:tc>
          <w:tcPr>
            <w:tcW w:w="900" w:type="dxa"/>
          </w:tcPr>
          <w:p w:rsidR="00745E24" w:rsidRPr="0054648C" w:rsidRDefault="00745E24" w:rsidP="00745E24">
            <w:pPr>
              <w:jc w:val="center"/>
            </w:pPr>
            <w:r w:rsidRPr="0054648C">
              <w:t>104</w:t>
            </w:r>
          </w:p>
        </w:tc>
        <w:tc>
          <w:tcPr>
            <w:tcW w:w="4320" w:type="dxa"/>
          </w:tcPr>
          <w:p w:rsidR="00745E24" w:rsidRPr="0054648C" w:rsidRDefault="00745E24" w:rsidP="00745E24">
            <w:pPr>
              <w:jc w:val="center"/>
            </w:pPr>
            <w:r w:rsidRPr="0054648C">
              <w:t>“D” Electric Furnace</w:t>
            </w:r>
            <w:r>
              <w:t xml:space="preserve"> – Canopy</w:t>
            </w:r>
          </w:p>
        </w:tc>
        <w:tc>
          <w:tcPr>
            <w:tcW w:w="1368" w:type="dxa"/>
            <w:shd w:val="clear" w:color="auto" w:fill="auto"/>
          </w:tcPr>
          <w:p w:rsidR="00745E24" w:rsidRPr="0054648C" w:rsidRDefault="00745E24" w:rsidP="00745E24">
            <w:pPr>
              <w:jc w:val="center"/>
            </w:pPr>
            <w:r>
              <w:t>$</w:t>
            </w:r>
            <w:r w:rsidR="0037097B">
              <w:t>27</w:t>
            </w:r>
            <w:r>
              <w:t>,</w:t>
            </w:r>
            <w:r w:rsidR="00FD2A51">
              <w:t>650</w:t>
            </w:r>
          </w:p>
        </w:tc>
        <w:tc>
          <w:tcPr>
            <w:tcW w:w="1512" w:type="dxa"/>
            <w:shd w:val="clear" w:color="auto" w:fill="auto"/>
          </w:tcPr>
          <w:p w:rsidR="00745E24" w:rsidRPr="00C77591" w:rsidRDefault="00C77591" w:rsidP="00745E24">
            <w:pPr>
              <w:jc w:val="center"/>
              <w:rPr>
                <w:vertAlign w:val="superscript"/>
              </w:rPr>
            </w:pPr>
            <w:r>
              <w:t xml:space="preserve"> </w:t>
            </w:r>
            <w:r w:rsidR="00745E24" w:rsidRPr="00FF173A">
              <w:t>$</w:t>
            </w:r>
            <w:r w:rsidR="00FD2A51">
              <w:t>32</w:t>
            </w:r>
            <w:r w:rsidR="00745E24" w:rsidRPr="00FF173A">
              <w:t>,</w:t>
            </w:r>
            <w:r w:rsidR="00FD2A51">
              <w:t>458</w:t>
            </w:r>
            <w:r>
              <w:rPr>
                <w:vertAlign w:val="superscript"/>
              </w:rPr>
              <w:t>1</w:t>
            </w:r>
          </w:p>
        </w:tc>
        <w:tc>
          <w:tcPr>
            <w:tcW w:w="1368" w:type="dxa"/>
            <w:shd w:val="clear" w:color="auto" w:fill="auto"/>
          </w:tcPr>
          <w:p w:rsidR="00745E24" w:rsidRPr="00C77591" w:rsidRDefault="00745E24" w:rsidP="00745E24">
            <w:pPr>
              <w:jc w:val="center"/>
              <w:rPr>
                <w:vertAlign w:val="superscript"/>
              </w:rPr>
            </w:pPr>
            <w:r>
              <w:t>$</w:t>
            </w:r>
            <w:r w:rsidR="00FD2A51">
              <w:t>32</w:t>
            </w:r>
            <w:r>
              <w:t>,</w:t>
            </w:r>
            <w:r w:rsidR="00FD2A51">
              <w:t>458</w:t>
            </w:r>
            <w:r w:rsidR="00C77591">
              <w:rPr>
                <w:vertAlign w:val="superscript"/>
              </w:rPr>
              <w:t>1</w:t>
            </w:r>
          </w:p>
        </w:tc>
        <w:tc>
          <w:tcPr>
            <w:tcW w:w="1368" w:type="dxa"/>
            <w:shd w:val="clear" w:color="auto" w:fill="auto"/>
          </w:tcPr>
          <w:p w:rsidR="00745E24" w:rsidRPr="00C77591" w:rsidRDefault="00C77591" w:rsidP="00745E24">
            <w:pPr>
              <w:jc w:val="center"/>
              <w:rPr>
                <w:vertAlign w:val="superscript"/>
              </w:rPr>
            </w:pPr>
            <w:r>
              <w:t xml:space="preserve"> </w:t>
            </w:r>
            <w:r w:rsidR="009B0816">
              <w:t xml:space="preserve"> </w:t>
            </w:r>
            <w:r w:rsidR="00543A3A">
              <w:t>N/A</w:t>
            </w:r>
            <w:r>
              <w:rPr>
                <w:vertAlign w:val="superscript"/>
              </w:rPr>
              <w:t>2</w:t>
            </w:r>
          </w:p>
        </w:tc>
        <w:tc>
          <w:tcPr>
            <w:tcW w:w="1368" w:type="dxa"/>
            <w:shd w:val="clear" w:color="auto" w:fill="auto"/>
          </w:tcPr>
          <w:p w:rsidR="00745E24" w:rsidRPr="00C77591" w:rsidRDefault="009B0816" w:rsidP="00745E24">
            <w:pPr>
              <w:jc w:val="center"/>
              <w:rPr>
                <w:highlight w:val="yellow"/>
                <w:vertAlign w:val="superscript"/>
              </w:rPr>
            </w:pPr>
            <w:r>
              <w:t xml:space="preserve"> </w:t>
            </w:r>
            <w:r w:rsidR="00543A3A">
              <w:t>N/A</w:t>
            </w:r>
            <w:r w:rsidR="00C77591">
              <w:rPr>
                <w:vertAlign w:val="superscript"/>
              </w:rPr>
              <w:t>2</w:t>
            </w:r>
          </w:p>
        </w:tc>
      </w:tr>
      <w:tr w:rsidR="00745E24" w:rsidRPr="00991959" w:rsidTr="009B0816">
        <w:tc>
          <w:tcPr>
            <w:tcW w:w="900" w:type="dxa"/>
          </w:tcPr>
          <w:p w:rsidR="00745E24" w:rsidRPr="0054648C" w:rsidRDefault="00745E24" w:rsidP="00745E24">
            <w:pPr>
              <w:jc w:val="center"/>
            </w:pPr>
            <w:r>
              <w:t>104</w:t>
            </w:r>
          </w:p>
        </w:tc>
        <w:tc>
          <w:tcPr>
            <w:tcW w:w="4320" w:type="dxa"/>
          </w:tcPr>
          <w:p w:rsidR="00745E24" w:rsidRPr="0054648C" w:rsidRDefault="00745E24" w:rsidP="00745E24">
            <w:pPr>
              <w:jc w:val="center"/>
            </w:pPr>
            <w:r w:rsidRPr="006B3397">
              <w:t xml:space="preserve">“D” Electric Furnace – </w:t>
            </w:r>
            <w:r>
              <w:t>Baghouse Stack</w:t>
            </w:r>
          </w:p>
        </w:tc>
        <w:tc>
          <w:tcPr>
            <w:tcW w:w="1368" w:type="dxa"/>
            <w:shd w:val="clear" w:color="auto" w:fill="auto"/>
          </w:tcPr>
          <w:p w:rsidR="00745E24" w:rsidRPr="0054648C" w:rsidRDefault="00745E24" w:rsidP="00745E24">
            <w:pPr>
              <w:jc w:val="center"/>
            </w:pPr>
            <w:r>
              <w:t>$</w:t>
            </w:r>
            <w:r w:rsidR="00FD2A51">
              <w:t>35</w:t>
            </w:r>
            <w:r>
              <w:t>,</w:t>
            </w:r>
            <w:r w:rsidR="00FD2A51">
              <w:t>428</w:t>
            </w:r>
          </w:p>
        </w:tc>
        <w:tc>
          <w:tcPr>
            <w:tcW w:w="1512" w:type="dxa"/>
            <w:shd w:val="clear" w:color="auto" w:fill="auto"/>
          </w:tcPr>
          <w:p w:rsidR="00745E24" w:rsidRPr="00C77591" w:rsidRDefault="00C77591" w:rsidP="00745E24">
            <w:pPr>
              <w:jc w:val="center"/>
              <w:rPr>
                <w:vertAlign w:val="superscript"/>
              </w:rPr>
            </w:pPr>
            <w:r>
              <w:t xml:space="preserve"> </w:t>
            </w:r>
            <w:r w:rsidR="00745E24" w:rsidRPr="00FF173A">
              <w:t>$</w:t>
            </w:r>
            <w:r w:rsidR="00FD2A51">
              <w:t>37</w:t>
            </w:r>
            <w:r w:rsidR="00745E24" w:rsidRPr="00FF173A">
              <w:t>,</w:t>
            </w:r>
            <w:r w:rsidR="00FD2A51">
              <w:t>199</w:t>
            </w:r>
            <w:r>
              <w:rPr>
                <w:vertAlign w:val="superscript"/>
              </w:rPr>
              <w:t>1</w:t>
            </w:r>
          </w:p>
        </w:tc>
        <w:tc>
          <w:tcPr>
            <w:tcW w:w="1368" w:type="dxa"/>
            <w:shd w:val="clear" w:color="auto" w:fill="auto"/>
          </w:tcPr>
          <w:p w:rsidR="00745E24" w:rsidRPr="00C77591" w:rsidRDefault="00745E24" w:rsidP="00745E24">
            <w:pPr>
              <w:jc w:val="center"/>
              <w:rPr>
                <w:vertAlign w:val="superscript"/>
              </w:rPr>
            </w:pPr>
            <w:r>
              <w:t>$</w:t>
            </w:r>
            <w:r w:rsidR="00FD2A51">
              <w:t>37</w:t>
            </w:r>
            <w:r>
              <w:t>,</w:t>
            </w:r>
            <w:r w:rsidR="00FD2A51">
              <w:t>199</w:t>
            </w:r>
            <w:r w:rsidR="00C77591">
              <w:rPr>
                <w:vertAlign w:val="superscript"/>
              </w:rPr>
              <w:t>1</w:t>
            </w:r>
          </w:p>
        </w:tc>
        <w:tc>
          <w:tcPr>
            <w:tcW w:w="1368" w:type="dxa"/>
            <w:shd w:val="clear" w:color="auto" w:fill="auto"/>
          </w:tcPr>
          <w:p w:rsidR="00745E24" w:rsidRPr="00C77591" w:rsidRDefault="00C77591" w:rsidP="00745E24">
            <w:pPr>
              <w:jc w:val="center"/>
              <w:rPr>
                <w:vertAlign w:val="superscript"/>
              </w:rPr>
            </w:pPr>
            <w:r>
              <w:t xml:space="preserve"> </w:t>
            </w:r>
            <w:r w:rsidR="009B0816">
              <w:t xml:space="preserve"> </w:t>
            </w:r>
            <w:r w:rsidR="00745E24">
              <w:t>N/A</w:t>
            </w:r>
            <w:r>
              <w:rPr>
                <w:vertAlign w:val="superscript"/>
              </w:rPr>
              <w:t>2</w:t>
            </w:r>
          </w:p>
        </w:tc>
        <w:tc>
          <w:tcPr>
            <w:tcW w:w="1368" w:type="dxa"/>
            <w:shd w:val="clear" w:color="auto" w:fill="auto"/>
          </w:tcPr>
          <w:p w:rsidR="00745E24" w:rsidRPr="00C77591" w:rsidRDefault="009B0816" w:rsidP="00745E24">
            <w:pPr>
              <w:jc w:val="center"/>
              <w:rPr>
                <w:highlight w:val="yellow"/>
                <w:vertAlign w:val="superscript"/>
              </w:rPr>
            </w:pPr>
            <w:r>
              <w:t xml:space="preserve"> </w:t>
            </w:r>
            <w:r w:rsidR="00745E24">
              <w:t>N/A</w:t>
            </w:r>
            <w:r w:rsidR="00C77591">
              <w:rPr>
                <w:vertAlign w:val="superscript"/>
              </w:rPr>
              <w:t>2</w:t>
            </w:r>
          </w:p>
        </w:tc>
      </w:tr>
      <w:tr w:rsidR="00017417" w:rsidRPr="00991959" w:rsidTr="009B0816">
        <w:tc>
          <w:tcPr>
            <w:tcW w:w="900" w:type="dxa"/>
          </w:tcPr>
          <w:p w:rsidR="00017417" w:rsidRDefault="00017417" w:rsidP="00745E24">
            <w:pPr>
              <w:jc w:val="center"/>
            </w:pPr>
            <w:r>
              <w:t>250</w:t>
            </w:r>
          </w:p>
        </w:tc>
        <w:tc>
          <w:tcPr>
            <w:tcW w:w="4320" w:type="dxa"/>
          </w:tcPr>
          <w:p w:rsidR="00017417" w:rsidRPr="006B3397" w:rsidRDefault="00FB1DFF" w:rsidP="00745E24">
            <w:pPr>
              <w:jc w:val="center"/>
            </w:pPr>
            <w:r w:rsidRPr="00C062FB">
              <w:t>I</w:t>
            </w:r>
            <w:r>
              <w:t>dentification</w:t>
            </w:r>
            <w:r w:rsidRPr="00C062FB">
              <w:t xml:space="preserve"> M</w:t>
            </w:r>
            <w:r>
              <w:t>arking</w:t>
            </w:r>
          </w:p>
        </w:tc>
        <w:tc>
          <w:tcPr>
            <w:tcW w:w="1368" w:type="dxa"/>
            <w:shd w:val="clear" w:color="auto" w:fill="auto"/>
          </w:tcPr>
          <w:p w:rsidR="00017417" w:rsidRPr="00FD2A51" w:rsidRDefault="00FD2A51" w:rsidP="00745E24">
            <w:pPr>
              <w:jc w:val="center"/>
              <w:rPr>
                <w:vertAlign w:val="superscript"/>
              </w:rPr>
            </w:pPr>
            <w:r>
              <w:t xml:space="preserve"> N/A</w:t>
            </w:r>
            <w:r>
              <w:rPr>
                <w:vertAlign w:val="superscript"/>
              </w:rPr>
              <w:t>3</w:t>
            </w:r>
          </w:p>
        </w:tc>
        <w:tc>
          <w:tcPr>
            <w:tcW w:w="1512" w:type="dxa"/>
            <w:shd w:val="clear" w:color="auto" w:fill="auto"/>
          </w:tcPr>
          <w:p w:rsidR="00017417" w:rsidRPr="00FF173A" w:rsidRDefault="00FD2A51" w:rsidP="00745E24">
            <w:pPr>
              <w:jc w:val="center"/>
            </w:pPr>
            <w:r>
              <w:t>N/A</w:t>
            </w:r>
            <w:r>
              <w:rPr>
                <w:vertAlign w:val="superscript"/>
              </w:rPr>
              <w:t>3</w:t>
            </w:r>
          </w:p>
        </w:tc>
        <w:tc>
          <w:tcPr>
            <w:tcW w:w="1368" w:type="dxa"/>
            <w:shd w:val="clear" w:color="auto" w:fill="auto"/>
          </w:tcPr>
          <w:p w:rsidR="00017417" w:rsidRDefault="00FD2A51" w:rsidP="00745E24">
            <w:pPr>
              <w:jc w:val="center"/>
            </w:pPr>
            <w:r>
              <w:t>N/A</w:t>
            </w:r>
            <w:r>
              <w:rPr>
                <w:vertAlign w:val="superscript"/>
              </w:rPr>
              <w:t>3</w:t>
            </w:r>
          </w:p>
        </w:tc>
        <w:tc>
          <w:tcPr>
            <w:tcW w:w="1368" w:type="dxa"/>
            <w:shd w:val="clear" w:color="auto" w:fill="auto"/>
          </w:tcPr>
          <w:p w:rsidR="00017417" w:rsidRDefault="00FD2A51" w:rsidP="00745E24">
            <w:pPr>
              <w:jc w:val="center"/>
            </w:pPr>
            <w:r>
              <w:t xml:space="preserve">  N/A</w:t>
            </w:r>
            <w:r>
              <w:rPr>
                <w:vertAlign w:val="superscript"/>
              </w:rPr>
              <w:t>3</w:t>
            </w:r>
          </w:p>
        </w:tc>
        <w:tc>
          <w:tcPr>
            <w:tcW w:w="1368" w:type="dxa"/>
            <w:shd w:val="clear" w:color="auto" w:fill="auto"/>
          </w:tcPr>
          <w:p w:rsidR="00017417" w:rsidRPr="00C77591" w:rsidRDefault="00FD2A51" w:rsidP="00745E24">
            <w:pPr>
              <w:jc w:val="center"/>
              <w:rPr>
                <w:vertAlign w:val="superscript"/>
              </w:rPr>
            </w:pPr>
            <w:r>
              <w:t xml:space="preserve"> N/A</w:t>
            </w:r>
            <w:r w:rsidR="00C77591">
              <w:rPr>
                <w:vertAlign w:val="superscript"/>
              </w:rPr>
              <w:t>3</w:t>
            </w:r>
          </w:p>
        </w:tc>
      </w:tr>
      <w:tr w:rsidR="00A95C8F" w:rsidRPr="00991959" w:rsidTr="00C77591">
        <w:tc>
          <w:tcPr>
            <w:tcW w:w="900" w:type="dxa"/>
            <w:shd w:val="clear" w:color="auto" w:fill="auto"/>
          </w:tcPr>
          <w:p w:rsidR="00A95C8F" w:rsidRPr="001131CD" w:rsidRDefault="00A95C8F" w:rsidP="00F66088">
            <w:pPr>
              <w:jc w:val="center"/>
            </w:pPr>
            <w:r w:rsidRPr="001131CD">
              <w:t>270</w:t>
            </w:r>
          </w:p>
        </w:tc>
        <w:tc>
          <w:tcPr>
            <w:tcW w:w="4320" w:type="dxa"/>
            <w:shd w:val="clear" w:color="auto" w:fill="auto"/>
          </w:tcPr>
          <w:p w:rsidR="00A95C8F" w:rsidRPr="001131CD" w:rsidRDefault="00A95C8F" w:rsidP="00F66088">
            <w:pPr>
              <w:jc w:val="center"/>
            </w:pPr>
            <w:r w:rsidRPr="001131CD">
              <w:t>Cont. Cast Spray Chamber</w:t>
            </w:r>
          </w:p>
        </w:tc>
        <w:tc>
          <w:tcPr>
            <w:tcW w:w="1368" w:type="dxa"/>
            <w:shd w:val="clear" w:color="auto" w:fill="auto"/>
          </w:tcPr>
          <w:p w:rsidR="00A95C8F" w:rsidRPr="001131CD" w:rsidRDefault="00A95C8F" w:rsidP="00F66088">
            <w:pPr>
              <w:jc w:val="center"/>
            </w:pPr>
            <w:r w:rsidRPr="001131CD">
              <w:t>$</w:t>
            </w:r>
            <w:r w:rsidR="00B53A4D">
              <w:t>45</w:t>
            </w:r>
            <w:r w:rsidRPr="001131CD">
              <w:t>,</w:t>
            </w:r>
            <w:r w:rsidR="00B53A4D">
              <w:t>089</w:t>
            </w:r>
          </w:p>
        </w:tc>
        <w:tc>
          <w:tcPr>
            <w:tcW w:w="1512" w:type="dxa"/>
            <w:shd w:val="clear" w:color="auto" w:fill="auto"/>
          </w:tcPr>
          <w:p w:rsidR="00A95C8F" w:rsidRPr="001131CD" w:rsidRDefault="00A95C8F" w:rsidP="00F66088">
            <w:pPr>
              <w:jc w:val="center"/>
            </w:pPr>
            <w:r w:rsidRPr="001131CD">
              <w:t>$</w:t>
            </w:r>
            <w:r w:rsidR="00B53A4D">
              <w:t>44</w:t>
            </w:r>
            <w:r w:rsidRPr="001131CD">
              <w:t>,</w:t>
            </w:r>
            <w:r w:rsidR="00B53A4D">
              <w:t>683</w:t>
            </w:r>
          </w:p>
        </w:tc>
        <w:tc>
          <w:tcPr>
            <w:tcW w:w="1368" w:type="dxa"/>
            <w:shd w:val="clear" w:color="auto" w:fill="auto"/>
          </w:tcPr>
          <w:p w:rsidR="00A95C8F" w:rsidRPr="001131CD" w:rsidRDefault="00A95C8F" w:rsidP="00F66088">
            <w:pPr>
              <w:jc w:val="center"/>
            </w:pPr>
            <w:r w:rsidRPr="001131CD">
              <w:t>$</w:t>
            </w:r>
            <w:r w:rsidR="00B53A4D">
              <w:t>184</w:t>
            </w:r>
            <w:r w:rsidRPr="001131CD">
              <w:t>,</w:t>
            </w:r>
            <w:r w:rsidR="00F64882">
              <w:t>2</w:t>
            </w:r>
            <w:r w:rsidR="00B53A4D">
              <w:t>75</w:t>
            </w:r>
          </w:p>
        </w:tc>
        <w:tc>
          <w:tcPr>
            <w:tcW w:w="1368" w:type="dxa"/>
            <w:shd w:val="clear" w:color="auto" w:fill="auto"/>
          </w:tcPr>
          <w:p w:rsidR="00A95C8F" w:rsidRPr="00C77591" w:rsidRDefault="00744DC9" w:rsidP="00F66088">
            <w:pPr>
              <w:jc w:val="center"/>
              <w:rPr>
                <w:vertAlign w:val="superscript"/>
              </w:rPr>
            </w:pPr>
            <w:r>
              <w:t xml:space="preserve"> </w:t>
            </w:r>
            <w:r w:rsidR="00B53A4D">
              <w:t>$17,081</w:t>
            </w:r>
          </w:p>
        </w:tc>
        <w:tc>
          <w:tcPr>
            <w:tcW w:w="1368" w:type="dxa"/>
            <w:shd w:val="clear" w:color="auto" w:fill="auto"/>
          </w:tcPr>
          <w:p w:rsidR="00A95C8F" w:rsidRPr="00C77591" w:rsidRDefault="009B0816" w:rsidP="00F66088">
            <w:pPr>
              <w:jc w:val="center"/>
              <w:rPr>
                <w:vertAlign w:val="superscript"/>
              </w:rPr>
            </w:pPr>
            <w:r w:rsidRPr="001131CD">
              <w:t xml:space="preserve"> </w:t>
            </w:r>
            <w:r w:rsidR="00543A3A" w:rsidRPr="001131CD">
              <w:t>N/A</w:t>
            </w:r>
            <w:r w:rsidR="00C77591">
              <w:rPr>
                <w:vertAlign w:val="superscript"/>
              </w:rPr>
              <w:t>2</w:t>
            </w:r>
          </w:p>
        </w:tc>
      </w:tr>
    </w:tbl>
    <w:p w:rsidR="00403192" w:rsidRDefault="00403192">
      <w:r w:rsidRPr="009B0816">
        <w:rPr>
          <w:vertAlign w:val="superscript"/>
        </w:rPr>
        <w:t>1</w:t>
      </w:r>
      <w:r w:rsidR="000B0A17" w:rsidRPr="009B0816">
        <w:t xml:space="preserve">Carbon Adsorption </w:t>
      </w:r>
      <w:r w:rsidR="00D5664D" w:rsidRPr="009B0816">
        <w:t xml:space="preserve">combined </w:t>
      </w:r>
      <w:r w:rsidR="000B0A17" w:rsidRPr="009B0816">
        <w:t xml:space="preserve">with </w:t>
      </w:r>
      <w:r w:rsidR="00D5664D" w:rsidRPr="009B0816">
        <w:t>thermal</w:t>
      </w:r>
      <w:r w:rsidR="00D5664D">
        <w:t xml:space="preserve"> incin</w:t>
      </w:r>
      <w:r w:rsidR="009B0816">
        <w:t>er</w:t>
      </w:r>
      <w:r w:rsidR="00D5664D">
        <w:t>ation for the “D” Electric Furnace</w:t>
      </w:r>
    </w:p>
    <w:p w:rsidR="00744DC9" w:rsidRDefault="00403192" w:rsidP="00A25969">
      <w:pPr>
        <w:ind w:left="90" w:hanging="90"/>
      </w:pPr>
      <w:bookmarkStart w:id="12" w:name="_Hlk5631995"/>
      <w:r w:rsidRPr="00402340">
        <w:rPr>
          <w:vertAlign w:val="superscript"/>
        </w:rPr>
        <w:t>2</w:t>
      </w:r>
      <w:r w:rsidR="009B0816" w:rsidRPr="00402340">
        <w:t xml:space="preserve">Not technically </w:t>
      </w:r>
      <w:r w:rsidR="00744DC9" w:rsidRPr="00402340">
        <w:t>feasible; these controls require high concentrations of VOC to work and the effluent streams from these sources have very low VOC concentrations</w:t>
      </w:r>
      <w:bookmarkEnd w:id="12"/>
    </w:p>
    <w:p w:rsidR="00F16CA8" w:rsidRPr="00FB1DFF" w:rsidRDefault="00FB1DFF" w:rsidP="00A25969">
      <w:pPr>
        <w:ind w:left="90" w:hanging="90"/>
      </w:pPr>
      <w:r>
        <w:rPr>
          <w:vertAlign w:val="superscript"/>
        </w:rPr>
        <w:t>3</w:t>
      </w:r>
      <w:r>
        <w:t>Emissions are spread out throughout the facility</w:t>
      </w:r>
      <w:r w:rsidR="00FD2A51">
        <w:t xml:space="preserve"> making VOC controls technically infeasible at this time</w:t>
      </w:r>
      <w:r>
        <w:t xml:space="preserve"> </w:t>
      </w:r>
    </w:p>
    <w:p w:rsidR="00F16CA8" w:rsidRDefault="00F16CA8" w:rsidP="00A25969">
      <w:pPr>
        <w:ind w:left="90" w:hanging="90"/>
      </w:pPr>
    </w:p>
    <w:p w:rsidR="00B50A2E" w:rsidRDefault="00F16CA8" w:rsidP="00017819">
      <w:proofErr w:type="gramStart"/>
      <w:r w:rsidRPr="001C5F88">
        <w:t>The majority of</w:t>
      </w:r>
      <w:proofErr w:type="gramEnd"/>
      <w:r w:rsidRPr="001C5F88">
        <w:t xml:space="preserve"> sources at the facility have never been stack tested and there is no intention by DEP to require any new stack testing, with the exception for 5-year testing for the EMS Boiler, to test for NOx emissions.  The only other source that has regularly scheduled stack testing is the “D” Electric Furnace.  For the two sources that will have regularly scheduled stack testing, short-term emission limits have been proposed for RACT II.  However, for all the other sources that have never been tested, or where there is insufficient data to determine an appropriate short-term emission limit, it is impractical to impose a short-term limit without knowing</w:t>
      </w:r>
      <w:r w:rsidR="00B50A2E">
        <w:t xml:space="preserve"> </w:t>
      </w:r>
      <w:r w:rsidR="00B50A2E" w:rsidRPr="001C5F88">
        <w:t xml:space="preserve">if the limit is appropriate and without there being a reasonable method of demonstrating compliance with such </w:t>
      </w:r>
      <w:r w:rsidR="00B50A2E" w:rsidRPr="00017819">
        <w:t xml:space="preserve">limits.  </w:t>
      </w:r>
      <w:r w:rsidR="00902BCC">
        <w:t xml:space="preserve">Table 2c reflects </w:t>
      </w:r>
      <w:r w:rsidR="00B50A2E" w:rsidRPr="00017819">
        <w:t>DEP</w:t>
      </w:r>
      <w:r w:rsidR="00902BCC">
        <w:t>’s</w:t>
      </w:r>
      <w:r w:rsidR="00B50A2E" w:rsidRPr="00017819">
        <w:t xml:space="preserve"> determin</w:t>
      </w:r>
      <w:r w:rsidR="00902BCC">
        <w:t xml:space="preserve">ation of </w:t>
      </w:r>
      <w:r w:rsidR="00B50A2E" w:rsidRPr="00017819">
        <w:t>case-by-case RACT requirements/limitations for all the sources listed in Tables 1a, 1b, and 1c, as well as their respective methods of compliance with RACT</w:t>
      </w:r>
      <w:r w:rsidR="00902BCC">
        <w:t xml:space="preserve">.  </w:t>
      </w:r>
    </w:p>
    <w:p w:rsidR="00F16CA8" w:rsidRDefault="00F16CA8" w:rsidP="00F16CA8">
      <w:r w:rsidRPr="001C5F88">
        <w:t xml:space="preserve"> </w:t>
      </w:r>
    </w:p>
    <w:p w:rsidR="00F16CA8" w:rsidRDefault="00F05000">
      <w:r w:rsidRPr="000B0A17">
        <w:br w:type="page"/>
      </w:r>
    </w:p>
    <w:p w:rsidR="00F16CA8" w:rsidRPr="000B0A17" w:rsidRDefault="00F16CA8">
      <w:pPr>
        <w:sectPr w:rsidR="00F16CA8" w:rsidRPr="000B0A17" w:rsidSect="009F1AAD">
          <w:headerReference w:type="default" r:id="rId14"/>
          <w:footerReference w:type="default" r:id="rId15"/>
          <w:pgSz w:w="15840" w:h="12240" w:orient="landscape" w:code="1"/>
          <w:pgMar w:top="1584" w:right="1440" w:bottom="1584" w:left="1440" w:header="720" w:footer="0" w:gutter="0"/>
          <w:cols w:space="720"/>
          <w:docGrid w:linePitch="326"/>
        </w:sectPr>
      </w:pPr>
    </w:p>
    <w:p w:rsidR="003C5421" w:rsidRPr="00235AF6" w:rsidRDefault="003F51CE" w:rsidP="003F51CE">
      <w:pPr>
        <w:jc w:val="center"/>
        <w:rPr>
          <w:b/>
        </w:rPr>
      </w:pPr>
      <w:r w:rsidRPr="00235AF6">
        <w:rPr>
          <w:b/>
        </w:rPr>
        <w:lastRenderedPageBreak/>
        <w:t>Table 2</w:t>
      </w:r>
      <w:r w:rsidR="00235AF6" w:rsidRPr="00235AF6">
        <w:rPr>
          <w:b/>
        </w:rPr>
        <w:t>c</w:t>
      </w:r>
    </w:p>
    <w:tbl>
      <w:tblPr>
        <w:tblStyle w:val="TableGrid"/>
        <w:tblW w:w="10710" w:type="dxa"/>
        <w:tblInd w:w="198" w:type="dxa"/>
        <w:tblLook w:val="04A0" w:firstRow="1" w:lastRow="0" w:firstColumn="1" w:lastColumn="0" w:noHBand="0" w:noVBand="1"/>
      </w:tblPr>
      <w:tblGrid>
        <w:gridCol w:w="893"/>
        <w:gridCol w:w="2977"/>
        <w:gridCol w:w="3600"/>
        <w:gridCol w:w="3240"/>
      </w:tblGrid>
      <w:tr w:rsidR="003C5421" w:rsidRPr="00245BEA" w:rsidTr="00014BC8">
        <w:tc>
          <w:tcPr>
            <w:tcW w:w="893" w:type="dxa"/>
            <w:shd w:val="clear" w:color="auto" w:fill="D9D9D9" w:themeFill="background1" w:themeFillShade="D9"/>
          </w:tcPr>
          <w:p w:rsidR="003C5421" w:rsidRPr="00245BEA" w:rsidRDefault="003C5421" w:rsidP="0054648C">
            <w:pPr>
              <w:jc w:val="center"/>
            </w:pPr>
            <w:bookmarkStart w:id="13" w:name="_Hlk5007182"/>
            <w:r>
              <w:rPr>
                <w:highlight w:val="yellow"/>
              </w:rPr>
              <w:br w:type="page"/>
            </w:r>
            <w:r w:rsidRPr="00245BEA">
              <w:t>Source ID</w:t>
            </w:r>
          </w:p>
        </w:tc>
        <w:tc>
          <w:tcPr>
            <w:tcW w:w="2977" w:type="dxa"/>
            <w:shd w:val="clear" w:color="auto" w:fill="D9D9D9" w:themeFill="background1" w:themeFillShade="D9"/>
            <w:vAlign w:val="center"/>
          </w:tcPr>
          <w:p w:rsidR="003C5421" w:rsidRPr="00245BEA" w:rsidRDefault="003C5421" w:rsidP="0054648C">
            <w:pPr>
              <w:jc w:val="center"/>
            </w:pPr>
            <w:r w:rsidRPr="00245BEA">
              <w:t>Source Name</w:t>
            </w:r>
          </w:p>
        </w:tc>
        <w:tc>
          <w:tcPr>
            <w:tcW w:w="3600" w:type="dxa"/>
            <w:shd w:val="clear" w:color="auto" w:fill="D9D9D9" w:themeFill="background1" w:themeFillShade="D9"/>
            <w:vAlign w:val="center"/>
          </w:tcPr>
          <w:p w:rsidR="003C5421" w:rsidRPr="00245BEA" w:rsidRDefault="003C5421" w:rsidP="0054648C">
            <w:pPr>
              <w:jc w:val="center"/>
            </w:pPr>
            <w:r w:rsidRPr="00245BEA">
              <w:t xml:space="preserve">RACT </w:t>
            </w:r>
            <w:r w:rsidR="00992E15">
              <w:t>Requirement(s)</w:t>
            </w:r>
          </w:p>
        </w:tc>
        <w:tc>
          <w:tcPr>
            <w:tcW w:w="3240" w:type="dxa"/>
            <w:shd w:val="clear" w:color="auto" w:fill="D9D9D9" w:themeFill="background1" w:themeFillShade="D9"/>
            <w:vAlign w:val="center"/>
          </w:tcPr>
          <w:p w:rsidR="003C5421" w:rsidRPr="00245BEA" w:rsidRDefault="00E16B06" w:rsidP="0054648C">
            <w:pPr>
              <w:jc w:val="center"/>
            </w:pPr>
            <w:r>
              <w:t>Compliance Method(s)</w:t>
            </w:r>
          </w:p>
        </w:tc>
      </w:tr>
      <w:bookmarkEnd w:id="13"/>
      <w:tr w:rsidR="003C5421" w:rsidRPr="00245BEA" w:rsidTr="003D0C04">
        <w:tc>
          <w:tcPr>
            <w:tcW w:w="893" w:type="dxa"/>
            <w:shd w:val="clear" w:color="auto" w:fill="auto"/>
            <w:vAlign w:val="center"/>
          </w:tcPr>
          <w:p w:rsidR="003C5421" w:rsidRPr="00CE4032" w:rsidRDefault="00CE77E3" w:rsidP="0054648C">
            <w:pPr>
              <w:jc w:val="center"/>
            </w:pPr>
            <w:r w:rsidRPr="00CE4032">
              <w:t>0</w:t>
            </w:r>
            <w:r w:rsidR="003C5421" w:rsidRPr="00CE4032">
              <w:t>55</w:t>
            </w:r>
          </w:p>
        </w:tc>
        <w:tc>
          <w:tcPr>
            <w:tcW w:w="2977" w:type="dxa"/>
            <w:shd w:val="clear" w:color="auto" w:fill="auto"/>
            <w:vAlign w:val="center"/>
          </w:tcPr>
          <w:p w:rsidR="003C5421" w:rsidRPr="00CE4032" w:rsidRDefault="003C5421" w:rsidP="0054648C">
            <w:pPr>
              <w:jc w:val="center"/>
            </w:pPr>
            <w:r w:rsidRPr="00CE4032">
              <w:t>EMS Boiler</w:t>
            </w:r>
          </w:p>
        </w:tc>
        <w:tc>
          <w:tcPr>
            <w:tcW w:w="3600" w:type="dxa"/>
            <w:shd w:val="clear" w:color="auto" w:fill="auto"/>
            <w:vAlign w:val="center"/>
          </w:tcPr>
          <w:p w:rsidR="003C5421" w:rsidRPr="00CE4032" w:rsidRDefault="00B25AB1" w:rsidP="00E629DC">
            <w:pPr>
              <w:jc w:val="center"/>
            </w:pPr>
            <w:r w:rsidRPr="00CE4032">
              <w:t>0.14</w:t>
            </w:r>
            <w:r w:rsidR="00827566" w:rsidRPr="00CE4032">
              <w:t>7</w:t>
            </w:r>
            <w:r w:rsidRPr="00CE4032">
              <w:t xml:space="preserve"> </w:t>
            </w:r>
            <w:proofErr w:type="spellStart"/>
            <w:r w:rsidRPr="00CE4032">
              <w:t>lb</w:t>
            </w:r>
            <w:proofErr w:type="spellEnd"/>
            <w:r w:rsidRPr="00CE4032">
              <w:t xml:space="preserve"> NOx/M</w:t>
            </w:r>
            <w:r w:rsidR="00283A3C" w:rsidRPr="00CE4032">
              <w:t xml:space="preserve">cf </w:t>
            </w:r>
            <w:r w:rsidR="008B1F5D" w:rsidRPr="00CE4032">
              <w:t>of NG</w:t>
            </w:r>
          </w:p>
          <w:p w:rsidR="00874CBB" w:rsidRPr="00CE4032" w:rsidRDefault="00874CBB" w:rsidP="00E629DC">
            <w:pPr>
              <w:jc w:val="center"/>
              <w:rPr>
                <w:vertAlign w:val="superscript"/>
              </w:rPr>
            </w:pPr>
            <w:r w:rsidRPr="00CE4032">
              <w:t xml:space="preserve">267 million </w:t>
            </w:r>
            <w:proofErr w:type="spellStart"/>
            <w:r w:rsidRPr="00CE4032">
              <w:t>c</w:t>
            </w:r>
            <w:r w:rsidR="00471E0F" w:rsidRPr="00CE4032">
              <w:t>f</w:t>
            </w:r>
            <w:proofErr w:type="spellEnd"/>
            <w:r w:rsidR="00471E0F" w:rsidRPr="00CE4032">
              <w:t xml:space="preserve"> </w:t>
            </w:r>
            <w:r w:rsidRPr="00CE4032">
              <w:t>natural gas</w:t>
            </w:r>
            <w:r w:rsidR="00471E0F" w:rsidRPr="00CE4032">
              <w:t>/yr</w:t>
            </w:r>
            <w:r w:rsidR="000E0541" w:rsidRPr="00CE4032">
              <w:rPr>
                <w:vertAlign w:val="superscript"/>
              </w:rPr>
              <w:t>1</w:t>
            </w:r>
          </w:p>
          <w:p w:rsidR="00471E0F" w:rsidRDefault="00471E0F" w:rsidP="00E629DC">
            <w:pPr>
              <w:jc w:val="center"/>
            </w:pPr>
            <w:r w:rsidRPr="00CE4032">
              <w:t>19.62 TPY NOx</w:t>
            </w:r>
          </w:p>
          <w:p w:rsidR="00C4272B" w:rsidRPr="00CE4032" w:rsidRDefault="00C4272B" w:rsidP="00E629DC">
            <w:pPr>
              <w:jc w:val="center"/>
            </w:pPr>
            <w:r>
              <w:t xml:space="preserve">BMP for </w:t>
            </w:r>
            <w:r w:rsidRPr="00DF6464">
              <w:t>minimizing NOx</w:t>
            </w:r>
            <w:r w:rsidRPr="00DF6464">
              <w:rPr>
                <w:vertAlign w:val="superscript"/>
              </w:rPr>
              <w:t>2</w:t>
            </w:r>
          </w:p>
        </w:tc>
        <w:tc>
          <w:tcPr>
            <w:tcW w:w="3240" w:type="dxa"/>
            <w:shd w:val="clear" w:color="auto" w:fill="auto"/>
            <w:vAlign w:val="center"/>
          </w:tcPr>
          <w:p w:rsidR="00543735" w:rsidRPr="00CE4032" w:rsidRDefault="003C7D8C" w:rsidP="00EE159C">
            <w:pPr>
              <w:jc w:val="center"/>
              <w:rPr>
                <w:vertAlign w:val="superscript"/>
              </w:rPr>
            </w:pPr>
            <w:r w:rsidRPr="00CE4032">
              <w:t xml:space="preserve"> </w:t>
            </w:r>
            <w:r w:rsidR="00E16B06" w:rsidRPr="00CE4032">
              <w:t>5-year Stack Testing</w:t>
            </w:r>
          </w:p>
          <w:p w:rsidR="00471E0F" w:rsidRPr="00CE4032" w:rsidRDefault="00471E0F" w:rsidP="00471E0F">
            <w:pPr>
              <w:jc w:val="center"/>
            </w:pPr>
            <w:r w:rsidRPr="00CE4032">
              <w:t>Monthly Recordkeeping</w:t>
            </w:r>
          </w:p>
          <w:p w:rsidR="00874CBB" w:rsidRDefault="00471E0F" w:rsidP="00471E0F">
            <w:pPr>
              <w:jc w:val="center"/>
            </w:pPr>
            <w:r w:rsidRPr="00CE4032">
              <w:t>Monthly Recordkeeping</w:t>
            </w:r>
          </w:p>
          <w:p w:rsidR="00C4272B" w:rsidRPr="00CE4032" w:rsidRDefault="00C4272B" w:rsidP="00471E0F">
            <w:pPr>
              <w:jc w:val="center"/>
            </w:pPr>
            <w:r>
              <w:t>N/A</w:t>
            </w:r>
          </w:p>
        </w:tc>
      </w:tr>
      <w:tr w:rsidR="009B0816" w:rsidTr="00014BC8">
        <w:tc>
          <w:tcPr>
            <w:tcW w:w="893" w:type="dxa"/>
            <w:vMerge w:val="restart"/>
            <w:vAlign w:val="center"/>
          </w:tcPr>
          <w:p w:rsidR="009B0816" w:rsidRPr="004B7B25" w:rsidRDefault="009B0816" w:rsidP="0054648C">
            <w:pPr>
              <w:jc w:val="center"/>
            </w:pPr>
            <w:r w:rsidRPr="004B7B25">
              <w:t>104</w:t>
            </w:r>
          </w:p>
        </w:tc>
        <w:tc>
          <w:tcPr>
            <w:tcW w:w="2977" w:type="dxa"/>
            <w:vMerge w:val="restart"/>
            <w:vAlign w:val="center"/>
          </w:tcPr>
          <w:p w:rsidR="009B0816" w:rsidRPr="004B7B25" w:rsidRDefault="009B0816" w:rsidP="0054648C">
            <w:pPr>
              <w:jc w:val="center"/>
            </w:pPr>
            <w:r w:rsidRPr="004B7B25">
              <w:t>“D” Electric Furnace</w:t>
            </w:r>
          </w:p>
        </w:tc>
        <w:tc>
          <w:tcPr>
            <w:tcW w:w="3600" w:type="dxa"/>
            <w:shd w:val="clear" w:color="auto" w:fill="auto"/>
            <w:vAlign w:val="center"/>
          </w:tcPr>
          <w:p w:rsidR="009B0816" w:rsidRPr="004B7B25" w:rsidRDefault="00C41159" w:rsidP="007647EA">
            <w:pPr>
              <w:jc w:val="center"/>
            </w:pPr>
            <w:r w:rsidRPr="004B7B25">
              <w:t xml:space="preserve">0.440 </w:t>
            </w:r>
            <w:proofErr w:type="spellStart"/>
            <w:r w:rsidRPr="004B7B25">
              <w:t>lb</w:t>
            </w:r>
            <w:proofErr w:type="spellEnd"/>
            <w:r w:rsidRPr="004B7B25">
              <w:t xml:space="preserve"> NOx/ton production</w:t>
            </w:r>
          </w:p>
          <w:p w:rsidR="00C41159" w:rsidRPr="004B7B25" w:rsidRDefault="00D86B90" w:rsidP="007647EA">
            <w:pPr>
              <w:jc w:val="center"/>
              <w:rPr>
                <w:vertAlign w:val="superscript"/>
              </w:rPr>
            </w:pPr>
            <w:r w:rsidRPr="004B7B25">
              <w:t>1.55 million tons production/yr</w:t>
            </w:r>
            <w:r w:rsidR="00D40F51" w:rsidRPr="004B7B25">
              <w:rPr>
                <w:vertAlign w:val="superscript"/>
              </w:rPr>
              <w:t>1</w:t>
            </w:r>
          </w:p>
          <w:p w:rsidR="00BF5E3B" w:rsidRDefault="00874CBB" w:rsidP="007647EA">
            <w:pPr>
              <w:jc w:val="center"/>
            </w:pPr>
            <w:r w:rsidRPr="004B7B25">
              <w:t>340.6 TPY NOx</w:t>
            </w:r>
          </w:p>
          <w:p w:rsidR="00C4272B" w:rsidRPr="004B7B25" w:rsidRDefault="00C4272B" w:rsidP="007647EA">
            <w:pPr>
              <w:jc w:val="center"/>
            </w:pPr>
            <w:r>
              <w:t xml:space="preserve">BMP for </w:t>
            </w:r>
            <w:r w:rsidRPr="00DF6464">
              <w:t>minimizing NOx</w:t>
            </w:r>
            <w:r w:rsidRPr="00DF6464">
              <w:rPr>
                <w:vertAlign w:val="superscript"/>
              </w:rPr>
              <w:t>2</w:t>
            </w:r>
          </w:p>
        </w:tc>
        <w:tc>
          <w:tcPr>
            <w:tcW w:w="3240" w:type="dxa"/>
            <w:shd w:val="clear" w:color="auto" w:fill="auto"/>
            <w:vAlign w:val="center"/>
          </w:tcPr>
          <w:p w:rsidR="009B0816" w:rsidRPr="004B7B25" w:rsidRDefault="00C41159" w:rsidP="0054648C">
            <w:pPr>
              <w:jc w:val="center"/>
            </w:pPr>
            <w:r w:rsidRPr="004B7B25">
              <w:t>5-year Stack Testing</w:t>
            </w:r>
          </w:p>
          <w:p w:rsidR="00BF5E3B" w:rsidRPr="004B7B25" w:rsidRDefault="00BF5E3B" w:rsidP="0054648C">
            <w:pPr>
              <w:jc w:val="center"/>
            </w:pPr>
            <w:r w:rsidRPr="004B7B25">
              <w:t>Monthly Recordkeeping</w:t>
            </w:r>
          </w:p>
          <w:p w:rsidR="00BF5E3B" w:rsidRDefault="00874CBB" w:rsidP="0054648C">
            <w:pPr>
              <w:jc w:val="center"/>
            </w:pPr>
            <w:r w:rsidRPr="004B7B25">
              <w:t>Monthly Recordkeeping</w:t>
            </w:r>
          </w:p>
          <w:p w:rsidR="00DF6464" w:rsidRPr="004B7B25" w:rsidRDefault="00DF6464" w:rsidP="0054648C">
            <w:pPr>
              <w:jc w:val="center"/>
            </w:pPr>
            <w:r>
              <w:t>N/A</w:t>
            </w:r>
          </w:p>
        </w:tc>
      </w:tr>
      <w:tr w:rsidR="009B0816" w:rsidTr="00014BC8">
        <w:tc>
          <w:tcPr>
            <w:tcW w:w="893" w:type="dxa"/>
            <w:vMerge/>
            <w:shd w:val="clear" w:color="auto" w:fill="auto"/>
          </w:tcPr>
          <w:p w:rsidR="009B0816" w:rsidRPr="004B7B25" w:rsidRDefault="009B0816" w:rsidP="0054648C">
            <w:pPr>
              <w:jc w:val="center"/>
            </w:pPr>
          </w:p>
        </w:tc>
        <w:tc>
          <w:tcPr>
            <w:tcW w:w="2977" w:type="dxa"/>
            <w:vMerge/>
            <w:shd w:val="clear" w:color="auto" w:fill="auto"/>
          </w:tcPr>
          <w:p w:rsidR="009B0816" w:rsidRPr="004B7B25" w:rsidRDefault="009B0816" w:rsidP="0054648C">
            <w:pPr>
              <w:jc w:val="center"/>
            </w:pPr>
          </w:p>
        </w:tc>
        <w:tc>
          <w:tcPr>
            <w:tcW w:w="3600" w:type="dxa"/>
            <w:shd w:val="clear" w:color="auto" w:fill="auto"/>
            <w:vAlign w:val="center"/>
          </w:tcPr>
          <w:p w:rsidR="00C41159" w:rsidRPr="004B7B25" w:rsidRDefault="00C41159" w:rsidP="00C41159">
            <w:pPr>
              <w:jc w:val="center"/>
            </w:pPr>
            <w:r w:rsidRPr="004B7B25">
              <w:t xml:space="preserve">0.636 </w:t>
            </w:r>
            <w:proofErr w:type="spellStart"/>
            <w:r w:rsidRPr="004B7B25">
              <w:t>lb</w:t>
            </w:r>
            <w:proofErr w:type="spellEnd"/>
            <w:r w:rsidRPr="004B7B25">
              <w:t xml:space="preserve"> VOC/ton production</w:t>
            </w:r>
          </w:p>
          <w:p w:rsidR="00874CBB" w:rsidRPr="004B7B25" w:rsidRDefault="00874CBB" w:rsidP="00C41159">
            <w:pPr>
              <w:jc w:val="center"/>
              <w:rPr>
                <w:vertAlign w:val="superscript"/>
              </w:rPr>
            </w:pPr>
            <w:r w:rsidRPr="004B7B25">
              <w:t>1.55 million tons production/yr</w:t>
            </w:r>
            <w:r w:rsidR="00D40F51" w:rsidRPr="004B7B25">
              <w:rPr>
                <w:vertAlign w:val="superscript"/>
              </w:rPr>
              <w:t>1</w:t>
            </w:r>
          </w:p>
          <w:p w:rsidR="00874CBB" w:rsidRDefault="00874CBB" w:rsidP="00C41159">
            <w:pPr>
              <w:jc w:val="center"/>
            </w:pPr>
            <w:r w:rsidRPr="004B7B25">
              <w:t>492.9 TPY VOC</w:t>
            </w:r>
          </w:p>
          <w:p w:rsidR="00C4272B" w:rsidRPr="004B7B25" w:rsidRDefault="00C4272B" w:rsidP="00C41159">
            <w:pPr>
              <w:jc w:val="center"/>
            </w:pPr>
            <w:r w:rsidRPr="00C4272B">
              <w:t xml:space="preserve">BMP for minimizing </w:t>
            </w:r>
            <w:r w:rsidR="00DF6464">
              <w:t>VOC</w:t>
            </w:r>
            <w:r w:rsidRPr="00C4272B">
              <w:rPr>
                <w:vertAlign w:val="superscript"/>
              </w:rPr>
              <w:t>2</w:t>
            </w:r>
          </w:p>
        </w:tc>
        <w:tc>
          <w:tcPr>
            <w:tcW w:w="3240" w:type="dxa"/>
            <w:shd w:val="clear" w:color="auto" w:fill="auto"/>
            <w:vAlign w:val="center"/>
          </w:tcPr>
          <w:p w:rsidR="009B0816" w:rsidRPr="004B7B25" w:rsidRDefault="00C41159" w:rsidP="0054648C">
            <w:pPr>
              <w:jc w:val="center"/>
            </w:pPr>
            <w:r w:rsidRPr="004B7B25">
              <w:t>5-year Stack Testing</w:t>
            </w:r>
          </w:p>
          <w:p w:rsidR="00874CBB" w:rsidRPr="004B7B25" w:rsidRDefault="00874CBB" w:rsidP="00874CBB">
            <w:pPr>
              <w:jc w:val="center"/>
            </w:pPr>
            <w:r w:rsidRPr="004B7B25">
              <w:t>Monthly Recordkeeping</w:t>
            </w:r>
          </w:p>
          <w:p w:rsidR="00874CBB" w:rsidRDefault="00874CBB" w:rsidP="00874CBB">
            <w:pPr>
              <w:jc w:val="center"/>
            </w:pPr>
            <w:r w:rsidRPr="004B7B25">
              <w:t>Monthly Recordkeeping</w:t>
            </w:r>
          </w:p>
          <w:p w:rsidR="00DF6464" w:rsidRPr="004B7B25" w:rsidRDefault="00DF6464" w:rsidP="00874CBB">
            <w:pPr>
              <w:jc w:val="center"/>
            </w:pPr>
            <w:r>
              <w:t>N/A</w:t>
            </w:r>
          </w:p>
        </w:tc>
      </w:tr>
      <w:tr w:rsidR="00DF6464" w:rsidTr="00DF6464">
        <w:trPr>
          <w:trHeight w:val="809"/>
        </w:trPr>
        <w:tc>
          <w:tcPr>
            <w:tcW w:w="893" w:type="dxa"/>
            <w:shd w:val="clear" w:color="auto" w:fill="auto"/>
            <w:vAlign w:val="center"/>
          </w:tcPr>
          <w:p w:rsidR="00DF6464" w:rsidRPr="00D9618B" w:rsidRDefault="00DF6464" w:rsidP="0054648C">
            <w:pPr>
              <w:jc w:val="center"/>
            </w:pPr>
            <w:r w:rsidRPr="00D9618B">
              <w:t>136</w:t>
            </w:r>
          </w:p>
        </w:tc>
        <w:tc>
          <w:tcPr>
            <w:tcW w:w="2977" w:type="dxa"/>
            <w:shd w:val="clear" w:color="auto" w:fill="auto"/>
            <w:vAlign w:val="center"/>
          </w:tcPr>
          <w:p w:rsidR="00DF6464" w:rsidRPr="00D9618B" w:rsidRDefault="00DF6464" w:rsidP="0054648C">
            <w:pPr>
              <w:jc w:val="center"/>
            </w:pPr>
            <w:r w:rsidRPr="00D9618B">
              <w:t>BHT Furnace #2-8 &amp;#10</w:t>
            </w:r>
          </w:p>
        </w:tc>
        <w:tc>
          <w:tcPr>
            <w:tcW w:w="3600" w:type="dxa"/>
            <w:shd w:val="clear" w:color="auto" w:fill="auto"/>
            <w:vAlign w:val="center"/>
          </w:tcPr>
          <w:p w:rsidR="00DF6464" w:rsidRPr="00DF6464" w:rsidRDefault="00DF6464" w:rsidP="0054648C">
            <w:pPr>
              <w:jc w:val="center"/>
            </w:pPr>
            <w:r w:rsidRPr="00D9618B">
              <w:t xml:space="preserve">2,495.7 million </w:t>
            </w:r>
            <w:proofErr w:type="spellStart"/>
            <w:r w:rsidRPr="00D9618B">
              <w:t>cf</w:t>
            </w:r>
            <w:proofErr w:type="spellEnd"/>
            <w:r w:rsidRPr="00D9618B">
              <w:t xml:space="preserve"> natural </w:t>
            </w:r>
            <w:r w:rsidRPr="00DF6464">
              <w:t>gas/yr</w:t>
            </w:r>
            <w:r w:rsidRPr="00DF6464">
              <w:rPr>
                <w:vertAlign w:val="superscript"/>
              </w:rPr>
              <w:t>3</w:t>
            </w:r>
            <w:r w:rsidRPr="00DF6464">
              <w:t xml:space="preserve"> </w:t>
            </w:r>
          </w:p>
          <w:p w:rsidR="00DF6464" w:rsidRPr="00DF6464" w:rsidRDefault="00DF6464" w:rsidP="00AC3F9C">
            <w:pPr>
              <w:jc w:val="center"/>
            </w:pPr>
            <w:r w:rsidRPr="00DF6464">
              <w:t>173.6 TPY NOx</w:t>
            </w:r>
          </w:p>
          <w:p w:rsidR="00DF6464" w:rsidRPr="00D9618B" w:rsidRDefault="00DF6464" w:rsidP="00AC3F9C">
            <w:pPr>
              <w:jc w:val="center"/>
            </w:pPr>
            <w:r w:rsidRPr="00DF6464">
              <w:t>BMP for minimizing NOx</w:t>
            </w:r>
          </w:p>
        </w:tc>
        <w:tc>
          <w:tcPr>
            <w:tcW w:w="3240" w:type="dxa"/>
            <w:shd w:val="clear" w:color="auto" w:fill="auto"/>
            <w:vAlign w:val="center"/>
          </w:tcPr>
          <w:p w:rsidR="00DF6464" w:rsidRPr="00D9618B" w:rsidRDefault="00DF6464" w:rsidP="0054648C">
            <w:pPr>
              <w:jc w:val="center"/>
            </w:pPr>
            <w:r w:rsidRPr="00D9618B">
              <w:t>Monthly Recordkeeping</w:t>
            </w:r>
          </w:p>
          <w:p w:rsidR="00DF6464" w:rsidRPr="00D9618B" w:rsidRDefault="00DF6464" w:rsidP="00AC3F9C">
            <w:pPr>
              <w:jc w:val="center"/>
            </w:pPr>
            <w:r w:rsidRPr="00D9618B">
              <w:t>Monthly Recordkeeping</w:t>
            </w:r>
          </w:p>
          <w:p w:rsidR="00DF6464" w:rsidRPr="00D9618B" w:rsidRDefault="00DF6464" w:rsidP="00AC3F9C">
            <w:pPr>
              <w:jc w:val="center"/>
            </w:pPr>
            <w:r w:rsidRPr="00D9618B">
              <w:t>N/A</w:t>
            </w:r>
          </w:p>
        </w:tc>
      </w:tr>
      <w:tr w:rsidR="00DF6464" w:rsidTr="00A90D02">
        <w:trPr>
          <w:trHeight w:val="838"/>
        </w:trPr>
        <w:tc>
          <w:tcPr>
            <w:tcW w:w="893" w:type="dxa"/>
            <w:shd w:val="clear" w:color="auto" w:fill="auto"/>
            <w:vAlign w:val="center"/>
          </w:tcPr>
          <w:p w:rsidR="00DF6464" w:rsidRPr="006B127B" w:rsidRDefault="00DF6464" w:rsidP="0054648C">
            <w:pPr>
              <w:jc w:val="center"/>
            </w:pPr>
            <w:r w:rsidRPr="006B127B">
              <w:t>146A</w:t>
            </w:r>
          </w:p>
        </w:tc>
        <w:tc>
          <w:tcPr>
            <w:tcW w:w="2977" w:type="dxa"/>
            <w:shd w:val="clear" w:color="auto" w:fill="auto"/>
            <w:vAlign w:val="center"/>
          </w:tcPr>
          <w:p w:rsidR="00DF6464" w:rsidRPr="006B127B" w:rsidRDefault="00DF6464" w:rsidP="0054648C">
            <w:pPr>
              <w:jc w:val="center"/>
            </w:pPr>
            <w:r w:rsidRPr="006B127B">
              <w:t>145’ NAB Furnace</w:t>
            </w:r>
          </w:p>
        </w:tc>
        <w:tc>
          <w:tcPr>
            <w:tcW w:w="3600" w:type="dxa"/>
            <w:shd w:val="clear" w:color="auto" w:fill="auto"/>
            <w:vAlign w:val="center"/>
          </w:tcPr>
          <w:p w:rsidR="00DF6464" w:rsidRPr="006B127B" w:rsidRDefault="00DF6464" w:rsidP="0054648C">
            <w:pPr>
              <w:jc w:val="center"/>
              <w:rPr>
                <w:vertAlign w:val="superscript"/>
              </w:rPr>
            </w:pPr>
            <w:r w:rsidRPr="006B127B">
              <w:t xml:space="preserve">481.8 million </w:t>
            </w:r>
            <w:proofErr w:type="spellStart"/>
            <w:r w:rsidRPr="006B127B">
              <w:t>cf</w:t>
            </w:r>
            <w:proofErr w:type="spellEnd"/>
            <w:r w:rsidRPr="006B127B">
              <w:t xml:space="preserve"> natural gas/yr</w:t>
            </w:r>
            <w:r w:rsidRPr="006B127B">
              <w:rPr>
                <w:vertAlign w:val="superscript"/>
              </w:rPr>
              <w:t>1</w:t>
            </w:r>
          </w:p>
          <w:p w:rsidR="00DF6464" w:rsidRDefault="00DF6464" w:rsidP="0054648C">
            <w:pPr>
              <w:jc w:val="center"/>
              <w:rPr>
                <w:vertAlign w:val="superscript"/>
              </w:rPr>
            </w:pPr>
            <w:r w:rsidRPr="006B127B">
              <w:t>33.7 TPY NOx</w:t>
            </w:r>
            <w:r>
              <w:rPr>
                <w:vertAlign w:val="superscript"/>
              </w:rPr>
              <w:t>1</w:t>
            </w:r>
          </w:p>
          <w:p w:rsidR="00DF6464" w:rsidRPr="00C2179A" w:rsidRDefault="00DF6464" w:rsidP="0054648C">
            <w:pPr>
              <w:jc w:val="center"/>
              <w:rPr>
                <w:vertAlign w:val="superscript"/>
              </w:rPr>
            </w:pPr>
            <w:r w:rsidRPr="00DF6464">
              <w:t>BMP for minimizing NOx</w:t>
            </w:r>
          </w:p>
        </w:tc>
        <w:tc>
          <w:tcPr>
            <w:tcW w:w="3240" w:type="dxa"/>
            <w:shd w:val="clear" w:color="auto" w:fill="auto"/>
            <w:vAlign w:val="center"/>
          </w:tcPr>
          <w:p w:rsidR="00DF6464" w:rsidRPr="006B127B" w:rsidRDefault="00DF6464" w:rsidP="005E7A1D">
            <w:pPr>
              <w:jc w:val="center"/>
            </w:pPr>
            <w:r w:rsidRPr="006B127B">
              <w:t>Monthly Recordkeeping</w:t>
            </w:r>
          </w:p>
          <w:p w:rsidR="00DF6464" w:rsidRDefault="00DF6464" w:rsidP="005E7A1D">
            <w:pPr>
              <w:jc w:val="center"/>
            </w:pPr>
            <w:r w:rsidRPr="006B127B">
              <w:t>Monthly Recordkeeping</w:t>
            </w:r>
          </w:p>
          <w:p w:rsidR="00DF6464" w:rsidRPr="006B127B" w:rsidRDefault="00DF6464" w:rsidP="005E7A1D">
            <w:pPr>
              <w:jc w:val="center"/>
            </w:pPr>
            <w:r>
              <w:t>N/A</w:t>
            </w:r>
          </w:p>
        </w:tc>
      </w:tr>
      <w:tr w:rsidR="00DF6464" w:rsidTr="00A90D02">
        <w:trPr>
          <w:trHeight w:val="838"/>
        </w:trPr>
        <w:tc>
          <w:tcPr>
            <w:tcW w:w="893" w:type="dxa"/>
            <w:shd w:val="clear" w:color="auto" w:fill="auto"/>
            <w:vAlign w:val="center"/>
          </w:tcPr>
          <w:p w:rsidR="00DF6464" w:rsidRPr="00980D23" w:rsidRDefault="00DF6464" w:rsidP="00827566">
            <w:pPr>
              <w:jc w:val="center"/>
            </w:pPr>
            <w:r w:rsidRPr="00980D23">
              <w:t>146B</w:t>
            </w:r>
          </w:p>
        </w:tc>
        <w:tc>
          <w:tcPr>
            <w:tcW w:w="2977" w:type="dxa"/>
            <w:shd w:val="clear" w:color="auto" w:fill="auto"/>
            <w:vAlign w:val="center"/>
          </w:tcPr>
          <w:p w:rsidR="00DF6464" w:rsidRPr="00980D23" w:rsidRDefault="00DF6464" w:rsidP="00827566">
            <w:pPr>
              <w:jc w:val="center"/>
            </w:pPr>
            <w:r w:rsidRPr="00980D23">
              <w:t>200’ NAB Furnace</w:t>
            </w:r>
          </w:p>
        </w:tc>
        <w:tc>
          <w:tcPr>
            <w:tcW w:w="3600" w:type="dxa"/>
            <w:shd w:val="clear" w:color="auto" w:fill="auto"/>
            <w:vAlign w:val="center"/>
          </w:tcPr>
          <w:p w:rsidR="00DF6464" w:rsidRPr="00980D23" w:rsidRDefault="00DF6464" w:rsidP="00827566">
            <w:pPr>
              <w:jc w:val="center"/>
              <w:rPr>
                <w:vertAlign w:val="superscript"/>
              </w:rPr>
            </w:pPr>
            <w:r w:rsidRPr="00980D23">
              <w:t xml:space="preserve"> 510.0 million </w:t>
            </w:r>
            <w:proofErr w:type="spellStart"/>
            <w:r w:rsidRPr="00980D23">
              <w:t>cf</w:t>
            </w:r>
            <w:proofErr w:type="spellEnd"/>
            <w:r w:rsidRPr="00980D23">
              <w:t xml:space="preserve"> natural gas/yr</w:t>
            </w:r>
            <w:r w:rsidRPr="00980D23">
              <w:rPr>
                <w:vertAlign w:val="superscript"/>
              </w:rPr>
              <w:t>1</w:t>
            </w:r>
          </w:p>
          <w:p w:rsidR="00DF6464" w:rsidRDefault="00DF6464" w:rsidP="00827566">
            <w:pPr>
              <w:jc w:val="center"/>
              <w:rPr>
                <w:vertAlign w:val="superscript"/>
              </w:rPr>
            </w:pPr>
            <w:r w:rsidRPr="00980D23">
              <w:t>30.6 TPY NOx</w:t>
            </w:r>
            <w:r w:rsidRPr="00980D23">
              <w:rPr>
                <w:vertAlign w:val="superscript"/>
              </w:rPr>
              <w:t>1</w:t>
            </w:r>
          </w:p>
          <w:p w:rsidR="00DF6464" w:rsidRPr="00980D23" w:rsidRDefault="00DF6464" w:rsidP="00827566">
            <w:pPr>
              <w:jc w:val="center"/>
              <w:rPr>
                <w:vertAlign w:val="superscript"/>
              </w:rPr>
            </w:pPr>
            <w:r w:rsidRPr="00DF6464">
              <w:t>BMP for minimizing NOx</w:t>
            </w:r>
          </w:p>
        </w:tc>
        <w:tc>
          <w:tcPr>
            <w:tcW w:w="3240" w:type="dxa"/>
            <w:shd w:val="clear" w:color="auto" w:fill="auto"/>
            <w:vAlign w:val="center"/>
          </w:tcPr>
          <w:p w:rsidR="00DF6464" w:rsidRPr="00980D23" w:rsidRDefault="00DF6464" w:rsidP="005E7A1D">
            <w:pPr>
              <w:jc w:val="center"/>
            </w:pPr>
            <w:r w:rsidRPr="00980D23">
              <w:t>Monthly Recordkeeping</w:t>
            </w:r>
          </w:p>
          <w:p w:rsidR="00DF6464" w:rsidRDefault="00DF6464" w:rsidP="005E7A1D">
            <w:pPr>
              <w:jc w:val="center"/>
            </w:pPr>
            <w:r w:rsidRPr="00980D23">
              <w:t>Monthly Recordkeeping</w:t>
            </w:r>
          </w:p>
          <w:p w:rsidR="00DF6464" w:rsidRPr="00980D23" w:rsidRDefault="00DF6464" w:rsidP="005E7A1D">
            <w:pPr>
              <w:jc w:val="center"/>
            </w:pPr>
            <w:r>
              <w:t>N/A</w:t>
            </w:r>
          </w:p>
        </w:tc>
      </w:tr>
      <w:tr w:rsidR="003F2042" w:rsidTr="003F2042">
        <w:trPr>
          <w:trHeight w:val="620"/>
        </w:trPr>
        <w:tc>
          <w:tcPr>
            <w:tcW w:w="893" w:type="dxa"/>
            <w:shd w:val="clear" w:color="auto" w:fill="auto"/>
            <w:vAlign w:val="center"/>
          </w:tcPr>
          <w:p w:rsidR="003F2042" w:rsidRPr="00FF10D5" w:rsidRDefault="003F2042" w:rsidP="0054648C">
            <w:pPr>
              <w:jc w:val="center"/>
            </w:pPr>
            <w:r w:rsidRPr="00FF10D5">
              <w:t>151</w:t>
            </w:r>
          </w:p>
        </w:tc>
        <w:tc>
          <w:tcPr>
            <w:tcW w:w="2977" w:type="dxa"/>
            <w:shd w:val="clear" w:color="auto" w:fill="auto"/>
            <w:vAlign w:val="center"/>
          </w:tcPr>
          <w:p w:rsidR="003F2042" w:rsidRPr="00FF10D5" w:rsidRDefault="003F2042" w:rsidP="0054648C">
            <w:pPr>
              <w:jc w:val="center"/>
            </w:pPr>
            <w:r w:rsidRPr="00FF10D5">
              <w:t>Soaking Pits #35 - #49</w:t>
            </w:r>
          </w:p>
        </w:tc>
        <w:tc>
          <w:tcPr>
            <w:tcW w:w="3600" w:type="dxa"/>
            <w:shd w:val="clear" w:color="auto" w:fill="auto"/>
            <w:vAlign w:val="center"/>
          </w:tcPr>
          <w:p w:rsidR="003F2042" w:rsidRPr="00FF10D5" w:rsidRDefault="003F2042" w:rsidP="0054648C">
            <w:pPr>
              <w:jc w:val="center"/>
              <w:rPr>
                <w:vertAlign w:val="superscript"/>
              </w:rPr>
            </w:pPr>
            <w:r w:rsidRPr="00FF10D5">
              <w:t xml:space="preserve">3,942 million </w:t>
            </w:r>
            <w:proofErr w:type="spellStart"/>
            <w:r w:rsidRPr="00FF10D5">
              <w:t>cf</w:t>
            </w:r>
            <w:proofErr w:type="spellEnd"/>
            <w:r w:rsidRPr="00FF10D5">
              <w:t xml:space="preserve"> natural gas/yr</w:t>
            </w:r>
            <w:r w:rsidRPr="00FF10D5">
              <w:rPr>
                <w:vertAlign w:val="superscript"/>
              </w:rPr>
              <w:t>1</w:t>
            </w:r>
          </w:p>
          <w:p w:rsidR="003F2042" w:rsidRPr="00FF10D5" w:rsidRDefault="003F2042" w:rsidP="0054648C">
            <w:pPr>
              <w:jc w:val="center"/>
            </w:pPr>
            <w:r w:rsidRPr="00FF10D5">
              <w:t>502.</w:t>
            </w:r>
            <w:r w:rsidR="003943C1">
              <w:t>8</w:t>
            </w:r>
            <w:r w:rsidRPr="00FF10D5">
              <w:t xml:space="preserve"> TPY NOx</w:t>
            </w:r>
          </w:p>
          <w:p w:rsidR="003F2042" w:rsidRPr="00FF10D5" w:rsidRDefault="003F2042" w:rsidP="0054648C">
            <w:pPr>
              <w:jc w:val="center"/>
            </w:pPr>
            <w:r w:rsidRPr="00FF10D5">
              <w:t>BMP for minimizing NOx</w:t>
            </w:r>
          </w:p>
        </w:tc>
        <w:tc>
          <w:tcPr>
            <w:tcW w:w="3240" w:type="dxa"/>
            <w:shd w:val="clear" w:color="auto" w:fill="auto"/>
            <w:vAlign w:val="center"/>
          </w:tcPr>
          <w:p w:rsidR="003F2042" w:rsidRPr="00FF10D5" w:rsidRDefault="003F2042" w:rsidP="006B0E96">
            <w:pPr>
              <w:jc w:val="center"/>
            </w:pPr>
            <w:r w:rsidRPr="00FF10D5">
              <w:t>Monthly Recordkeeping</w:t>
            </w:r>
          </w:p>
          <w:p w:rsidR="003F2042" w:rsidRPr="00FF10D5" w:rsidRDefault="003F2042" w:rsidP="006B0E96">
            <w:pPr>
              <w:jc w:val="center"/>
            </w:pPr>
            <w:r w:rsidRPr="00FF10D5">
              <w:t>Monthly Recordkeeping</w:t>
            </w:r>
          </w:p>
          <w:p w:rsidR="003F2042" w:rsidRPr="00FF10D5" w:rsidRDefault="003F2042" w:rsidP="0054648C">
            <w:pPr>
              <w:jc w:val="center"/>
            </w:pPr>
            <w:r w:rsidRPr="00FF10D5">
              <w:t>N/A</w:t>
            </w:r>
          </w:p>
        </w:tc>
      </w:tr>
      <w:tr w:rsidR="00FF10D5" w:rsidTr="00B73A0C">
        <w:tc>
          <w:tcPr>
            <w:tcW w:w="893" w:type="dxa"/>
            <w:shd w:val="clear" w:color="auto" w:fill="auto"/>
            <w:vAlign w:val="center"/>
          </w:tcPr>
          <w:p w:rsidR="00FF10D5" w:rsidRPr="00E01A1A" w:rsidRDefault="00FF10D5" w:rsidP="0054648C">
            <w:pPr>
              <w:jc w:val="center"/>
            </w:pPr>
            <w:r w:rsidRPr="00E01A1A">
              <w:t>250</w:t>
            </w:r>
          </w:p>
        </w:tc>
        <w:tc>
          <w:tcPr>
            <w:tcW w:w="2977" w:type="dxa"/>
            <w:shd w:val="clear" w:color="auto" w:fill="auto"/>
            <w:vAlign w:val="center"/>
          </w:tcPr>
          <w:p w:rsidR="00FF10D5" w:rsidRPr="00E01A1A" w:rsidRDefault="00FF10D5" w:rsidP="0054648C">
            <w:pPr>
              <w:jc w:val="center"/>
            </w:pPr>
            <w:r w:rsidRPr="00E01A1A">
              <w:t>Identification Marking</w:t>
            </w:r>
          </w:p>
        </w:tc>
        <w:tc>
          <w:tcPr>
            <w:tcW w:w="3600" w:type="dxa"/>
            <w:shd w:val="clear" w:color="auto" w:fill="auto"/>
            <w:vAlign w:val="center"/>
          </w:tcPr>
          <w:p w:rsidR="00E01A1A" w:rsidRPr="00E01A1A" w:rsidRDefault="00E01A1A" w:rsidP="0054648C">
            <w:pPr>
              <w:jc w:val="center"/>
            </w:pPr>
            <w:r w:rsidRPr="00E01A1A">
              <w:t>5.40 TPY VOC</w:t>
            </w:r>
          </w:p>
          <w:p w:rsidR="00FF10D5" w:rsidRPr="00E01A1A" w:rsidRDefault="00420CF4" w:rsidP="0054648C">
            <w:pPr>
              <w:jc w:val="center"/>
            </w:pPr>
            <w:r w:rsidRPr="00E01A1A">
              <w:t>BMP for minimizing VOC</w:t>
            </w:r>
          </w:p>
        </w:tc>
        <w:tc>
          <w:tcPr>
            <w:tcW w:w="3240" w:type="dxa"/>
            <w:shd w:val="clear" w:color="auto" w:fill="auto"/>
            <w:vAlign w:val="center"/>
          </w:tcPr>
          <w:p w:rsidR="00E01A1A" w:rsidRPr="00E01A1A" w:rsidRDefault="00E01A1A" w:rsidP="0054648C">
            <w:pPr>
              <w:jc w:val="center"/>
            </w:pPr>
            <w:r w:rsidRPr="00E01A1A">
              <w:t>Monthly Recordkeeping</w:t>
            </w:r>
          </w:p>
          <w:p w:rsidR="00FF10D5" w:rsidRPr="00E01A1A" w:rsidRDefault="00420CF4" w:rsidP="0054648C">
            <w:pPr>
              <w:jc w:val="center"/>
            </w:pPr>
            <w:r w:rsidRPr="00E01A1A">
              <w:t>N/A</w:t>
            </w:r>
          </w:p>
        </w:tc>
      </w:tr>
      <w:tr w:rsidR="009B0816" w:rsidTr="00B73A0C">
        <w:tc>
          <w:tcPr>
            <w:tcW w:w="893" w:type="dxa"/>
            <w:shd w:val="clear" w:color="auto" w:fill="auto"/>
            <w:vAlign w:val="center"/>
          </w:tcPr>
          <w:p w:rsidR="009B0816" w:rsidRPr="0049629B" w:rsidRDefault="009B0816" w:rsidP="0054648C">
            <w:pPr>
              <w:jc w:val="center"/>
            </w:pPr>
            <w:r w:rsidRPr="0049629B">
              <w:t>270</w:t>
            </w:r>
          </w:p>
        </w:tc>
        <w:tc>
          <w:tcPr>
            <w:tcW w:w="2977" w:type="dxa"/>
            <w:shd w:val="clear" w:color="auto" w:fill="auto"/>
            <w:vAlign w:val="center"/>
          </w:tcPr>
          <w:p w:rsidR="009B0816" w:rsidRPr="0049629B" w:rsidRDefault="004E2D34" w:rsidP="0054648C">
            <w:pPr>
              <w:jc w:val="center"/>
            </w:pPr>
            <w:r w:rsidRPr="0049629B">
              <w:t>Cont. Cast Spray Chamber</w:t>
            </w:r>
          </w:p>
        </w:tc>
        <w:tc>
          <w:tcPr>
            <w:tcW w:w="3600" w:type="dxa"/>
            <w:shd w:val="clear" w:color="auto" w:fill="auto"/>
            <w:vAlign w:val="center"/>
          </w:tcPr>
          <w:p w:rsidR="00625526" w:rsidRPr="0049629B" w:rsidRDefault="009F7DCC" w:rsidP="0054648C">
            <w:pPr>
              <w:jc w:val="center"/>
            </w:pPr>
            <w:r w:rsidRPr="0049629B">
              <w:t>9</w:t>
            </w:r>
            <w:r w:rsidR="00014BC8" w:rsidRPr="0049629B">
              <w:t>.</w:t>
            </w:r>
            <w:r w:rsidR="00DD5038" w:rsidRPr="0049629B">
              <w:t>02</w:t>
            </w:r>
            <w:r w:rsidR="00014BC8" w:rsidRPr="0049629B">
              <w:t xml:space="preserve"> TPY VOC</w:t>
            </w:r>
          </w:p>
          <w:p w:rsidR="00D55A13" w:rsidRPr="0049629B" w:rsidRDefault="00D55A13" w:rsidP="0054648C">
            <w:pPr>
              <w:jc w:val="center"/>
            </w:pPr>
            <w:r w:rsidRPr="0049629B">
              <w:t>820</w:t>
            </w:r>
            <w:r w:rsidR="00AA79FD">
              <w:t>,000</w:t>
            </w:r>
            <w:r w:rsidRPr="0049629B">
              <w:t xml:space="preserve"> tons of steel/</w:t>
            </w:r>
            <w:proofErr w:type="spellStart"/>
            <w:r w:rsidRPr="0049629B">
              <w:t>yr</w:t>
            </w:r>
            <w:proofErr w:type="spellEnd"/>
          </w:p>
          <w:p w:rsidR="009B0816" w:rsidRPr="0049629B" w:rsidRDefault="006846D0" w:rsidP="0054648C">
            <w:pPr>
              <w:jc w:val="center"/>
            </w:pPr>
            <w:r w:rsidRPr="0049629B">
              <w:t xml:space="preserve">BMP for </w:t>
            </w:r>
            <w:r w:rsidR="00F92D29" w:rsidRPr="0049629B">
              <w:t xml:space="preserve">minimizing </w:t>
            </w:r>
            <w:r w:rsidRPr="0049629B">
              <w:t>VOC</w:t>
            </w:r>
          </w:p>
        </w:tc>
        <w:tc>
          <w:tcPr>
            <w:tcW w:w="3240" w:type="dxa"/>
            <w:shd w:val="clear" w:color="auto" w:fill="auto"/>
            <w:vAlign w:val="center"/>
          </w:tcPr>
          <w:p w:rsidR="0049629B" w:rsidRPr="0049629B" w:rsidRDefault="0049629B" w:rsidP="0054648C">
            <w:pPr>
              <w:jc w:val="center"/>
            </w:pPr>
            <w:r w:rsidRPr="0049629B">
              <w:t>Monthly Recordkeeping</w:t>
            </w:r>
          </w:p>
          <w:p w:rsidR="009B0816" w:rsidRPr="0049629B" w:rsidRDefault="0069355E" w:rsidP="0054648C">
            <w:pPr>
              <w:jc w:val="center"/>
            </w:pPr>
            <w:r w:rsidRPr="0049629B">
              <w:t xml:space="preserve">Monthly </w:t>
            </w:r>
            <w:r w:rsidR="00F92D29" w:rsidRPr="0049629B">
              <w:t>Recordkeeping</w:t>
            </w:r>
          </w:p>
          <w:p w:rsidR="00014BC8" w:rsidRPr="0049629B" w:rsidRDefault="00CE504E" w:rsidP="0054648C">
            <w:pPr>
              <w:jc w:val="center"/>
            </w:pPr>
            <w:r w:rsidRPr="0049629B">
              <w:t>N/A</w:t>
            </w:r>
          </w:p>
        </w:tc>
      </w:tr>
    </w:tbl>
    <w:p w:rsidR="00D40F51" w:rsidRDefault="00D40F51" w:rsidP="00D40F51">
      <w:pPr>
        <w:ind w:left="90" w:right="-414"/>
      </w:pPr>
      <w:r>
        <w:rPr>
          <w:vertAlign w:val="superscript"/>
        </w:rPr>
        <w:t>1</w:t>
      </w:r>
      <w:r>
        <w:t>Existing restriction in the current Title V Operating Permit</w:t>
      </w:r>
    </w:p>
    <w:p w:rsidR="00C4272B" w:rsidRDefault="00C4272B" w:rsidP="00C4272B">
      <w:pPr>
        <w:ind w:left="180" w:right="-414" w:hanging="90"/>
      </w:pPr>
      <w:r>
        <w:rPr>
          <w:vertAlign w:val="superscript"/>
        </w:rPr>
        <w:t>2</w:t>
      </w:r>
      <w:r>
        <w:t>BMP – Best management practices, including operating according to manufacturer’s specifications.</w:t>
      </w:r>
    </w:p>
    <w:p w:rsidR="005D1FF2" w:rsidRPr="005D1FF2" w:rsidRDefault="00C4272B" w:rsidP="00D40F51">
      <w:pPr>
        <w:ind w:left="90" w:right="-414"/>
      </w:pPr>
      <w:r>
        <w:rPr>
          <w:vertAlign w:val="superscript"/>
        </w:rPr>
        <w:t>3</w:t>
      </w:r>
      <w:r w:rsidR="005D1FF2">
        <w:t>Fuel limit based on the rated capacity, 1,000 Btu/</w:t>
      </w:r>
      <w:proofErr w:type="spellStart"/>
      <w:r w:rsidR="005D1FF2">
        <w:t>cf</w:t>
      </w:r>
      <w:proofErr w:type="spellEnd"/>
      <w:r w:rsidR="005D1FF2">
        <w:t xml:space="preserve"> of natural gas, and 8,760 hours per year</w:t>
      </w:r>
    </w:p>
    <w:p w:rsidR="00127D6A" w:rsidRPr="00AE5356" w:rsidRDefault="00127D6A" w:rsidP="00F92D29">
      <w:pPr>
        <w:ind w:left="90"/>
      </w:pPr>
    </w:p>
    <w:p w:rsidR="00F932DC" w:rsidRDefault="00F932DC" w:rsidP="00CA5AD3"/>
    <w:p w:rsidR="00F932DC" w:rsidRDefault="00F932DC" w:rsidP="00CA5AD3"/>
    <w:p w:rsidR="00F932DC" w:rsidRDefault="00F932DC" w:rsidP="00CA5AD3"/>
    <w:p w:rsidR="00B50A2E" w:rsidRDefault="00B50A2E">
      <w:pPr>
        <w:rPr>
          <w:b/>
          <w:u w:val="single"/>
        </w:rPr>
      </w:pPr>
      <w:r>
        <w:rPr>
          <w:b/>
          <w:u w:val="single"/>
        </w:rPr>
        <w:br w:type="page"/>
      </w:r>
    </w:p>
    <w:p w:rsidR="00F932DC" w:rsidRPr="00F932DC" w:rsidRDefault="00F932DC" w:rsidP="00F932DC">
      <w:pPr>
        <w:rPr>
          <w:b/>
          <w:u w:val="single"/>
        </w:rPr>
      </w:pPr>
      <w:r w:rsidRPr="00F932DC">
        <w:rPr>
          <w:b/>
          <w:u w:val="single"/>
        </w:rPr>
        <w:lastRenderedPageBreak/>
        <w:t>Presumptive RACT for NOx and/or VOC</w:t>
      </w:r>
    </w:p>
    <w:p w:rsidR="00F932DC" w:rsidRPr="00F932DC" w:rsidRDefault="00F932DC" w:rsidP="00F932DC"/>
    <w:p w:rsidR="004557A4" w:rsidRPr="008B2348" w:rsidRDefault="00F932DC" w:rsidP="00CA5AD3">
      <w:pPr>
        <w:sectPr w:rsidR="004557A4" w:rsidRPr="008B2348" w:rsidSect="0086479A">
          <w:headerReference w:type="default" r:id="rId16"/>
          <w:footerReference w:type="default" r:id="rId17"/>
          <w:pgSz w:w="12240" w:h="15840" w:code="1"/>
          <w:pgMar w:top="1440" w:right="1584" w:bottom="1440" w:left="990" w:header="720" w:footer="0" w:gutter="0"/>
          <w:cols w:space="720"/>
          <w:docGrid w:linePitch="326"/>
        </w:sectPr>
      </w:pPr>
      <w:r w:rsidRPr="00F932DC">
        <w:t>Table 3</w:t>
      </w:r>
      <w:r>
        <w:t>a and Table 3b</w:t>
      </w:r>
      <w:r w:rsidRPr="00F932DC">
        <w:t xml:space="preserve"> list</w:t>
      </w:r>
      <w:r>
        <w:t xml:space="preserve"> </w:t>
      </w:r>
      <w:r w:rsidRPr="00F932DC">
        <w:t>the sources that are subject to presumptive RACT for NOx and/or VOC, as required under 25 Pa. Code § 129.97, u</w:t>
      </w:r>
      <w:r w:rsidRPr="00A90D02">
        <w:t>nless otherwise noted.  Except for Source IDs 211, 249, 768, and 770, all other sources listed in Table 3a and Table 3b burn natural gas only for fuel.  Source IDs 211</w:t>
      </w:r>
      <w:r w:rsidR="00A90D02" w:rsidRPr="00A90D02">
        <w:t xml:space="preserve"> and</w:t>
      </w:r>
      <w:r w:rsidRPr="00A90D02">
        <w:t xml:space="preserve"> 249 do not burn fuel.</w:t>
      </w:r>
      <w:r w:rsidRPr="00F932DC">
        <w:t xml:space="preserve">  Sources under Source ID 768 only burn diesel fuel, and sources under Source ID 770 burn either natural gas, propane, or diesel fuel.  There is no restriction on hours of operation for the sources in </w:t>
      </w:r>
      <w:r w:rsidRPr="004F357B">
        <w:t>Table 3a/3b, except for Source IDs 768, 769, and 770, which are restricted to 500 hours of operation per year.</w:t>
      </w:r>
      <w:r w:rsidR="004557A4" w:rsidRPr="004F357B">
        <w:t xml:space="preserve">  </w:t>
      </w:r>
      <w:r w:rsidR="006C6A71" w:rsidRPr="004F357B">
        <w:t>Except for</w:t>
      </w:r>
      <w:r w:rsidR="00C008FD" w:rsidRPr="004F357B">
        <w:t xml:space="preserve"> the</w:t>
      </w:r>
      <w:r w:rsidR="002D6C4E" w:rsidRPr="004F357B">
        <w:t xml:space="preserve"> Parts Washer (Source ID 211), Surface Coating (Source ID 249), and the </w:t>
      </w:r>
      <w:r w:rsidR="004557A4" w:rsidRPr="004F357B">
        <w:t>emergency generators</w:t>
      </w:r>
      <w:r w:rsidR="002D6C4E" w:rsidRPr="004F357B">
        <w:t xml:space="preserve"> (Source IDs 768, 769, and 770)</w:t>
      </w:r>
      <w:r w:rsidR="004557A4" w:rsidRPr="004F357B">
        <w:t xml:space="preserve">, the PTE </w:t>
      </w:r>
      <w:r w:rsidR="002D6C4E" w:rsidRPr="004F357B">
        <w:t xml:space="preserve">for sources listed in Table 3a and 3b </w:t>
      </w:r>
      <w:r w:rsidR="004557A4" w:rsidRPr="004F357B">
        <w:t xml:space="preserve">is based on the rated capacity, the emission factor, and 8,760 hours of operation per year.  </w:t>
      </w:r>
      <w:r w:rsidR="008A4FC7" w:rsidRPr="004F357B">
        <w:t>The PTE for the Parts Washer (Source ID 211)</w:t>
      </w:r>
      <w:r w:rsidR="00A90D02">
        <w:t xml:space="preserve"> </w:t>
      </w:r>
      <w:r w:rsidR="008A4FC7" w:rsidRPr="004F357B">
        <w:t>Surface Coating (Source ID 249)</w:t>
      </w:r>
      <w:r w:rsidR="00A90D02">
        <w:t xml:space="preserve"> </w:t>
      </w:r>
      <w:r w:rsidR="008A4FC7" w:rsidRPr="004F357B">
        <w:t xml:space="preserve">are based on mass balancing and historical use of these sources.  </w:t>
      </w:r>
      <w:r w:rsidR="004F357B" w:rsidRPr="004F357B">
        <w:t>The PTE for the emergency generators is based on the rated capacity, the emission factor, and 500 hours of operation.</w:t>
      </w:r>
      <w:r w:rsidR="008A4FC7">
        <w:t xml:space="preserve"> </w:t>
      </w:r>
    </w:p>
    <w:p w:rsidR="00CD527A" w:rsidRPr="00235AF6" w:rsidRDefault="00D235AF" w:rsidP="00D235AF">
      <w:pPr>
        <w:jc w:val="center"/>
        <w:rPr>
          <w:b/>
        </w:rPr>
      </w:pPr>
      <w:bookmarkStart w:id="15" w:name="_Hlk5714741"/>
      <w:r w:rsidRPr="005B3193">
        <w:rPr>
          <w:b/>
        </w:rPr>
        <w:lastRenderedPageBreak/>
        <w:t>Table 3</w:t>
      </w:r>
      <w:r w:rsidR="0004145E" w:rsidRPr="005B3193">
        <w:rPr>
          <w:b/>
        </w:rPr>
        <w:t>a</w:t>
      </w:r>
    </w:p>
    <w:tbl>
      <w:tblPr>
        <w:tblStyle w:val="TableGrid"/>
        <w:tblW w:w="13243" w:type="dxa"/>
        <w:tblInd w:w="108" w:type="dxa"/>
        <w:tblLook w:val="04A0" w:firstRow="1" w:lastRow="0" w:firstColumn="1" w:lastColumn="0" w:noHBand="0" w:noVBand="1"/>
      </w:tblPr>
      <w:tblGrid>
        <w:gridCol w:w="892"/>
        <w:gridCol w:w="3428"/>
        <w:gridCol w:w="1800"/>
        <w:gridCol w:w="1980"/>
        <w:gridCol w:w="1607"/>
        <w:gridCol w:w="1646"/>
        <w:gridCol w:w="1890"/>
      </w:tblGrid>
      <w:tr w:rsidR="00253873" w:rsidRPr="009C5ADA" w:rsidTr="004557A4">
        <w:tc>
          <w:tcPr>
            <w:tcW w:w="892" w:type="dxa"/>
            <w:shd w:val="clear" w:color="auto" w:fill="D9D9D9" w:themeFill="background1" w:themeFillShade="D9"/>
          </w:tcPr>
          <w:p w:rsidR="00253873" w:rsidRPr="009C5ADA" w:rsidRDefault="00253873" w:rsidP="00253873">
            <w:pPr>
              <w:jc w:val="center"/>
              <w:rPr>
                <w:sz w:val="22"/>
                <w:szCs w:val="22"/>
              </w:rPr>
            </w:pPr>
            <w:r w:rsidRPr="009C5ADA">
              <w:rPr>
                <w:sz w:val="22"/>
                <w:szCs w:val="22"/>
              </w:rPr>
              <w:t>Source ID</w:t>
            </w:r>
          </w:p>
        </w:tc>
        <w:tc>
          <w:tcPr>
            <w:tcW w:w="3428" w:type="dxa"/>
            <w:shd w:val="clear" w:color="auto" w:fill="D9D9D9" w:themeFill="background1" w:themeFillShade="D9"/>
            <w:vAlign w:val="center"/>
          </w:tcPr>
          <w:p w:rsidR="00253873" w:rsidRPr="009C5ADA" w:rsidRDefault="00253873" w:rsidP="00253873">
            <w:pPr>
              <w:jc w:val="center"/>
              <w:rPr>
                <w:sz w:val="22"/>
                <w:szCs w:val="22"/>
              </w:rPr>
            </w:pPr>
            <w:r w:rsidRPr="009C5ADA">
              <w:rPr>
                <w:sz w:val="22"/>
                <w:szCs w:val="22"/>
              </w:rPr>
              <w:t>Source Name</w:t>
            </w:r>
          </w:p>
        </w:tc>
        <w:tc>
          <w:tcPr>
            <w:tcW w:w="1800" w:type="dxa"/>
            <w:shd w:val="clear" w:color="auto" w:fill="D9D9D9" w:themeFill="background1" w:themeFillShade="D9"/>
            <w:vAlign w:val="center"/>
          </w:tcPr>
          <w:p w:rsidR="00253873" w:rsidRPr="009C5ADA" w:rsidRDefault="00253873" w:rsidP="00253873">
            <w:pPr>
              <w:jc w:val="center"/>
              <w:rPr>
                <w:sz w:val="22"/>
                <w:szCs w:val="22"/>
              </w:rPr>
            </w:pPr>
            <w:r w:rsidRPr="009C5ADA">
              <w:rPr>
                <w:sz w:val="22"/>
                <w:szCs w:val="22"/>
              </w:rPr>
              <w:t>Rated Capacity</w:t>
            </w:r>
          </w:p>
          <w:p w:rsidR="00253873" w:rsidRPr="009C5ADA" w:rsidRDefault="00253873" w:rsidP="00253873">
            <w:pPr>
              <w:jc w:val="center"/>
              <w:rPr>
                <w:sz w:val="22"/>
                <w:szCs w:val="22"/>
                <w:vertAlign w:val="superscript"/>
              </w:rPr>
            </w:pPr>
            <w:r w:rsidRPr="009C5ADA">
              <w:rPr>
                <w:sz w:val="22"/>
                <w:szCs w:val="22"/>
              </w:rPr>
              <w:t xml:space="preserve"> (MMBtu/</w:t>
            </w:r>
            <w:proofErr w:type="spellStart"/>
            <w:r w:rsidRPr="009C5ADA">
              <w:rPr>
                <w:sz w:val="22"/>
                <w:szCs w:val="22"/>
              </w:rPr>
              <w:t>hr</w:t>
            </w:r>
            <w:proofErr w:type="spellEnd"/>
            <w:r w:rsidRPr="009C5ADA">
              <w:rPr>
                <w:sz w:val="22"/>
                <w:szCs w:val="22"/>
              </w:rPr>
              <w:t>)</w:t>
            </w:r>
            <w:r w:rsidRPr="009C5ADA">
              <w:rPr>
                <w:sz w:val="22"/>
                <w:szCs w:val="22"/>
                <w:vertAlign w:val="superscript"/>
              </w:rPr>
              <w:t>1</w:t>
            </w:r>
          </w:p>
        </w:tc>
        <w:tc>
          <w:tcPr>
            <w:tcW w:w="1980" w:type="dxa"/>
            <w:shd w:val="clear" w:color="auto" w:fill="D9D9D9" w:themeFill="background1" w:themeFillShade="D9"/>
          </w:tcPr>
          <w:p w:rsidR="00253873" w:rsidRPr="009C5ADA" w:rsidRDefault="00253873" w:rsidP="00253873">
            <w:pPr>
              <w:jc w:val="center"/>
              <w:rPr>
                <w:sz w:val="22"/>
                <w:szCs w:val="22"/>
              </w:rPr>
            </w:pPr>
            <w:r w:rsidRPr="009C5ADA">
              <w:rPr>
                <w:sz w:val="22"/>
                <w:szCs w:val="22"/>
              </w:rPr>
              <w:t>Emission Factor (EF)</w:t>
            </w:r>
          </w:p>
        </w:tc>
        <w:tc>
          <w:tcPr>
            <w:tcW w:w="1607" w:type="dxa"/>
            <w:shd w:val="clear" w:color="auto" w:fill="D9D9D9" w:themeFill="background1" w:themeFillShade="D9"/>
            <w:vAlign w:val="center"/>
          </w:tcPr>
          <w:p w:rsidR="00253873" w:rsidRPr="009C5ADA" w:rsidRDefault="00253873" w:rsidP="00253873">
            <w:pPr>
              <w:jc w:val="center"/>
              <w:rPr>
                <w:sz w:val="22"/>
                <w:szCs w:val="22"/>
              </w:rPr>
            </w:pPr>
            <w:r w:rsidRPr="009C5ADA">
              <w:rPr>
                <w:sz w:val="22"/>
                <w:szCs w:val="22"/>
              </w:rPr>
              <w:t>EF Source</w:t>
            </w:r>
          </w:p>
        </w:tc>
        <w:tc>
          <w:tcPr>
            <w:tcW w:w="1646" w:type="dxa"/>
            <w:shd w:val="clear" w:color="auto" w:fill="D9D9D9" w:themeFill="background1" w:themeFillShade="D9"/>
          </w:tcPr>
          <w:p w:rsidR="00253873" w:rsidRPr="009C5ADA" w:rsidRDefault="00253873" w:rsidP="00253873">
            <w:pPr>
              <w:jc w:val="center"/>
              <w:rPr>
                <w:sz w:val="22"/>
                <w:szCs w:val="22"/>
              </w:rPr>
            </w:pPr>
            <w:r w:rsidRPr="009C5ADA">
              <w:rPr>
                <w:sz w:val="22"/>
                <w:szCs w:val="22"/>
              </w:rPr>
              <w:t>PTE of NOx (TPY)</w:t>
            </w:r>
          </w:p>
        </w:tc>
        <w:tc>
          <w:tcPr>
            <w:tcW w:w="1890" w:type="dxa"/>
            <w:shd w:val="clear" w:color="auto" w:fill="D9D9D9" w:themeFill="background1" w:themeFillShade="D9"/>
            <w:vAlign w:val="center"/>
          </w:tcPr>
          <w:p w:rsidR="00253873" w:rsidRPr="009C5ADA" w:rsidRDefault="00253873" w:rsidP="00253873">
            <w:pPr>
              <w:jc w:val="center"/>
              <w:rPr>
                <w:sz w:val="22"/>
                <w:szCs w:val="22"/>
              </w:rPr>
            </w:pPr>
            <w:r w:rsidRPr="009C5ADA">
              <w:rPr>
                <w:sz w:val="22"/>
                <w:szCs w:val="22"/>
              </w:rPr>
              <w:t>Presumptive</w:t>
            </w:r>
            <w:r w:rsidRPr="009C5ADA">
              <w:rPr>
                <w:sz w:val="22"/>
                <w:szCs w:val="22"/>
              </w:rPr>
              <w:br/>
              <w:t>RACT (NOx)</w:t>
            </w:r>
          </w:p>
        </w:tc>
      </w:tr>
      <w:tr w:rsidR="003C5475" w:rsidRPr="009C5ADA" w:rsidTr="004557A4">
        <w:tc>
          <w:tcPr>
            <w:tcW w:w="892" w:type="dxa"/>
            <w:shd w:val="clear" w:color="auto" w:fill="auto"/>
            <w:vAlign w:val="center"/>
          </w:tcPr>
          <w:p w:rsidR="003C5475" w:rsidRPr="009C5ADA" w:rsidRDefault="003C5475" w:rsidP="003C5475">
            <w:pPr>
              <w:jc w:val="center"/>
              <w:rPr>
                <w:sz w:val="22"/>
                <w:szCs w:val="22"/>
              </w:rPr>
            </w:pPr>
            <w:bookmarkStart w:id="16" w:name="_Hlk5781998"/>
            <w:r w:rsidRPr="009C5ADA">
              <w:rPr>
                <w:sz w:val="22"/>
                <w:szCs w:val="22"/>
              </w:rPr>
              <w:t>035</w:t>
            </w:r>
          </w:p>
        </w:tc>
        <w:tc>
          <w:tcPr>
            <w:tcW w:w="3428" w:type="dxa"/>
            <w:shd w:val="clear" w:color="auto" w:fill="auto"/>
            <w:vAlign w:val="center"/>
          </w:tcPr>
          <w:p w:rsidR="003C5475" w:rsidRPr="009C5ADA" w:rsidRDefault="003C5475" w:rsidP="003C5475">
            <w:pPr>
              <w:jc w:val="center"/>
              <w:rPr>
                <w:sz w:val="22"/>
                <w:szCs w:val="22"/>
              </w:rPr>
            </w:pPr>
            <w:r w:rsidRPr="009C5ADA">
              <w:rPr>
                <w:sz w:val="22"/>
                <w:szCs w:val="22"/>
              </w:rPr>
              <w:t>Arc Build Boiler #1</w:t>
            </w:r>
          </w:p>
        </w:tc>
        <w:tc>
          <w:tcPr>
            <w:tcW w:w="1800" w:type="dxa"/>
            <w:shd w:val="clear" w:color="auto" w:fill="auto"/>
            <w:vAlign w:val="center"/>
          </w:tcPr>
          <w:p w:rsidR="003C5475" w:rsidRPr="009C5ADA" w:rsidRDefault="003C5475" w:rsidP="003C5475">
            <w:pPr>
              <w:jc w:val="center"/>
              <w:rPr>
                <w:sz w:val="22"/>
                <w:szCs w:val="22"/>
              </w:rPr>
            </w:pPr>
            <w:r w:rsidRPr="009C5ADA">
              <w:rPr>
                <w:sz w:val="22"/>
                <w:szCs w:val="22"/>
              </w:rPr>
              <w:t xml:space="preserve">6.3 </w:t>
            </w:r>
          </w:p>
        </w:tc>
        <w:tc>
          <w:tcPr>
            <w:tcW w:w="1980" w:type="dxa"/>
          </w:tcPr>
          <w:p w:rsidR="003C5475" w:rsidRPr="009C5ADA" w:rsidRDefault="003C5475" w:rsidP="003C5475">
            <w:pPr>
              <w:jc w:val="center"/>
              <w:rPr>
                <w:sz w:val="22"/>
                <w:szCs w:val="22"/>
              </w:rPr>
            </w:pPr>
            <w:r w:rsidRPr="009C5ADA">
              <w:rPr>
                <w:sz w:val="22"/>
                <w:szCs w:val="22"/>
              </w:rPr>
              <w:t xml:space="preserve">103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3C5475" w:rsidRPr="009C5ADA" w:rsidRDefault="003C5475" w:rsidP="003C5475">
            <w:pPr>
              <w:jc w:val="center"/>
              <w:rPr>
                <w:sz w:val="22"/>
                <w:szCs w:val="22"/>
                <w:vertAlign w:val="superscript"/>
              </w:rPr>
            </w:pPr>
            <w:r w:rsidRPr="009C5ADA">
              <w:rPr>
                <w:sz w:val="22"/>
                <w:szCs w:val="22"/>
              </w:rPr>
              <w:t xml:space="preserve"> AP-42</w:t>
            </w:r>
            <w:r w:rsidR="00186102" w:rsidRPr="009C5ADA">
              <w:rPr>
                <w:sz w:val="22"/>
                <w:szCs w:val="22"/>
                <w:vertAlign w:val="superscript"/>
              </w:rPr>
              <w:t>2</w:t>
            </w:r>
          </w:p>
        </w:tc>
        <w:tc>
          <w:tcPr>
            <w:tcW w:w="1646" w:type="dxa"/>
            <w:vAlign w:val="center"/>
          </w:tcPr>
          <w:p w:rsidR="003C5475" w:rsidRPr="009C5ADA" w:rsidRDefault="003C5475" w:rsidP="003C5475">
            <w:pPr>
              <w:jc w:val="center"/>
              <w:rPr>
                <w:sz w:val="22"/>
                <w:szCs w:val="22"/>
              </w:rPr>
            </w:pPr>
            <w:r w:rsidRPr="009C5ADA">
              <w:rPr>
                <w:sz w:val="22"/>
                <w:szCs w:val="22"/>
              </w:rPr>
              <w:t>2.7</w:t>
            </w:r>
          </w:p>
        </w:tc>
        <w:tc>
          <w:tcPr>
            <w:tcW w:w="1890" w:type="dxa"/>
            <w:shd w:val="clear" w:color="auto" w:fill="auto"/>
            <w:vAlign w:val="center"/>
          </w:tcPr>
          <w:p w:rsidR="003C5475" w:rsidRPr="009C5ADA" w:rsidRDefault="00186102" w:rsidP="003C5475">
            <w:pPr>
              <w:jc w:val="center"/>
              <w:rPr>
                <w:sz w:val="22"/>
                <w:szCs w:val="22"/>
                <w:vertAlign w:val="superscript"/>
              </w:rPr>
            </w:pPr>
            <w:r w:rsidRPr="009C5ADA">
              <w:rPr>
                <w:sz w:val="22"/>
                <w:szCs w:val="22"/>
              </w:rPr>
              <w:t xml:space="preserve"> </w:t>
            </w:r>
            <w:r w:rsidR="003C5475" w:rsidRPr="009C5ADA">
              <w:rPr>
                <w:sz w:val="22"/>
                <w:szCs w:val="22"/>
              </w:rPr>
              <w:t>129.97(c)(3)</w:t>
            </w:r>
            <w:r w:rsidRPr="009C5ADA">
              <w:rPr>
                <w:sz w:val="22"/>
                <w:szCs w:val="22"/>
                <w:vertAlign w:val="superscript"/>
              </w:rPr>
              <w:t>3</w:t>
            </w:r>
          </w:p>
        </w:tc>
      </w:tr>
      <w:bookmarkEnd w:id="16"/>
      <w:tr w:rsidR="00186102" w:rsidRPr="009C5ADA" w:rsidTr="004557A4">
        <w:tc>
          <w:tcPr>
            <w:tcW w:w="892" w:type="dxa"/>
            <w:shd w:val="clear" w:color="auto" w:fill="auto"/>
            <w:vAlign w:val="center"/>
          </w:tcPr>
          <w:p w:rsidR="00186102" w:rsidRPr="009C5ADA" w:rsidRDefault="00186102" w:rsidP="00186102">
            <w:pPr>
              <w:jc w:val="center"/>
              <w:rPr>
                <w:sz w:val="22"/>
                <w:szCs w:val="22"/>
              </w:rPr>
            </w:pPr>
            <w:r w:rsidRPr="009C5ADA">
              <w:rPr>
                <w:sz w:val="22"/>
                <w:szCs w:val="22"/>
              </w:rPr>
              <w:t>035</w:t>
            </w:r>
          </w:p>
        </w:tc>
        <w:tc>
          <w:tcPr>
            <w:tcW w:w="3428" w:type="dxa"/>
            <w:shd w:val="clear" w:color="auto" w:fill="auto"/>
            <w:vAlign w:val="center"/>
          </w:tcPr>
          <w:p w:rsidR="00186102" w:rsidRPr="009C5ADA" w:rsidRDefault="00186102" w:rsidP="00186102">
            <w:pPr>
              <w:jc w:val="center"/>
              <w:rPr>
                <w:sz w:val="22"/>
                <w:szCs w:val="22"/>
              </w:rPr>
            </w:pPr>
            <w:r w:rsidRPr="009C5ADA">
              <w:rPr>
                <w:sz w:val="22"/>
                <w:szCs w:val="22"/>
              </w:rPr>
              <w:t>Arc Build Boiler #2</w:t>
            </w:r>
          </w:p>
        </w:tc>
        <w:tc>
          <w:tcPr>
            <w:tcW w:w="1800" w:type="dxa"/>
            <w:shd w:val="clear" w:color="auto" w:fill="auto"/>
            <w:vAlign w:val="center"/>
          </w:tcPr>
          <w:p w:rsidR="00186102" w:rsidRPr="009C5ADA" w:rsidRDefault="00186102" w:rsidP="00186102">
            <w:pPr>
              <w:jc w:val="center"/>
              <w:rPr>
                <w:sz w:val="22"/>
                <w:szCs w:val="22"/>
              </w:rPr>
            </w:pPr>
            <w:r w:rsidRPr="009C5ADA">
              <w:rPr>
                <w:sz w:val="22"/>
                <w:szCs w:val="22"/>
              </w:rPr>
              <w:t xml:space="preserve">6.3 </w:t>
            </w:r>
          </w:p>
        </w:tc>
        <w:tc>
          <w:tcPr>
            <w:tcW w:w="1980" w:type="dxa"/>
          </w:tcPr>
          <w:p w:rsidR="00186102" w:rsidRPr="009C5ADA" w:rsidRDefault="00186102" w:rsidP="00186102">
            <w:pPr>
              <w:jc w:val="center"/>
              <w:rPr>
                <w:sz w:val="22"/>
                <w:szCs w:val="22"/>
              </w:rPr>
            </w:pPr>
            <w:r w:rsidRPr="009C5ADA">
              <w:rPr>
                <w:sz w:val="22"/>
                <w:szCs w:val="22"/>
              </w:rPr>
              <w:t xml:space="preserve">103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186102" w:rsidRPr="009C5ADA" w:rsidRDefault="00186102" w:rsidP="00186102">
            <w:pPr>
              <w:jc w:val="center"/>
              <w:rPr>
                <w:sz w:val="22"/>
                <w:szCs w:val="22"/>
                <w:vertAlign w:val="superscript"/>
              </w:rPr>
            </w:pPr>
            <w:r w:rsidRPr="009C5ADA">
              <w:rPr>
                <w:sz w:val="22"/>
                <w:szCs w:val="22"/>
              </w:rPr>
              <w:t xml:space="preserve"> AP-42</w:t>
            </w:r>
            <w:r w:rsidRPr="009C5ADA">
              <w:rPr>
                <w:sz w:val="22"/>
                <w:szCs w:val="22"/>
                <w:vertAlign w:val="superscript"/>
              </w:rPr>
              <w:t>2</w:t>
            </w:r>
          </w:p>
        </w:tc>
        <w:tc>
          <w:tcPr>
            <w:tcW w:w="1646" w:type="dxa"/>
            <w:vAlign w:val="center"/>
          </w:tcPr>
          <w:p w:rsidR="00186102" w:rsidRPr="009C5ADA" w:rsidRDefault="00186102" w:rsidP="00186102">
            <w:pPr>
              <w:jc w:val="center"/>
              <w:rPr>
                <w:sz w:val="22"/>
                <w:szCs w:val="22"/>
              </w:rPr>
            </w:pPr>
            <w:r w:rsidRPr="009C5ADA">
              <w:rPr>
                <w:sz w:val="22"/>
                <w:szCs w:val="22"/>
              </w:rPr>
              <w:t>2.7</w:t>
            </w:r>
          </w:p>
        </w:tc>
        <w:tc>
          <w:tcPr>
            <w:tcW w:w="1890" w:type="dxa"/>
            <w:shd w:val="clear" w:color="auto" w:fill="auto"/>
            <w:vAlign w:val="center"/>
          </w:tcPr>
          <w:p w:rsidR="00186102" w:rsidRPr="009C5ADA" w:rsidRDefault="00186102" w:rsidP="00186102">
            <w:pPr>
              <w:jc w:val="center"/>
              <w:rPr>
                <w:sz w:val="22"/>
                <w:szCs w:val="22"/>
              </w:rPr>
            </w:pPr>
            <w:r w:rsidRPr="009C5ADA">
              <w:rPr>
                <w:sz w:val="22"/>
                <w:szCs w:val="22"/>
              </w:rPr>
              <w:t>129.97(c)(3)</w:t>
            </w:r>
          </w:p>
        </w:tc>
      </w:tr>
      <w:tr w:rsidR="00CD7A2D" w:rsidRPr="009C5ADA" w:rsidTr="004557A4">
        <w:tc>
          <w:tcPr>
            <w:tcW w:w="892" w:type="dxa"/>
            <w:shd w:val="clear" w:color="auto" w:fill="auto"/>
            <w:vAlign w:val="center"/>
          </w:tcPr>
          <w:p w:rsidR="00CD7A2D" w:rsidRPr="009C5ADA" w:rsidRDefault="00CD7A2D" w:rsidP="00CD7A2D">
            <w:pPr>
              <w:jc w:val="center"/>
              <w:rPr>
                <w:sz w:val="22"/>
                <w:szCs w:val="22"/>
              </w:rPr>
            </w:pPr>
            <w:r w:rsidRPr="009C5ADA">
              <w:rPr>
                <w:sz w:val="22"/>
                <w:szCs w:val="22"/>
              </w:rPr>
              <w:t>183</w:t>
            </w:r>
          </w:p>
        </w:tc>
        <w:tc>
          <w:tcPr>
            <w:tcW w:w="3428" w:type="dxa"/>
            <w:shd w:val="clear" w:color="auto" w:fill="auto"/>
            <w:vAlign w:val="center"/>
          </w:tcPr>
          <w:p w:rsidR="00CD7A2D" w:rsidRPr="009C5ADA" w:rsidRDefault="00CD7A2D" w:rsidP="00CD7A2D">
            <w:pPr>
              <w:jc w:val="center"/>
              <w:rPr>
                <w:sz w:val="22"/>
                <w:szCs w:val="22"/>
              </w:rPr>
            </w:pPr>
            <w:proofErr w:type="spellStart"/>
            <w:r w:rsidRPr="009C5ADA">
              <w:rPr>
                <w:sz w:val="22"/>
                <w:szCs w:val="22"/>
              </w:rPr>
              <w:t>Misc</w:t>
            </w:r>
            <w:proofErr w:type="spellEnd"/>
            <w:r w:rsidRPr="009C5ADA">
              <w:rPr>
                <w:sz w:val="22"/>
                <w:szCs w:val="22"/>
              </w:rPr>
              <w:t xml:space="preserve"> - ICA Ladle Preheater (Lg)</w:t>
            </w:r>
          </w:p>
        </w:tc>
        <w:tc>
          <w:tcPr>
            <w:tcW w:w="1800" w:type="dxa"/>
            <w:shd w:val="clear" w:color="auto" w:fill="auto"/>
            <w:vAlign w:val="center"/>
          </w:tcPr>
          <w:p w:rsidR="00CD7A2D" w:rsidRPr="009C5ADA" w:rsidRDefault="00CD7A2D" w:rsidP="00CD7A2D">
            <w:pPr>
              <w:jc w:val="center"/>
              <w:rPr>
                <w:sz w:val="22"/>
                <w:szCs w:val="22"/>
              </w:rPr>
            </w:pPr>
            <w:r w:rsidRPr="009C5ADA">
              <w:rPr>
                <w:sz w:val="22"/>
                <w:szCs w:val="22"/>
              </w:rPr>
              <w:t>9.5</w:t>
            </w:r>
          </w:p>
        </w:tc>
        <w:tc>
          <w:tcPr>
            <w:tcW w:w="1980" w:type="dxa"/>
          </w:tcPr>
          <w:p w:rsidR="00CD7A2D" w:rsidRPr="009C5ADA" w:rsidRDefault="004557A4" w:rsidP="00CD7A2D">
            <w:pPr>
              <w:jc w:val="center"/>
              <w:rPr>
                <w:sz w:val="22"/>
                <w:szCs w:val="22"/>
              </w:rPr>
            </w:pPr>
            <w:r w:rsidRPr="009C5ADA">
              <w:rPr>
                <w:sz w:val="22"/>
                <w:szCs w:val="22"/>
              </w:rPr>
              <w:t xml:space="preserve">0.13 </w:t>
            </w:r>
            <w:proofErr w:type="spellStart"/>
            <w:r w:rsidRPr="009C5ADA">
              <w:rPr>
                <w:sz w:val="22"/>
                <w:szCs w:val="22"/>
              </w:rPr>
              <w:t>lb</w:t>
            </w:r>
            <w:proofErr w:type="spellEnd"/>
            <w:r w:rsidRPr="009C5ADA">
              <w:rPr>
                <w:sz w:val="22"/>
                <w:szCs w:val="22"/>
              </w:rPr>
              <w:t>/MMBtu</w:t>
            </w:r>
          </w:p>
        </w:tc>
        <w:tc>
          <w:tcPr>
            <w:tcW w:w="1607" w:type="dxa"/>
          </w:tcPr>
          <w:p w:rsidR="00CD7A2D" w:rsidRPr="009C5ADA" w:rsidRDefault="005E0087" w:rsidP="00CD7A2D">
            <w:pPr>
              <w:jc w:val="center"/>
              <w:rPr>
                <w:sz w:val="22"/>
                <w:szCs w:val="22"/>
                <w:vertAlign w:val="superscript"/>
              </w:rPr>
            </w:pPr>
            <w:r w:rsidRPr="009C5ADA">
              <w:rPr>
                <w:sz w:val="22"/>
                <w:szCs w:val="22"/>
              </w:rPr>
              <w:t>Manufacturer</w:t>
            </w:r>
          </w:p>
        </w:tc>
        <w:tc>
          <w:tcPr>
            <w:tcW w:w="1646" w:type="dxa"/>
            <w:vAlign w:val="center"/>
          </w:tcPr>
          <w:p w:rsidR="00CD7A2D" w:rsidRPr="009C5ADA" w:rsidRDefault="00CD7A2D" w:rsidP="00CD7A2D">
            <w:pPr>
              <w:jc w:val="center"/>
              <w:rPr>
                <w:sz w:val="22"/>
                <w:szCs w:val="22"/>
              </w:rPr>
            </w:pPr>
            <w:r w:rsidRPr="009C5ADA">
              <w:rPr>
                <w:sz w:val="22"/>
                <w:szCs w:val="22"/>
              </w:rPr>
              <w:t>5.41</w:t>
            </w:r>
          </w:p>
        </w:tc>
        <w:tc>
          <w:tcPr>
            <w:tcW w:w="1890" w:type="dxa"/>
            <w:shd w:val="clear" w:color="auto" w:fill="auto"/>
            <w:vAlign w:val="center"/>
          </w:tcPr>
          <w:p w:rsidR="00CD7A2D" w:rsidRPr="009C5ADA" w:rsidRDefault="00CD7A2D" w:rsidP="00CD7A2D">
            <w:pPr>
              <w:jc w:val="center"/>
              <w:rPr>
                <w:sz w:val="22"/>
                <w:szCs w:val="22"/>
              </w:rPr>
            </w:pPr>
            <w:r w:rsidRPr="009C5ADA">
              <w:rPr>
                <w:sz w:val="22"/>
                <w:szCs w:val="22"/>
              </w:rPr>
              <w:t>129.97(c)(3)</w:t>
            </w:r>
          </w:p>
        </w:tc>
      </w:tr>
      <w:tr w:rsidR="00CD7A2D" w:rsidRPr="009C5ADA" w:rsidTr="004557A4">
        <w:tc>
          <w:tcPr>
            <w:tcW w:w="892" w:type="dxa"/>
            <w:shd w:val="clear" w:color="auto" w:fill="auto"/>
            <w:vAlign w:val="center"/>
          </w:tcPr>
          <w:p w:rsidR="00CD7A2D" w:rsidRPr="009C5ADA" w:rsidRDefault="00CD7A2D" w:rsidP="00CD7A2D">
            <w:pPr>
              <w:jc w:val="center"/>
              <w:rPr>
                <w:sz w:val="22"/>
                <w:szCs w:val="22"/>
              </w:rPr>
            </w:pPr>
            <w:r w:rsidRPr="009C5ADA">
              <w:rPr>
                <w:sz w:val="22"/>
                <w:szCs w:val="22"/>
              </w:rPr>
              <w:t>183</w:t>
            </w:r>
          </w:p>
        </w:tc>
        <w:tc>
          <w:tcPr>
            <w:tcW w:w="3428" w:type="dxa"/>
            <w:shd w:val="clear" w:color="auto" w:fill="auto"/>
            <w:vAlign w:val="center"/>
          </w:tcPr>
          <w:p w:rsidR="00CD7A2D" w:rsidRPr="009C5ADA" w:rsidRDefault="00CD7A2D" w:rsidP="00CD7A2D">
            <w:pPr>
              <w:jc w:val="center"/>
              <w:rPr>
                <w:sz w:val="22"/>
                <w:szCs w:val="22"/>
              </w:rPr>
            </w:pPr>
            <w:proofErr w:type="spellStart"/>
            <w:r w:rsidRPr="009C5ADA">
              <w:rPr>
                <w:sz w:val="22"/>
                <w:szCs w:val="22"/>
              </w:rPr>
              <w:t>Misc</w:t>
            </w:r>
            <w:proofErr w:type="spellEnd"/>
            <w:r w:rsidRPr="009C5ADA">
              <w:rPr>
                <w:sz w:val="22"/>
                <w:szCs w:val="22"/>
              </w:rPr>
              <w:t xml:space="preserve"> - ICA Ladle Preheater (</w:t>
            </w:r>
            <w:proofErr w:type="spellStart"/>
            <w:r w:rsidRPr="009C5ADA">
              <w:rPr>
                <w:sz w:val="22"/>
                <w:szCs w:val="22"/>
              </w:rPr>
              <w:t>Sm</w:t>
            </w:r>
            <w:proofErr w:type="spellEnd"/>
            <w:r w:rsidRPr="009C5ADA">
              <w:rPr>
                <w:sz w:val="22"/>
                <w:szCs w:val="22"/>
              </w:rPr>
              <w:t>)</w:t>
            </w:r>
          </w:p>
        </w:tc>
        <w:tc>
          <w:tcPr>
            <w:tcW w:w="1800" w:type="dxa"/>
            <w:shd w:val="clear" w:color="auto" w:fill="auto"/>
            <w:vAlign w:val="center"/>
          </w:tcPr>
          <w:p w:rsidR="00CD7A2D" w:rsidRPr="009C5ADA" w:rsidRDefault="00CD7A2D" w:rsidP="00CD7A2D">
            <w:pPr>
              <w:jc w:val="center"/>
              <w:rPr>
                <w:sz w:val="22"/>
                <w:szCs w:val="22"/>
              </w:rPr>
            </w:pPr>
            <w:r w:rsidRPr="009C5ADA">
              <w:rPr>
                <w:sz w:val="22"/>
                <w:szCs w:val="22"/>
              </w:rPr>
              <w:t>3.8</w:t>
            </w:r>
          </w:p>
        </w:tc>
        <w:tc>
          <w:tcPr>
            <w:tcW w:w="1980" w:type="dxa"/>
          </w:tcPr>
          <w:p w:rsidR="00CD7A2D" w:rsidRPr="001C42F1" w:rsidRDefault="004557A4" w:rsidP="00CD7A2D">
            <w:pPr>
              <w:jc w:val="center"/>
              <w:rPr>
                <w:sz w:val="22"/>
                <w:szCs w:val="22"/>
              </w:rPr>
            </w:pPr>
            <w:r w:rsidRPr="001C42F1">
              <w:rPr>
                <w:sz w:val="22"/>
                <w:szCs w:val="22"/>
              </w:rPr>
              <w:t xml:space="preserve">0.13 </w:t>
            </w:r>
            <w:proofErr w:type="spellStart"/>
            <w:r w:rsidRPr="001C42F1">
              <w:rPr>
                <w:sz w:val="22"/>
                <w:szCs w:val="22"/>
              </w:rPr>
              <w:t>lb</w:t>
            </w:r>
            <w:proofErr w:type="spellEnd"/>
            <w:r w:rsidRPr="001C42F1">
              <w:rPr>
                <w:sz w:val="22"/>
                <w:szCs w:val="22"/>
              </w:rPr>
              <w:t>/MMBtu</w:t>
            </w:r>
          </w:p>
        </w:tc>
        <w:tc>
          <w:tcPr>
            <w:tcW w:w="1607" w:type="dxa"/>
          </w:tcPr>
          <w:p w:rsidR="00CD7A2D" w:rsidRPr="001C42F1" w:rsidRDefault="00CD7A2D" w:rsidP="00CD7A2D">
            <w:pPr>
              <w:jc w:val="center"/>
              <w:rPr>
                <w:sz w:val="22"/>
                <w:szCs w:val="22"/>
                <w:vertAlign w:val="superscript"/>
              </w:rPr>
            </w:pPr>
            <w:r w:rsidRPr="001C42F1">
              <w:rPr>
                <w:sz w:val="22"/>
                <w:szCs w:val="22"/>
              </w:rPr>
              <w:t xml:space="preserve"> </w:t>
            </w:r>
            <w:r w:rsidR="005E0087" w:rsidRPr="001C42F1">
              <w:rPr>
                <w:sz w:val="22"/>
                <w:szCs w:val="22"/>
              </w:rPr>
              <w:t>Manufacturer</w:t>
            </w:r>
          </w:p>
        </w:tc>
        <w:tc>
          <w:tcPr>
            <w:tcW w:w="1646" w:type="dxa"/>
            <w:vAlign w:val="center"/>
          </w:tcPr>
          <w:p w:rsidR="00CD7A2D" w:rsidRPr="009C5ADA" w:rsidRDefault="00CD7A2D" w:rsidP="00CD7A2D">
            <w:pPr>
              <w:jc w:val="center"/>
              <w:rPr>
                <w:sz w:val="22"/>
                <w:szCs w:val="22"/>
              </w:rPr>
            </w:pPr>
            <w:r w:rsidRPr="009C5ADA">
              <w:rPr>
                <w:sz w:val="22"/>
                <w:szCs w:val="22"/>
              </w:rPr>
              <w:t>2.16</w:t>
            </w:r>
          </w:p>
        </w:tc>
        <w:tc>
          <w:tcPr>
            <w:tcW w:w="1890" w:type="dxa"/>
            <w:shd w:val="clear" w:color="auto" w:fill="auto"/>
            <w:vAlign w:val="center"/>
          </w:tcPr>
          <w:p w:rsidR="00CD7A2D" w:rsidRPr="009C5ADA" w:rsidRDefault="00CD7A2D" w:rsidP="00CD7A2D">
            <w:pPr>
              <w:jc w:val="center"/>
              <w:rPr>
                <w:sz w:val="22"/>
                <w:szCs w:val="22"/>
              </w:rPr>
            </w:pPr>
            <w:r w:rsidRPr="009C5ADA">
              <w:rPr>
                <w:sz w:val="22"/>
                <w:szCs w:val="22"/>
              </w:rPr>
              <w:t>129.97(c)(3)</w:t>
            </w:r>
          </w:p>
        </w:tc>
      </w:tr>
      <w:tr w:rsidR="00CD7A2D" w:rsidRPr="009C5ADA" w:rsidTr="004557A4">
        <w:tc>
          <w:tcPr>
            <w:tcW w:w="892" w:type="dxa"/>
            <w:shd w:val="clear" w:color="auto" w:fill="auto"/>
            <w:vAlign w:val="center"/>
          </w:tcPr>
          <w:p w:rsidR="00CD7A2D" w:rsidRPr="009C5ADA" w:rsidRDefault="00CD7A2D" w:rsidP="00CD7A2D">
            <w:pPr>
              <w:jc w:val="center"/>
              <w:rPr>
                <w:sz w:val="22"/>
                <w:szCs w:val="22"/>
              </w:rPr>
            </w:pPr>
            <w:r w:rsidRPr="009C5ADA">
              <w:rPr>
                <w:sz w:val="22"/>
                <w:szCs w:val="22"/>
              </w:rPr>
              <w:t>190</w:t>
            </w:r>
          </w:p>
        </w:tc>
        <w:tc>
          <w:tcPr>
            <w:tcW w:w="3428" w:type="dxa"/>
            <w:shd w:val="clear" w:color="auto" w:fill="auto"/>
            <w:vAlign w:val="center"/>
          </w:tcPr>
          <w:p w:rsidR="00CD7A2D" w:rsidRPr="009C5ADA" w:rsidRDefault="00CD7A2D" w:rsidP="00CD7A2D">
            <w:pPr>
              <w:jc w:val="center"/>
              <w:rPr>
                <w:sz w:val="22"/>
                <w:szCs w:val="22"/>
              </w:rPr>
            </w:pPr>
            <w:r w:rsidRPr="009C5ADA">
              <w:rPr>
                <w:sz w:val="22"/>
                <w:szCs w:val="22"/>
              </w:rPr>
              <w:t>Bickley Furnace</w:t>
            </w:r>
          </w:p>
        </w:tc>
        <w:tc>
          <w:tcPr>
            <w:tcW w:w="1800" w:type="dxa"/>
            <w:shd w:val="clear" w:color="auto" w:fill="auto"/>
            <w:vAlign w:val="center"/>
          </w:tcPr>
          <w:p w:rsidR="00CD7A2D" w:rsidRPr="009C5ADA" w:rsidRDefault="00CD7A2D" w:rsidP="00CD7A2D">
            <w:pPr>
              <w:jc w:val="center"/>
              <w:rPr>
                <w:sz w:val="22"/>
                <w:szCs w:val="22"/>
              </w:rPr>
            </w:pPr>
            <w:r w:rsidRPr="009C5ADA">
              <w:rPr>
                <w:sz w:val="22"/>
                <w:szCs w:val="22"/>
              </w:rPr>
              <w:t xml:space="preserve">6.2 </w:t>
            </w:r>
          </w:p>
        </w:tc>
        <w:tc>
          <w:tcPr>
            <w:tcW w:w="1980" w:type="dxa"/>
          </w:tcPr>
          <w:p w:rsidR="00CD7A2D" w:rsidRPr="001C42F1" w:rsidRDefault="00CD7A2D" w:rsidP="00CD7A2D">
            <w:pPr>
              <w:jc w:val="center"/>
              <w:rPr>
                <w:sz w:val="22"/>
                <w:szCs w:val="22"/>
              </w:rPr>
            </w:pPr>
            <w:r w:rsidRPr="001C42F1">
              <w:rPr>
                <w:sz w:val="22"/>
                <w:szCs w:val="22"/>
              </w:rPr>
              <w:t xml:space="preserve">103 </w:t>
            </w:r>
            <w:proofErr w:type="spellStart"/>
            <w:r w:rsidRPr="001C42F1">
              <w:rPr>
                <w:sz w:val="22"/>
                <w:szCs w:val="22"/>
              </w:rPr>
              <w:t>lb</w:t>
            </w:r>
            <w:proofErr w:type="spellEnd"/>
            <w:r w:rsidRPr="001C42F1">
              <w:rPr>
                <w:sz w:val="22"/>
                <w:szCs w:val="22"/>
              </w:rPr>
              <w:t>/</w:t>
            </w:r>
            <w:proofErr w:type="spellStart"/>
            <w:r w:rsidRPr="001C42F1">
              <w:rPr>
                <w:sz w:val="22"/>
                <w:szCs w:val="22"/>
              </w:rPr>
              <w:t>MMcf</w:t>
            </w:r>
            <w:proofErr w:type="spellEnd"/>
          </w:p>
        </w:tc>
        <w:tc>
          <w:tcPr>
            <w:tcW w:w="1607" w:type="dxa"/>
          </w:tcPr>
          <w:p w:rsidR="00CD7A2D" w:rsidRPr="001C42F1" w:rsidRDefault="00CD7A2D" w:rsidP="00CD7A2D">
            <w:pPr>
              <w:jc w:val="center"/>
              <w:rPr>
                <w:sz w:val="22"/>
                <w:szCs w:val="22"/>
                <w:vertAlign w:val="superscript"/>
              </w:rPr>
            </w:pPr>
            <w:r w:rsidRPr="001C42F1">
              <w:rPr>
                <w:sz w:val="22"/>
                <w:szCs w:val="22"/>
              </w:rPr>
              <w:t xml:space="preserve"> AP-42</w:t>
            </w:r>
            <w:r w:rsidRPr="001C42F1">
              <w:rPr>
                <w:sz w:val="22"/>
                <w:szCs w:val="22"/>
                <w:vertAlign w:val="superscript"/>
              </w:rPr>
              <w:t>2</w:t>
            </w:r>
          </w:p>
        </w:tc>
        <w:tc>
          <w:tcPr>
            <w:tcW w:w="1646" w:type="dxa"/>
            <w:vAlign w:val="center"/>
          </w:tcPr>
          <w:p w:rsidR="00CD7A2D" w:rsidRPr="009C5ADA" w:rsidRDefault="00CD7A2D" w:rsidP="00CD7A2D">
            <w:pPr>
              <w:jc w:val="center"/>
              <w:rPr>
                <w:sz w:val="22"/>
                <w:szCs w:val="22"/>
              </w:rPr>
            </w:pPr>
            <w:r w:rsidRPr="009C5ADA">
              <w:rPr>
                <w:sz w:val="22"/>
                <w:szCs w:val="22"/>
              </w:rPr>
              <w:t>2.6</w:t>
            </w:r>
          </w:p>
        </w:tc>
        <w:tc>
          <w:tcPr>
            <w:tcW w:w="1890" w:type="dxa"/>
            <w:shd w:val="clear" w:color="auto" w:fill="auto"/>
            <w:vAlign w:val="center"/>
          </w:tcPr>
          <w:p w:rsidR="00CD7A2D" w:rsidRPr="009C5ADA" w:rsidRDefault="00CD7A2D" w:rsidP="00CD7A2D">
            <w:pPr>
              <w:jc w:val="center"/>
              <w:rPr>
                <w:sz w:val="22"/>
                <w:szCs w:val="22"/>
              </w:rPr>
            </w:pPr>
            <w:r w:rsidRPr="009C5ADA">
              <w:rPr>
                <w:sz w:val="22"/>
                <w:szCs w:val="22"/>
              </w:rPr>
              <w:t>129.97(c)(3)</w:t>
            </w:r>
          </w:p>
        </w:tc>
      </w:tr>
      <w:tr w:rsidR="00CD7A2D" w:rsidRPr="009C5ADA" w:rsidTr="004557A4">
        <w:tc>
          <w:tcPr>
            <w:tcW w:w="892" w:type="dxa"/>
            <w:shd w:val="clear" w:color="auto" w:fill="auto"/>
            <w:vAlign w:val="center"/>
          </w:tcPr>
          <w:p w:rsidR="00CD7A2D" w:rsidRPr="009C5ADA" w:rsidRDefault="00CD7A2D" w:rsidP="00CD7A2D">
            <w:pPr>
              <w:jc w:val="center"/>
              <w:rPr>
                <w:sz w:val="22"/>
                <w:szCs w:val="22"/>
              </w:rPr>
            </w:pPr>
            <w:r w:rsidRPr="009C5ADA">
              <w:rPr>
                <w:sz w:val="22"/>
                <w:szCs w:val="22"/>
              </w:rPr>
              <w:t>192</w:t>
            </w:r>
          </w:p>
        </w:tc>
        <w:tc>
          <w:tcPr>
            <w:tcW w:w="3428" w:type="dxa"/>
            <w:shd w:val="clear" w:color="auto" w:fill="auto"/>
            <w:vAlign w:val="center"/>
          </w:tcPr>
          <w:p w:rsidR="00CD7A2D" w:rsidRPr="009C5ADA" w:rsidRDefault="00CD7A2D" w:rsidP="00CD7A2D">
            <w:pPr>
              <w:jc w:val="center"/>
              <w:rPr>
                <w:sz w:val="22"/>
                <w:szCs w:val="22"/>
              </w:rPr>
            </w:pPr>
            <w:r w:rsidRPr="009C5ADA">
              <w:rPr>
                <w:sz w:val="22"/>
                <w:szCs w:val="22"/>
              </w:rPr>
              <w:t>140M Sauder Furnace</w:t>
            </w:r>
          </w:p>
        </w:tc>
        <w:tc>
          <w:tcPr>
            <w:tcW w:w="1800" w:type="dxa"/>
            <w:shd w:val="clear" w:color="auto" w:fill="auto"/>
            <w:vAlign w:val="center"/>
          </w:tcPr>
          <w:p w:rsidR="00CD7A2D" w:rsidRPr="009C5ADA" w:rsidRDefault="00CD7A2D" w:rsidP="00CD7A2D">
            <w:pPr>
              <w:jc w:val="center"/>
              <w:rPr>
                <w:sz w:val="22"/>
                <w:szCs w:val="22"/>
              </w:rPr>
            </w:pPr>
            <w:r w:rsidRPr="009C5ADA">
              <w:rPr>
                <w:sz w:val="22"/>
                <w:szCs w:val="22"/>
              </w:rPr>
              <w:t xml:space="preserve">8.2 </w:t>
            </w:r>
          </w:p>
        </w:tc>
        <w:tc>
          <w:tcPr>
            <w:tcW w:w="1980" w:type="dxa"/>
          </w:tcPr>
          <w:p w:rsidR="00CD7A2D" w:rsidRPr="009C5ADA" w:rsidRDefault="00CD7A2D" w:rsidP="00CD7A2D">
            <w:pPr>
              <w:jc w:val="center"/>
              <w:rPr>
                <w:sz w:val="22"/>
                <w:szCs w:val="22"/>
              </w:rPr>
            </w:pPr>
            <w:r w:rsidRPr="009C5ADA">
              <w:rPr>
                <w:sz w:val="22"/>
                <w:szCs w:val="22"/>
              </w:rPr>
              <w:t xml:space="preserve">103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CD7A2D" w:rsidRPr="009C5ADA" w:rsidRDefault="00CD7A2D" w:rsidP="00CD7A2D">
            <w:pPr>
              <w:jc w:val="center"/>
              <w:rPr>
                <w:sz w:val="22"/>
                <w:szCs w:val="22"/>
                <w:vertAlign w:val="superscript"/>
              </w:rPr>
            </w:pPr>
            <w:r w:rsidRPr="009C5ADA">
              <w:rPr>
                <w:sz w:val="22"/>
                <w:szCs w:val="22"/>
              </w:rPr>
              <w:t xml:space="preserve"> AP-42</w:t>
            </w:r>
            <w:r w:rsidRPr="009C5ADA">
              <w:rPr>
                <w:sz w:val="22"/>
                <w:szCs w:val="22"/>
                <w:vertAlign w:val="superscript"/>
              </w:rPr>
              <w:t>2</w:t>
            </w:r>
          </w:p>
        </w:tc>
        <w:tc>
          <w:tcPr>
            <w:tcW w:w="1646" w:type="dxa"/>
            <w:vAlign w:val="center"/>
          </w:tcPr>
          <w:p w:rsidR="00CD7A2D" w:rsidRPr="009C5ADA" w:rsidRDefault="00CD7A2D" w:rsidP="00CD7A2D">
            <w:pPr>
              <w:jc w:val="center"/>
              <w:rPr>
                <w:sz w:val="22"/>
                <w:szCs w:val="22"/>
              </w:rPr>
            </w:pPr>
            <w:r w:rsidRPr="009C5ADA">
              <w:rPr>
                <w:sz w:val="22"/>
                <w:szCs w:val="22"/>
              </w:rPr>
              <w:t>3.5</w:t>
            </w:r>
          </w:p>
        </w:tc>
        <w:tc>
          <w:tcPr>
            <w:tcW w:w="1890" w:type="dxa"/>
            <w:shd w:val="clear" w:color="auto" w:fill="auto"/>
            <w:vAlign w:val="center"/>
          </w:tcPr>
          <w:p w:rsidR="00CD7A2D" w:rsidRPr="009C5ADA" w:rsidRDefault="00CD7A2D" w:rsidP="00CD7A2D">
            <w:pPr>
              <w:jc w:val="center"/>
              <w:rPr>
                <w:sz w:val="22"/>
                <w:szCs w:val="22"/>
              </w:rPr>
            </w:pPr>
            <w:r w:rsidRPr="009C5ADA">
              <w:rPr>
                <w:sz w:val="22"/>
                <w:szCs w:val="22"/>
              </w:rPr>
              <w:t>129.97(c)(3)</w:t>
            </w:r>
          </w:p>
        </w:tc>
      </w:tr>
      <w:tr w:rsidR="00FA1CAD" w:rsidRPr="009C5ADA" w:rsidTr="004557A4">
        <w:tc>
          <w:tcPr>
            <w:tcW w:w="892" w:type="dxa"/>
            <w:shd w:val="clear" w:color="auto" w:fill="auto"/>
            <w:vAlign w:val="center"/>
          </w:tcPr>
          <w:p w:rsidR="00FA1CAD" w:rsidRPr="009C5ADA" w:rsidRDefault="00FA1CAD" w:rsidP="00FA1CAD">
            <w:pPr>
              <w:jc w:val="center"/>
              <w:rPr>
                <w:sz w:val="22"/>
                <w:szCs w:val="22"/>
              </w:rPr>
            </w:pPr>
            <w:r w:rsidRPr="009C5ADA">
              <w:rPr>
                <w:sz w:val="22"/>
                <w:szCs w:val="22"/>
              </w:rPr>
              <w:t>229</w:t>
            </w:r>
          </w:p>
        </w:tc>
        <w:tc>
          <w:tcPr>
            <w:tcW w:w="3428" w:type="dxa"/>
            <w:shd w:val="clear" w:color="auto" w:fill="auto"/>
            <w:vAlign w:val="center"/>
          </w:tcPr>
          <w:p w:rsidR="00FA1CAD" w:rsidRPr="009C5ADA" w:rsidRDefault="00FA1CAD" w:rsidP="00FA1CAD">
            <w:pPr>
              <w:jc w:val="center"/>
              <w:rPr>
                <w:sz w:val="22"/>
                <w:szCs w:val="22"/>
              </w:rPr>
            </w:pPr>
            <w:r w:rsidRPr="009C5ADA">
              <w:rPr>
                <w:sz w:val="22"/>
                <w:szCs w:val="22"/>
              </w:rPr>
              <w:t>Ladle Pre-heater #1</w:t>
            </w:r>
          </w:p>
        </w:tc>
        <w:tc>
          <w:tcPr>
            <w:tcW w:w="1800" w:type="dxa"/>
            <w:shd w:val="clear" w:color="auto" w:fill="auto"/>
            <w:vAlign w:val="center"/>
          </w:tcPr>
          <w:p w:rsidR="00FA1CAD" w:rsidRPr="009C5ADA" w:rsidRDefault="00FA1CAD" w:rsidP="00FA1CAD">
            <w:pPr>
              <w:jc w:val="center"/>
              <w:rPr>
                <w:sz w:val="22"/>
                <w:szCs w:val="22"/>
              </w:rPr>
            </w:pPr>
            <w:r w:rsidRPr="009C5ADA">
              <w:rPr>
                <w:sz w:val="22"/>
                <w:szCs w:val="22"/>
              </w:rPr>
              <w:t>10.0</w:t>
            </w:r>
          </w:p>
        </w:tc>
        <w:tc>
          <w:tcPr>
            <w:tcW w:w="1980" w:type="dxa"/>
          </w:tcPr>
          <w:p w:rsidR="00FA1CAD" w:rsidRPr="009C5ADA" w:rsidRDefault="00FA1CAD" w:rsidP="00FA1CAD">
            <w:pPr>
              <w:jc w:val="center"/>
              <w:rPr>
                <w:sz w:val="22"/>
                <w:szCs w:val="22"/>
              </w:rPr>
            </w:pPr>
            <w:r w:rsidRPr="009C5ADA">
              <w:rPr>
                <w:sz w:val="22"/>
                <w:szCs w:val="22"/>
              </w:rPr>
              <w:t xml:space="preserve">103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FA1CAD" w:rsidRPr="009C5ADA" w:rsidRDefault="00FA1CAD" w:rsidP="00FA1CAD">
            <w:pPr>
              <w:jc w:val="center"/>
              <w:rPr>
                <w:sz w:val="22"/>
                <w:szCs w:val="22"/>
                <w:vertAlign w:val="superscript"/>
              </w:rPr>
            </w:pPr>
            <w:r w:rsidRPr="009C5ADA">
              <w:rPr>
                <w:sz w:val="22"/>
                <w:szCs w:val="22"/>
              </w:rPr>
              <w:t xml:space="preserve"> AP-42</w:t>
            </w:r>
            <w:r w:rsidRPr="009C5ADA">
              <w:rPr>
                <w:sz w:val="22"/>
                <w:szCs w:val="22"/>
                <w:vertAlign w:val="superscript"/>
              </w:rPr>
              <w:t>2</w:t>
            </w:r>
          </w:p>
        </w:tc>
        <w:tc>
          <w:tcPr>
            <w:tcW w:w="1646" w:type="dxa"/>
            <w:vAlign w:val="center"/>
          </w:tcPr>
          <w:p w:rsidR="00FA1CAD" w:rsidRPr="009C5ADA" w:rsidRDefault="00FA1CAD" w:rsidP="00FA1CAD">
            <w:pPr>
              <w:jc w:val="center"/>
              <w:rPr>
                <w:sz w:val="22"/>
                <w:szCs w:val="22"/>
              </w:rPr>
            </w:pPr>
            <w:r w:rsidRPr="009C5ADA">
              <w:rPr>
                <w:sz w:val="22"/>
                <w:szCs w:val="22"/>
              </w:rPr>
              <w:t>4.</w:t>
            </w:r>
            <w:r w:rsidR="0077732B" w:rsidRPr="009C5ADA">
              <w:rPr>
                <w:sz w:val="22"/>
                <w:szCs w:val="22"/>
              </w:rPr>
              <w:t>5</w:t>
            </w:r>
          </w:p>
        </w:tc>
        <w:tc>
          <w:tcPr>
            <w:tcW w:w="1890" w:type="dxa"/>
            <w:shd w:val="clear" w:color="auto" w:fill="auto"/>
            <w:vAlign w:val="center"/>
          </w:tcPr>
          <w:p w:rsidR="00FA1CAD" w:rsidRPr="009C5ADA" w:rsidRDefault="00FA1CAD" w:rsidP="00FA1CAD">
            <w:pPr>
              <w:jc w:val="center"/>
              <w:rPr>
                <w:sz w:val="22"/>
                <w:szCs w:val="22"/>
              </w:rPr>
            </w:pPr>
            <w:r w:rsidRPr="009C5ADA">
              <w:rPr>
                <w:sz w:val="22"/>
                <w:szCs w:val="22"/>
              </w:rPr>
              <w:t>129.97(c)(3)</w:t>
            </w:r>
          </w:p>
        </w:tc>
      </w:tr>
      <w:tr w:rsidR="00253873" w:rsidRPr="009C5ADA" w:rsidTr="004557A4">
        <w:tc>
          <w:tcPr>
            <w:tcW w:w="892" w:type="dxa"/>
            <w:shd w:val="clear" w:color="auto" w:fill="auto"/>
            <w:vAlign w:val="center"/>
          </w:tcPr>
          <w:p w:rsidR="00253873" w:rsidRPr="009C5ADA" w:rsidRDefault="00253873" w:rsidP="003A0621">
            <w:pPr>
              <w:jc w:val="center"/>
              <w:rPr>
                <w:sz w:val="22"/>
                <w:szCs w:val="22"/>
              </w:rPr>
            </w:pPr>
            <w:r w:rsidRPr="009C5ADA">
              <w:rPr>
                <w:sz w:val="22"/>
                <w:szCs w:val="22"/>
              </w:rPr>
              <w:t>229A</w:t>
            </w:r>
          </w:p>
        </w:tc>
        <w:tc>
          <w:tcPr>
            <w:tcW w:w="3428" w:type="dxa"/>
            <w:shd w:val="clear" w:color="auto" w:fill="auto"/>
            <w:vAlign w:val="center"/>
          </w:tcPr>
          <w:p w:rsidR="00253873" w:rsidRPr="009C5ADA" w:rsidRDefault="00253873" w:rsidP="001778F1">
            <w:pPr>
              <w:jc w:val="center"/>
              <w:rPr>
                <w:sz w:val="22"/>
                <w:szCs w:val="22"/>
              </w:rPr>
            </w:pPr>
            <w:r w:rsidRPr="009C5ADA">
              <w:rPr>
                <w:sz w:val="22"/>
                <w:szCs w:val="22"/>
              </w:rPr>
              <w:t>Ladle Pre-heater #4</w:t>
            </w:r>
          </w:p>
        </w:tc>
        <w:tc>
          <w:tcPr>
            <w:tcW w:w="1800" w:type="dxa"/>
            <w:shd w:val="clear" w:color="auto" w:fill="auto"/>
            <w:vAlign w:val="center"/>
          </w:tcPr>
          <w:p w:rsidR="00253873" w:rsidRPr="009C5ADA" w:rsidRDefault="00253873" w:rsidP="003A0621">
            <w:pPr>
              <w:jc w:val="center"/>
              <w:rPr>
                <w:sz w:val="22"/>
                <w:szCs w:val="22"/>
              </w:rPr>
            </w:pPr>
            <w:r w:rsidRPr="009C5ADA">
              <w:rPr>
                <w:sz w:val="22"/>
                <w:szCs w:val="22"/>
              </w:rPr>
              <w:t>12.0</w:t>
            </w:r>
          </w:p>
        </w:tc>
        <w:tc>
          <w:tcPr>
            <w:tcW w:w="1980" w:type="dxa"/>
          </w:tcPr>
          <w:p w:rsidR="00253873" w:rsidRPr="009C5ADA" w:rsidRDefault="006A0144" w:rsidP="003A0621">
            <w:pPr>
              <w:jc w:val="center"/>
              <w:rPr>
                <w:sz w:val="22"/>
                <w:szCs w:val="22"/>
              </w:rPr>
            </w:pPr>
            <w:r w:rsidRPr="009C5ADA">
              <w:rPr>
                <w:sz w:val="22"/>
                <w:szCs w:val="22"/>
              </w:rPr>
              <w:t xml:space="preserve">113.3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253873" w:rsidRPr="009C5ADA" w:rsidRDefault="00CD7A2D" w:rsidP="003A0621">
            <w:pPr>
              <w:jc w:val="center"/>
              <w:rPr>
                <w:sz w:val="22"/>
                <w:szCs w:val="22"/>
              </w:rPr>
            </w:pPr>
            <w:r w:rsidRPr="009C5ADA">
              <w:rPr>
                <w:sz w:val="22"/>
                <w:szCs w:val="22"/>
              </w:rPr>
              <w:t>Manufacturer</w:t>
            </w:r>
          </w:p>
        </w:tc>
        <w:tc>
          <w:tcPr>
            <w:tcW w:w="1646" w:type="dxa"/>
            <w:vAlign w:val="center"/>
          </w:tcPr>
          <w:p w:rsidR="00253873" w:rsidRPr="009C5ADA" w:rsidRDefault="00253873" w:rsidP="003A0621">
            <w:pPr>
              <w:jc w:val="center"/>
              <w:rPr>
                <w:sz w:val="22"/>
                <w:szCs w:val="22"/>
              </w:rPr>
            </w:pPr>
            <w:r w:rsidRPr="009C5ADA">
              <w:rPr>
                <w:sz w:val="22"/>
                <w:szCs w:val="22"/>
              </w:rPr>
              <w:t>5.</w:t>
            </w:r>
            <w:r w:rsidR="006009A8">
              <w:rPr>
                <w:sz w:val="22"/>
                <w:szCs w:val="22"/>
              </w:rPr>
              <w:t>78</w:t>
            </w:r>
          </w:p>
        </w:tc>
        <w:tc>
          <w:tcPr>
            <w:tcW w:w="1890" w:type="dxa"/>
            <w:shd w:val="clear" w:color="auto" w:fill="auto"/>
            <w:vAlign w:val="center"/>
          </w:tcPr>
          <w:p w:rsidR="00253873" w:rsidRPr="009C5ADA" w:rsidRDefault="00253873" w:rsidP="003A0621">
            <w:pPr>
              <w:jc w:val="center"/>
              <w:rPr>
                <w:sz w:val="22"/>
                <w:szCs w:val="22"/>
              </w:rPr>
            </w:pPr>
            <w:r w:rsidRPr="009C5ADA">
              <w:rPr>
                <w:sz w:val="22"/>
                <w:szCs w:val="22"/>
              </w:rPr>
              <w:t>129.97(c)(3)</w:t>
            </w:r>
          </w:p>
        </w:tc>
      </w:tr>
      <w:tr w:rsidR="0073023E" w:rsidRPr="009C5ADA" w:rsidTr="004557A4">
        <w:tc>
          <w:tcPr>
            <w:tcW w:w="892" w:type="dxa"/>
            <w:shd w:val="clear" w:color="auto" w:fill="auto"/>
            <w:vAlign w:val="center"/>
          </w:tcPr>
          <w:p w:rsidR="0073023E" w:rsidRPr="009C5ADA" w:rsidRDefault="000969F4" w:rsidP="003A0621">
            <w:pPr>
              <w:jc w:val="center"/>
              <w:rPr>
                <w:sz w:val="22"/>
                <w:szCs w:val="22"/>
              </w:rPr>
            </w:pPr>
            <w:r>
              <w:rPr>
                <w:sz w:val="22"/>
                <w:szCs w:val="22"/>
              </w:rPr>
              <w:t>229B</w:t>
            </w:r>
          </w:p>
        </w:tc>
        <w:tc>
          <w:tcPr>
            <w:tcW w:w="3428" w:type="dxa"/>
            <w:shd w:val="clear" w:color="auto" w:fill="auto"/>
            <w:vAlign w:val="center"/>
          </w:tcPr>
          <w:p w:rsidR="0073023E" w:rsidRPr="009C5ADA" w:rsidRDefault="000969F4" w:rsidP="001778F1">
            <w:pPr>
              <w:jc w:val="center"/>
              <w:rPr>
                <w:sz w:val="22"/>
                <w:szCs w:val="22"/>
              </w:rPr>
            </w:pPr>
            <w:r>
              <w:rPr>
                <w:sz w:val="22"/>
                <w:szCs w:val="22"/>
              </w:rPr>
              <w:t>Ladle Pre-heater #2</w:t>
            </w:r>
          </w:p>
        </w:tc>
        <w:tc>
          <w:tcPr>
            <w:tcW w:w="1800" w:type="dxa"/>
            <w:shd w:val="clear" w:color="auto" w:fill="auto"/>
            <w:vAlign w:val="center"/>
          </w:tcPr>
          <w:p w:rsidR="0073023E" w:rsidRPr="009C5ADA" w:rsidRDefault="005F62DA" w:rsidP="003A0621">
            <w:pPr>
              <w:jc w:val="center"/>
              <w:rPr>
                <w:sz w:val="22"/>
                <w:szCs w:val="22"/>
              </w:rPr>
            </w:pPr>
            <w:r>
              <w:rPr>
                <w:sz w:val="22"/>
                <w:szCs w:val="22"/>
              </w:rPr>
              <w:t>12.0</w:t>
            </w:r>
          </w:p>
        </w:tc>
        <w:tc>
          <w:tcPr>
            <w:tcW w:w="1980" w:type="dxa"/>
          </w:tcPr>
          <w:p w:rsidR="0073023E" w:rsidRPr="009C5ADA" w:rsidRDefault="000969F4" w:rsidP="003A0621">
            <w:pPr>
              <w:jc w:val="center"/>
              <w:rPr>
                <w:sz w:val="22"/>
                <w:szCs w:val="22"/>
              </w:rPr>
            </w:pPr>
            <w:r w:rsidRPr="009C5ADA">
              <w:rPr>
                <w:sz w:val="22"/>
                <w:szCs w:val="22"/>
              </w:rPr>
              <w:t xml:space="preserve">113.3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73023E" w:rsidRPr="009C5ADA" w:rsidRDefault="000969F4" w:rsidP="003A0621">
            <w:pPr>
              <w:jc w:val="center"/>
              <w:rPr>
                <w:sz w:val="22"/>
                <w:szCs w:val="22"/>
              </w:rPr>
            </w:pPr>
            <w:r w:rsidRPr="009C5ADA">
              <w:rPr>
                <w:sz w:val="22"/>
                <w:szCs w:val="22"/>
              </w:rPr>
              <w:t>Manufacturer</w:t>
            </w:r>
          </w:p>
        </w:tc>
        <w:tc>
          <w:tcPr>
            <w:tcW w:w="1646" w:type="dxa"/>
            <w:vAlign w:val="center"/>
          </w:tcPr>
          <w:p w:rsidR="0073023E" w:rsidRPr="009C5ADA" w:rsidRDefault="005F62DA" w:rsidP="003A0621">
            <w:pPr>
              <w:jc w:val="center"/>
              <w:rPr>
                <w:sz w:val="22"/>
                <w:szCs w:val="22"/>
              </w:rPr>
            </w:pPr>
            <w:r>
              <w:rPr>
                <w:sz w:val="22"/>
                <w:szCs w:val="22"/>
              </w:rPr>
              <w:t>5.78</w:t>
            </w:r>
          </w:p>
        </w:tc>
        <w:tc>
          <w:tcPr>
            <w:tcW w:w="1890" w:type="dxa"/>
            <w:shd w:val="clear" w:color="auto" w:fill="auto"/>
            <w:vAlign w:val="center"/>
          </w:tcPr>
          <w:p w:rsidR="0073023E" w:rsidRPr="009C5ADA" w:rsidRDefault="006009A8" w:rsidP="003A0621">
            <w:pPr>
              <w:jc w:val="center"/>
              <w:rPr>
                <w:sz w:val="22"/>
                <w:szCs w:val="22"/>
              </w:rPr>
            </w:pPr>
            <w:r w:rsidRPr="006009A8">
              <w:rPr>
                <w:sz w:val="22"/>
                <w:szCs w:val="22"/>
              </w:rPr>
              <w:t>129.97(c)(3)</w:t>
            </w:r>
          </w:p>
        </w:tc>
      </w:tr>
      <w:tr w:rsidR="005F62DA" w:rsidRPr="009C5ADA" w:rsidTr="004557A4">
        <w:tc>
          <w:tcPr>
            <w:tcW w:w="892" w:type="dxa"/>
            <w:shd w:val="clear" w:color="auto" w:fill="auto"/>
            <w:vAlign w:val="center"/>
          </w:tcPr>
          <w:p w:rsidR="005F62DA" w:rsidRDefault="005F62DA" w:rsidP="005F62DA">
            <w:pPr>
              <w:jc w:val="center"/>
              <w:rPr>
                <w:sz w:val="22"/>
                <w:szCs w:val="22"/>
              </w:rPr>
            </w:pPr>
            <w:r>
              <w:rPr>
                <w:sz w:val="22"/>
                <w:szCs w:val="22"/>
              </w:rPr>
              <w:t>229B</w:t>
            </w:r>
          </w:p>
        </w:tc>
        <w:tc>
          <w:tcPr>
            <w:tcW w:w="3428" w:type="dxa"/>
            <w:shd w:val="clear" w:color="auto" w:fill="auto"/>
            <w:vAlign w:val="center"/>
          </w:tcPr>
          <w:p w:rsidR="005F62DA" w:rsidRDefault="005F62DA" w:rsidP="005F62DA">
            <w:pPr>
              <w:jc w:val="center"/>
              <w:rPr>
                <w:sz w:val="22"/>
                <w:szCs w:val="22"/>
              </w:rPr>
            </w:pPr>
            <w:r>
              <w:rPr>
                <w:sz w:val="22"/>
                <w:szCs w:val="22"/>
              </w:rPr>
              <w:t>Ladle Pre-heater #3</w:t>
            </w:r>
          </w:p>
        </w:tc>
        <w:tc>
          <w:tcPr>
            <w:tcW w:w="1800" w:type="dxa"/>
            <w:shd w:val="clear" w:color="auto" w:fill="auto"/>
            <w:vAlign w:val="center"/>
          </w:tcPr>
          <w:p w:rsidR="005F62DA" w:rsidRDefault="005F62DA" w:rsidP="005F62DA">
            <w:pPr>
              <w:jc w:val="center"/>
              <w:rPr>
                <w:sz w:val="22"/>
                <w:szCs w:val="22"/>
              </w:rPr>
            </w:pPr>
            <w:r>
              <w:rPr>
                <w:sz w:val="22"/>
                <w:szCs w:val="22"/>
              </w:rPr>
              <w:t>12.0</w:t>
            </w:r>
          </w:p>
        </w:tc>
        <w:tc>
          <w:tcPr>
            <w:tcW w:w="1980" w:type="dxa"/>
          </w:tcPr>
          <w:p w:rsidR="005F62DA" w:rsidRPr="009C5ADA" w:rsidRDefault="005F62DA" w:rsidP="005F62DA">
            <w:pPr>
              <w:jc w:val="center"/>
              <w:rPr>
                <w:sz w:val="22"/>
                <w:szCs w:val="22"/>
              </w:rPr>
            </w:pPr>
            <w:r w:rsidRPr="009C5ADA">
              <w:rPr>
                <w:sz w:val="22"/>
                <w:szCs w:val="22"/>
              </w:rPr>
              <w:t xml:space="preserve">113.3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5F62DA" w:rsidRPr="009C5ADA" w:rsidRDefault="005F62DA" w:rsidP="005F62DA">
            <w:pPr>
              <w:jc w:val="center"/>
              <w:rPr>
                <w:sz w:val="22"/>
                <w:szCs w:val="22"/>
              </w:rPr>
            </w:pPr>
            <w:r w:rsidRPr="009C5ADA">
              <w:rPr>
                <w:sz w:val="22"/>
                <w:szCs w:val="22"/>
              </w:rPr>
              <w:t>Manufacturer</w:t>
            </w:r>
          </w:p>
        </w:tc>
        <w:tc>
          <w:tcPr>
            <w:tcW w:w="1646" w:type="dxa"/>
            <w:vAlign w:val="center"/>
          </w:tcPr>
          <w:p w:rsidR="005F62DA" w:rsidRPr="009C5ADA" w:rsidRDefault="005F62DA" w:rsidP="005F62DA">
            <w:pPr>
              <w:jc w:val="center"/>
              <w:rPr>
                <w:sz w:val="22"/>
                <w:szCs w:val="22"/>
              </w:rPr>
            </w:pPr>
            <w:r>
              <w:rPr>
                <w:sz w:val="22"/>
                <w:szCs w:val="22"/>
              </w:rPr>
              <w:t>5.78</w:t>
            </w:r>
          </w:p>
        </w:tc>
        <w:tc>
          <w:tcPr>
            <w:tcW w:w="1890" w:type="dxa"/>
            <w:shd w:val="clear" w:color="auto" w:fill="auto"/>
            <w:vAlign w:val="center"/>
          </w:tcPr>
          <w:p w:rsidR="005F62DA" w:rsidRPr="009C5ADA" w:rsidRDefault="005F62DA" w:rsidP="005F62DA">
            <w:pPr>
              <w:jc w:val="center"/>
              <w:rPr>
                <w:sz w:val="22"/>
                <w:szCs w:val="22"/>
              </w:rPr>
            </w:pPr>
            <w:r w:rsidRPr="006009A8">
              <w:rPr>
                <w:sz w:val="22"/>
                <w:szCs w:val="22"/>
              </w:rPr>
              <w:t>129.97(c)(3)</w:t>
            </w:r>
          </w:p>
        </w:tc>
      </w:tr>
      <w:tr w:rsidR="00253873" w:rsidRPr="009C5ADA" w:rsidTr="0077732B">
        <w:tc>
          <w:tcPr>
            <w:tcW w:w="892" w:type="dxa"/>
            <w:shd w:val="clear" w:color="auto" w:fill="auto"/>
            <w:vAlign w:val="center"/>
          </w:tcPr>
          <w:p w:rsidR="00253873" w:rsidRPr="009C5ADA" w:rsidRDefault="00253873" w:rsidP="003A0621">
            <w:pPr>
              <w:jc w:val="center"/>
              <w:rPr>
                <w:sz w:val="22"/>
                <w:szCs w:val="22"/>
              </w:rPr>
            </w:pPr>
            <w:r w:rsidRPr="009C5ADA">
              <w:rPr>
                <w:sz w:val="22"/>
                <w:szCs w:val="22"/>
              </w:rPr>
              <w:t>230</w:t>
            </w:r>
          </w:p>
        </w:tc>
        <w:tc>
          <w:tcPr>
            <w:tcW w:w="3428" w:type="dxa"/>
            <w:shd w:val="clear" w:color="auto" w:fill="auto"/>
            <w:vAlign w:val="center"/>
          </w:tcPr>
          <w:p w:rsidR="00253873" w:rsidRPr="009C5ADA" w:rsidRDefault="00253873" w:rsidP="00A3657F">
            <w:pPr>
              <w:jc w:val="center"/>
              <w:rPr>
                <w:sz w:val="22"/>
                <w:szCs w:val="22"/>
              </w:rPr>
            </w:pPr>
            <w:r w:rsidRPr="009C5ADA">
              <w:rPr>
                <w:sz w:val="22"/>
                <w:szCs w:val="22"/>
              </w:rPr>
              <w:t xml:space="preserve">Vacuum Oxygen </w:t>
            </w:r>
            <w:r w:rsidRPr="009C5ADA">
              <w:rPr>
                <w:sz w:val="22"/>
                <w:szCs w:val="22"/>
              </w:rPr>
              <w:br/>
              <w:t>Decarburization (VOD)</w:t>
            </w:r>
          </w:p>
        </w:tc>
        <w:tc>
          <w:tcPr>
            <w:tcW w:w="1800" w:type="dxa"/>
            <w:shd w:val="clear" w:color="auto" w:fill="auto"/>
            <w:vAlign w:val="center"/>
          </w:tcPr>
          <w:p w:rsidR="00253873" w:rsidRPr="009C5ADA" w:rsidRDefault="00253873" w:rsidP="003A0621">
            <w:pPr>
              <w:jc w:val="center"/>
              <w:rPr>
                <w:sz w:val="22"/>
                <w:szCs w:val="22"/>
              </w:rPr>
            </w:pPr>
            <w:r w:rsidRPr="009C5ADA">
              <w:rPr>
                <w:sz w:val="22"/>
                <w:szCs w:val="22"/>
              </w:rPr>
              <w:t>8.7</w:t>
            </w:r>
          </w:p>
        </w:tc>
        <w:tc>
          <w:tcPr>
            <w:tcW w:w="1980" w:type="dxa"/>
            <w:vAlign w:val="center"/>
          </w:tcPr>
          <w:p w:rsidR="00253873" w:rsidRPr="009C5ADA" w:rsidRDefault="00FF4E5A" w:rsidP="003A0621">
            <w:pPr>
              <w:jc w:val="center"/>
              <w:rPr>
                <w:sz w:val="22"/>
                <w:szCs w:val="22"/>
              </w:rPr>
            </w:pPr>
            <w:r w:rsidRPr="009C5ADA">
              <w:rPr>
                <w:sz w:val="22"/>
                <w:szCs w:val="22"/>
              </w:rPr>
              <w:t xml:space="preserve">103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vAlign w:val="center"/>
          </w:tcPr>
          <w:p w:rsidR="00253873" w:rsidRPr="009C5ADA" w:rsidRDefault="00605A47" w:rsidP="003A0621">
            <w:pPr>
              <w:jc w:val="center"/>
              <w:rPr>
                <w:sz w:val="22"/>
                <w:szCs w:val="22"/>
              </w:rPr>
            </w:pPr>
            <w:r w:rsidRPr="009C5ADA">
              <w:rPr>
                <w:sz w:val="22"/>
                <w:szCs w:val="22"/>
              </w:rPr>
              <w:t>AP-42</w:t>
            </w:r>
            <w:r w:rsidRPr="009C5ADA">
              <w:rPr>
                <w:sz w:val="22"/>
                <w:szCs w:val="22"/>
                <w:vertAlign w:val="superscript"/>
              </w:rPr>
              <w:t>2</w:t>
            </w:r>
          </w:p>
        </w:tc>
        <w:tc>
          <w:tcPr>
            <w:tcW w:w="1646" w:type="dxa"/>
            <w:vAlign w:val="center"/>
          </w:tcPr>
          <w:p w:rsidR="00253873" w:rsidRPr="009C5ADA" w:rsidRDefault="00253873" w:rsidP="003A0621">
            <w:pPr>
              <w:jc w:val="center"/>
              <w:rPr>
                <w:sz w:val="22"/>
                <w:szCs w:val="22"/>
              </w:rPr>
            </w:pPr>
            <w:r w:rsidRPr="009C5ADA">
              <w:rPr>
                <w:sz w:val="22"/>
                <w:szCs w:val="22"/>
              </w:rPr>
              <w:t>3.</w:t>
            </w:r>
            <w:r w:rsidR="00605A47" w:rsidRPr="009C5ADA">
              <w:rPr>
                <w:sz w:val="22"/>
                <w:szCs w:val="22"/>
              </w:rPr>
              <w:t>9</w:t>
            </w:r>
          </w:p>
        </w:tc>
        <w:tc>
          <w:tcPr>
            <w:tcW w:w="1890" w:type="dxa"/>
            <w:shd w:val="clear" w:color="auto" w:fill="auto"/>
            <w:vAlign w:val="center"/>
          </w:tcPr>
          <w:p w:rsidR="00253873" w:rsidRPr="009C5ADA" w:rsidRDefault="00253873" w:rsidP="003A0621">
            <w:pPr>
              <w:jc w:val="center"/>
              <w:rPr>
                <w:sz w:val="22"/>
                <w:szCs w:val="22"/>
              </w:rPr>
            </w:pPr>
            <w:r w:rsidRPr="009C5ADA">
              <w:rPr>
                <w:sz w:val="22"/>
                <w:szCs w:val="22"/>
              </w:rPr>
              <w:t>129.97(c)(3)</w:t>
            </w:r>
          </w:p>
        </w:tc>
      </w:tr>
      <w:tr w:rsidR="00C458F0" w:rsidRPr="009C5ADA" w:rsidTr="000D5210">
        <w:tc>
          <w:tcPr>
            <w:tcW w:w="892" w:type="dxa"/>
            <w:shd w:val="clear" w:color="auto" w:fill="auto"/>
            <w:vAlign w:val="center"/>
          </w:tcPr>
          <w:p w:rsidR="00C458F0" w:rsidRPr="009C5ADA" w:rsidRDefault="00C458F0" w:rsidP="00C458F0">
            <w:pPr>
              <w:jc w:val="center"/>
              <w:rPr>
                <w:sz w:val="22"/>
                <w:szCs w:val="22"/>
              </w:rPr>
            </w:pPr>
            <w:r w:rsidRPr="009C5ADA">
              <w:rPr>
                <w:sz w:val="22"/>
                <w:szCs w:val="22"/>
              </w:rPr>
              <w:t>231</w:t>
            </w:r>
          </w:p>
        </w:tc>
        <w:tc>
          <w:tcPr>
            <w:tcW w:w="3428" w:type="dxa"/>
            <w:shd w:val="clear" w:color="auto" w:fill="auto"/>
            <w:vAlign w:val="center"/>
          </w:tcPr>
          <w:p w:rsidR="00C458F0" w:rsidRPr="009C5ADA" w:rsidRDefault="00C458F0" w:rsidP="00C458F0">
            <w:pPr>
              <w:jc w:val="center"/>
              <w:rPr>
                <w:sz w:val="22"/>
                <w:szCs w:val="22"/>
              </w:rPr>
            </w:pPr>
            <w:r w:rsidRPr="009C5ADA">
              <w:rPr>
                <w:sz w:val="22"/>
                <w:szCs w:val="22"/>
              </w:rPr>
              <w:t>EMS Ladle Dryer/Pre-heater</w:t>
            </w:r>
          </w:p>
        </w:tc>
        <w:tc>
          <w:tcPr>
            <w:tcW w:w="1800" w:type="dxa"/>
            <w:shd w:val="clear" w:color="auto" w:fill="auto"/>
            <w:vAlign w:val="center"/>
          </w:tcPr>
          <w:p w:rsidR="00C458F0" w:rsidRPr="009C5ADA" w:rsidRDefault="00C458F0" w:rsidP="00C458F0">
            <w:pPr>
              <w:jc w:val="center"/>
              <w:rPr>
                <w:sz w:val="22"/>
                <w:szCs w:val="22"/>
              </w:rPr>
            </w:pPr>
            <w:r w:rsidRPr="009C5ADA">
              <w:rPr>
                <w:sz w:val="22"/>
                <w:szCs w:val="22"/>
              </w:rPr>
              <w:t>10.3</w:t>
            </w:r>
          </w:p>
        </w:tc>
        <w:tc>
          <w:tcPr>
            <w:tcW w:w="1980" w:type="dxa"/>
            <w:vAlign w:val="center"/>
          </w:tcPr>
          <w:p w:rsidR="00C458F0" w:rsidRPr="009C5ADA" w:rsidRDefault="00C458F0" w:rsidP="00C458F0">
            <w:pPr>
              <w:jc w:val="center"/>
              <w:rPr>
                <w:sz w:val="22"/>
                <w:szCs w:val="22"/>
              </w:rPr>
            </w:pPr>
            <w:r w:rsidRPr="009C5ADA">
              <w:rPr>
                <w:sz w:val="22"/>
                <w:szCs w:val="22"/>
              </w:rPr>
              <w:t xml:space="preserve">103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vAlign w:val="center"/>
          </w:tcPr>
          <w:p w:rsidR="00C458F0" w:rsidRPr="009C5ADA" w:rsidRDefault="00C458F0" w:rsidP="00C458F0">
            <w:pPr>
              <w:jc w:val="center"/>
              <w:rPr>
                <w:sz w:val="22"/>
                <w:szCs w:val="22"/>
              </w:rPr>
            </w:pPr>
            <w:r w:rsidRPr="009C5ADA">
              <w:rPr>
                <w:sz w:val="22"/>
                <w:szCs w:val="22"/>
              </w:rPr>
              <w:t>AP-42</w:t>
            </w:r>
            <w:r w:rsidRPr="009C5ADA">
              <w:rPr>
                <w:sz w:val="22"/>
                <w:szCs w:val="22"/>
                <w:vertAlign w:val="superscript"/>
              </w:rPr>
              <w:t>2</w:t>
            </w:r>
          </w:p>
        </w:tc>
        <w:tc>
          <w:tcPr>
            <w:tcW w:w="1646" w:type="dxa"/>
            <w:vAlign w:val="center"/>
          </w:tcPr>
          <w:p w:rsidR="00C458F0" w:rsidRPr="009C5ADA" w:rsidRDefault="00C458F0" w:rsidP="00C458F0">
            <w:pPr>
              <w:jc w:val="center"/>
              <w:rPr>
                <w:sz w:val="22"/>
                <w:szCs w:val="22"/>
              </w:rPr>
            </w:pPr>
            <w:r w:rsidRPr="009C5ADA">
              <w:rPr>
                <w:sz w:val="22"/>
                <w:szCs w:val="22"/>
              </w:rPr>
              <w:t>4.7</w:t>
            </w:r>
          </w:p>
        </w:tc>
        <w:tc>
          <w:tcPr>
            <w:tcW w:w="1890" w:type="dxa"/>
            <w:shd w:val="clear" w:color="auto" w:fill="auto"/>
            <w:vAlign w:val="center"/>
          </w:tcPr>
          <w:p w:rsidR="00C458F0" w:rsidRPr="009C5ADA" w:rsidRDefault="00C458F0" w:rsidP="00C458F0">
            <w:pPr>
              <w:jc w:val="center"/>
              <w:rPr>
                <w:sz w:val="22"/>
                <w:szCs w:val="22"/>
              </w:rPr>
            </w:pPr>
            <w:r w:rsidRPr="009C5ADA">
              <w:rPr>
                <w:sz w:val="22"/>
                <w:szCs w:val="22"/>
              </w:rPr>
              <w:t>129.97(c)(3)</w:t>
            </w:r>
          </w:p>
        </w:tc>
      </w:tr>
      <w:tr w:rsidR="00253873" w:rsidRPr="009C5ADA" w:rsidTr="004557A4">
        <w:tc>
          <w:tcPr>
            <w:tcW w:w="892" w:type="dxa"/>
            <w:shd w:val="clear" w:color="auto" w:fill="auto"/>
            <w:vAlign w:val="center"/>
          </w:tcPr>
          <w:p w:rsidR="00253873" w:rsidRPr="009C5ADA" w:rsidRDefault="00253873" w:rsidP="00BC3DD1">
            <w:pPr>
              <w:ind w:left="720" w:hanging="720"/>
              <w:jc w:val="center"/>
              <w:rPr>
                <w:sz w:val="22"/>
                <w:szCs w:val="22"/>
              </w:rPr>
            </w:pPr>
            <w:r w:rsidRPr="009C5ADA">
              <w:rPr>
                <w:sz w:val="22"/>
                <w:szCs w:val="22"/>
              </w:rPr>
              <w:t>768</w:t>
            </w:r>
          </w:p>
        </w:tc>
        <w:tc>
          <w:tcPr>
            <w:tcW w:w="3428" w:type="dxa"/>
            <w:shd w:val="clear" w:color="auto" w:fill="auto"/>
            <w:vAlign w:val="center"/>
          </w:tcPr>
          <w:p w:rsidR="00253873" w:rsidRPr="009C5ADA" w:rsidRDefault="00253873" w:rsidP="00BC3DD1">
            <w:pPr>
              <w:ind w:left="-6" w:firstLine="6"/>
              <w:jc w:val="center"/>
              <w:rPr>
                <w:sz w:val="22"/>
                <w:szCs w:val="22"/>
              </w:rPr>
            </w:pPr>
            <w:r w:rsidRPr="009C5ADA">
              <w:rPr>
                <w:sz w:val="22"/>
                <w:szCs w:val="22"/>
              </w:rPr>
              <w:t>Emer Pump/Generator</w:t>
            </w:r>
          </w:p>
        </w:tc>
        <w:tc>
          <w:tcPr>
            <w:tcW w:w="1800" w:type="dxa"/>
            <w:shd w:val="clear" w:color="auto" w:fill="auto"/>
            <w:vAlign w:val="center"/>
          </w:tcPr>
          <w:p w:rsidR="00253873" w:rsidRPr="009C5ADA" w:rsidRDefault="00003B56" w:rsidP="00BC3DD1">
            <w:pPr>
              <w:ind w:left="720" w:hanging="720"/>
              <w:jc w:val="center"/>
              <w:rPr>
                <w:sz w:val="22"/>
                <w:szCs w:val="22"/>
                <w:vertAlign w:val="superscript"/>
              </w:rPr>
            </w:pPr>
            <w:r w:rsidRPr="009C5ADA">
              <w:rPr>
                <w:sz w:val="22"/>
                <w:szCs w:val="22"/>
              </w:rPr>
              <w:t xml:space="preserve"> 3.05</w:t>
            </w:r>
            <w:r w:rsidRPr="009C5ADA">
              <w:rPr>
                <w:sz w:val="22"/>
                <w:szCs w:val="22"/>
                <w:vertAlign w:val="superscript"/>
              </w:rPr>
              <w:t>4</w:t>
            </w:r>
          </w:p>
        </w:tc>
        <w:tc>
          <w:tcPr>
            <w:tcW w:w="1980" w:type="dxa"/>
          </w:tcPr>
          <w:p w:rsidR="00253873" w:rsidRPr="009C5ADA" w:rsidRDefault="00003B56" w:rsidP="00BC3DD1">
            <w:pPr>
              <w:ind w:left="720" w:hanging="720"/>
              <w:jc w:val="center"/>
              <w:rPr>
                <w:sz w:val="22"/>
                <w:szCs w:val="22"/>
              </w:rPr>
            </w:pPr>
            <w:r w:rsidRPr="009C5ADA">
              <w:rPr>
                <w:sz w:val="22"/>
                <w:szCs w:val="22"/>
              </w:rPr>
              <w:t xml:space="preserve">3.2 </w:t>
            </w:r>
            <w:proofErr w:type="spellStart"/>
            <w:r w:rsidRPr="009C5ADA">
              <w:rPr>
                <w:sz w:val="22"/>
                <w:szCs w:val="22"/>
              </w:rPr>
              <w:t>lb</w:t>
            </w:r>
            <w:proofErr w:type="spellEnd"/>
            <w:r w:rsidRPr="009C5ADA">
              <w:rPr>
                <w:sz w:val="22"/>
                <w:szCs w:val="22"/>
              </w:rPr>
              <w:t>/MMBtu</w:t>
            </w:r>
          </w:p>
        </w:tc>
        <w:tc>
          <w:tcPr>
            <w:tcW w:w="1607" w:type="dxa"/>
          </w:tcPr>
          <w:p w:rsidR="00253873" w:rsidRPr="009C5ADA" w:rsidRDefault="00003B56" w:rsidP="00BC3DD1">
            <w:pPr>
              <w:ind w:left="720" w:hanging="720"/>
              <w:jc w:val="center"/>
              <w:rPr>
                <w:sz w:val="22"/>
                <w:szCs w:val="22"/>
              </w:rPr>
            </w:pPr>
            <w:r w:rsidRPr="009C5ADA">
              <w:rPr>
                <w:sz w:val="22"/>
                <w:szCs w:val="22"/>
              </w:rPr>
              <w:t>AP-42</w:t>
            </w:r>
          </w:p>
        </w:tc>
        <w:tc>
          <w:tcPr>
            <w:tcW w:w="1646" w:type="dxa"/>
            <w:shd w:val="clear" w:color="auto" w:fill="auto"/>
            <w:vAlign w:val="center"/>
          </w:tcPr>
          <w:p w:rsidR="00253873" w:rsidRPr="009C5ADA" w:rsidRDefault="005D4592" w:rsidP="00BC3DD1">
            <w:pPr>
              <w:ind w:left="720" w:hanging="720"/>
              <w:jc w:val="center"/>
              <w:rPr>
                <w:sz w:val="22"/>
                <w:szCs w:val="22"/>
                <w:vertAlign w:val="superscript"/>
              </w:rPr>
            </w:pPr>
            <w:r w:rsidRPr="009C5ADA">
              <w:rPr>
                <w:sz w:val="22"/>
                <w:szCs w:val="22"/>
              </w:rPr>
              <w:t>2.4</w:t>
            </w:r>
          </w:p>
        </w:tc>
        <w:tc>
          <w:tcPr>
            <w:tcW w:w="1890" w:type="dxa"/>
            <w:shd w:val="clear" w:color="auto" w:fill="auto"/>
            <w:vAlign w:val="center"/>
          </w:tcPr>
          <w:p w:rsidR="00253873" w:rsidRPr="009C5ADA" w:rsidRDefault="00FA1CAD" w:rsidP="003A0621">
            <w:pPr>
              <w:jc w:val="center"/>
              <w:rPr>
                <w:sz w:val="22"/>
                <w:szCs w:val="22"/>
                <w:vertAlign w:val="superscript"/>
              </w:rPr>
            </w:pPr>
            <w:r w:rsidRPr="009C5ADA">
              <w:rPr>
                <w:sz w:val="22"/>
                <w:szCs w:val="22"/>
              </w:rPr>
              <w:t xml:space="preserve"> </w:t>
            </w:r>
            <w:r w:rsidR="00253873" w:rsidRPr="009C5ADA">
              <w:rPr>
                <w:sz w:val="22"/>
                <w:szCs w:val="22"/>
              </w:rPr>
              <w:t>129.97(c)(8)</w:t>
            </w:r>
            <w:r w:rsidR="00003B56" w:rsidRPr="009C5ADA">
              <w:rPr>
                <w:sz w:val="22"/>
                <w:szCs w:val="22"/>
                <w:vertAlign w:val="superscript"/>
              </w:rPr>
              <w:t>5</w:t>
            </w:r>
          </w:p>
        </w:tc>
      </w:tr>
      <w:tr w:rsidR="00253873" w:rsidRPr="009C5ADA" w:rsidTr="004557A4">
        <w:tc>
          <w:tcPr>
            <w:tcW w:w="892" w:type="dxa"/>
            <w:shd w:val="clear" w:color="auto" w:fill="auto"/>
            <w:vAlign w:val="center"/>
          </w:tcPr>
          <w:p w:rsidR="00253873" w:rsidRPr="009C5ADA" w:rsidRDefault="00253873" w:rsidP="003A0621">
            <w:pPr>
              <w:jc w:val="center"/>
              <w:rPr>
                <w:sz w:val="22"/>
                <w:szCs w:val="22"/>
              </w:rPr>
            </w:pPr>
            <w:r w:rsidRPr="009C5ADA">
              <w:rPr>
                <w:sz w:val="22"/>
                <w:szCs w:val="22"/>
              </w:rPr>
              <w:t>769</w:t>
            </w:r>
          </w:p>
        </w:tc>
        <w:tc>
          <w:tcPr>
            <w:tcW w:w="3428" w:type="dxa"/>
            <w:shd w:val="clear" w:color="auto" w:fill="auto"/>
            <w:vAlign w:val="center"/>
          </w:tcPr>
          <w:p w:rsidR="00253873" w:rsidRPr="009C5ADA" w:rsidRDefault="00253873" w:rsidP="003A0621">
            <w:pPr>
              <w:jc w:val="center"/>
              <w:rPr>
                <w:sz w:val="22"/>
                <w:szCs w:val="22"/>
              </w:rPr>
            </w:pPr>
            <w:r w:rsidRPr="009C5ADA">
              <w:rPr>
                <w:bCs/>
                <w:iCs/>
                <w:sz w:val="22"/>
                <w:szCs w:val="22"/>
              </w:rPr>
              <w:t>4SLB Emergency Generator</w:t>
            </w:r>
          </w:p>
        </w:tc>
        <w:tc>
          <w:tcPr>
            <w:tcW w:w="1800" w:type="dxa"/>
            <w:shd w:val="clear" w:color="auto" w:fill="auto"/>
            <w:vAlign w:val="center"/>
          </w:tcPr>
          <w:p w:rsidR="00253873" w:rsidRPr="009C5ADA" w:rsidRDefault="00003B56" w:rsidP="001778F1">
            <w:pPr>
              <w:jc w:val="center"/>
              <w:rPr>
                <w:sz w:val="22"/>
                <w:szCs w:val="22"/>
              </w:rPr>
            </w:pPr>
            <w:r w:rsidRPr="009C5ADA">
              <w:rPr>
                <w:sz w:val="22"/>
                <w:szCs w:val="22"/>
              </w:rPr>
              <w:t>0.0</w:t>
            </w:r>
            <w:r w:rsidR="005B3193" w:rsidRPr="009C5ADA">
              <w:rPr>
                <w:sz w:val="22"/>
                <w:szCs w:val="22"/>
              </w:rPr>
              <w:t>6</w:t>
            </w:r>
          </w:p>
        </w:tc>
        <w:tc>
          <w:tcPr>
            <w:tcW w:w="1980" w:type="dxa"/>
          </w:tcPr>
          <w:p w:rsidR="00253873" w:rsidRPr="009C5ADA" w:rsidRDefault="00003B56" w:rsidP="003A0621">
            <w:pPr>
              <w:jc w:val="center"/>
              <w:rPr>
                <w:sz w:val="22"/>
                <w:szCs w:val="22"/>
              </w:rPr>
            </w:pPr>
            <w:r w:rsidRPr="009C5ADA">
              <w:rPr>
                <w:sz w:val="22"/>
                <w:szCs w:val="22"/>
              </w:rPr>
              <w:t xml:space="preserve">4.08 </w:t>
            </w:r>
            <w:proofErr w:type="spellStart"/>
            <w:r w:rsidRPr="009C5ADA">
              <w:rPr>
                <w:sz w:val="22"/>
                <w:szCs w:val="22"/>
              </w:rPr>
              <w:t>lb</w:t>
            </w:r>
            <w:proofErr w:type="spellEnd"/>
            <w:r w:rsidRPr="009C5ADA">
              <w:rPr>
                <w:sz w:val="22"/>
                <w:szCs w:val="22"/>
              </w:rPr>
              <w:t>/MMBtu</w:t>
            </w:r>
          </w:p>
        </w:tc>
        <w:tc>
          <w:tcPr>
            <w:tcW w:w="1607" w:type="dxa"/>
          </w:tcPr>
          <w:p w:rsidR="00253873" w:rsidRPr="009C5ADA" w:rsidRDefault="00003B56" w:rsidP="003A0621">
            <w:pPr>
              <w:jc w:val="center"/>
              <w:rPr>
                <w:sz w:val="22"/>
                <w:szCs w:val="22"/>
              </w:rPr>
            </w:pPr>
            <w:r w:rsidRPr="009C5ADA">
              <w:rPr>
                <w:sz w:val="22"/>
                <w:szCs w:val="22"/>
              </w:rPr>
              <w:t>AP-42</w:t>
            </w:r>
          </w:p>
        </w:tc>
        <w:tc>
          <w:tcPr>
            <w:tcW w:w="1646" w:type="dxa"/>
            <w:shd w:val="clear" w:color="auto" w:fill="auto"/>
            <w:vAlign w:val="center"/>
          </w:tcPr>
          <w:p w:rsidR="00253873" w:rsidRPr="009C5ADA" w:rsidRDefault="00003B56" w:rsidP="003A0621">
            <w:pPr>
              <w:jc w:val="center"/>
              <w:rPr>
                <w:sz w:val="22"/>
                <w:szCs w:val="22"/>
              </w:rPr>
            </w:pPr>
            <w:r w:rsidRPr="009C5ADA">
              <w:rPr>
                <w:sz w:val="22"/>
                <w:szCs w:val="22"/>
              </w:rPr>
              <w:t>0.06</w:t>
            </w:r>
          </w:p>
        </w:tc>
        <w:tc>
          <w:tcPr>
            <w:tcW w:w="1890" w:type="dxa"/>
            <w:shd w:val="clear" w:color="auto" w:fill="auto"/>
            <w:vAlign w:val="center"/>
          </w:tcPr>
          <w:p w:rsidR="00253873" w:rsidRPr="009C5ADA" w:rsidRDefault="00253873" w:rsidP="003A0621">
            <w:pPr>
              <w:jc w:val="center"/>
              <w:rPr>
                <w:sz w:val="22"/>
                <w:szCs w:val="22"/>
              </w:rPr>
            </w:pPr>
            <w:r w:rsidRPr="009C5ADA">
              <w:rPr>
                <w:sz w:val="22"/>
                <w:szCs w:val="22"/>
              </w:rPr>
              <w:t>129.97(c)(8)</w:t>
            </w:r>
          </w:p>
        </w:tc>
      </w:tr>
      <w:tr w:rsidR="005B3193" w:rsidRPr="009C5ADA" w:rsidTr="004557A4">
        <w:tc>
          <w:tcPr>
            <w:tcW w:w="892" w:type="dxa"/>
            <w:shd w:val="clear" w:color="auto" w:fill="auto"/>
            <w:vAlign w:val="center"/>
          </w:tcPr>
          <w:p w:rsidR="005B3193" w:rsidRPr="009C5ADA" w:rsidRDefault="005B3193" w:rsidP="005B3193">
            <w:pPr>
              <w:jc w:val="center"/>
              <w:rPr>
                <w:sz w:val="22"/>
                <w:szCs w:val="22"/>
              </w:rPr>
            </w:pPr>
            <w:r w:rsidRPr="009C5ADA">
              <w:rPr>
                <w:sz w:val="22"/>
                <w:szCs w:val="22"/>
              </w:rPr>
              <w:t>770</w:t>
            </w:r>
          </w:p>
        </w:tc>
        <w:tc>
          <w:tcPr>
            <w:tcW w:w="3428" w:type="dxa"/>
            <w:shd w:val="clear" w:color="auto" w:fill="auto"/>
            <w:vAlign w:val="center"/>
          </w:tcPr>
          <w:p w:rsidR="005B3193" w:rsidRPr="009C5ADA" w:rsidRDefault="005B3193" w:rsidP="005B3193">
            <w:pPr>
              <w:jc w:val="center"/>
              <w:rPr>
                <w:sz w:val="22"/>
                <w:szCs w:val="22"/>
              </w:rPr>
            </w:pPr>
            <w:r w:rsidRPr="009C5ADA">
              <w:rPr>
                <w:sz w:val="22"/>
                <w:szCs w:val="22"/>
              </w:rPr>
              <w:t>Small Emergency Generators</w:t>
            </w:r>
          </w:p>
        </w:tc>
        <w:tc>
          <w:tcPr>
            <w:tcW w:w="1800" w:type="dxa"/>
            <w:shd w:val="clear" w:color="auto" w:fill="auto"/>
            <w:vAlign w:val="center"/>
          </w:tcPr>
          <w:p w:rsidR="005B3193" w:rsidRPr="009C5ADA" w:rsidRDefault="005B3193" w:rsidP="005B3193">
            <w:pPr>
              <w:jc w:val="center"/>
              <w:rPr>
                <w:sz w:val="22"/>
                <w:szCs w:val="22"/>
                <w:vertAlign w:val="superscript"/>
              </w:rPr>
            </w:pPr>
            <w:r w:rsidRPr="009C5ADA">
              <w:rPr>
                <w:sz w:val="22"/>
                <w:szCs w:val="22"/>
              </w:rPr>
              <w:t xml:space="preserve">  0.64</w:t>
            </w:r>
            <w:r w:rsidRPr="009C5ADA">
              <w:rPr>
                <w:sz w:val="22"/>
                <w:szCs w:val="22"/>
                <w:vertAlign w:val="superscript"/>
              </w:rPr>
              <w:t>4</w:t>
            </w:r>
          </w:p>
        </w:tc>
        <w:tc>
          <w:tcPr>
            <w:tcW w:w="1980" w:type="dxa"/>
          </w:tcPr>
          <w:p w:rsidR="005B3193" w:rsidRPr="009C5ADA" w:rsidRDefault="005B3193" w:rsidP="005B3193">
            <w:pPr>
              <w:jc w:val="center"/>
              <w:rPr>
                <w:sz w:val="22"/>
                <w:szCs w:val="22"/>
              </w:rPr>
            </w:pPr>
            <w:r w:rsidRPr="009C5ADA">
              <w:rPr>
                <w:sz w:val="22"/>
                <w:szCs w:val="22"/>
              </w:rPr>
              <w:t xml:space="preserve">4.08 </w:t>
            </w:r>
            <w:proofErr w:type="spellStart"/>
            <w:r w:rsidRPr="009C5ADA">
              <w:rPr>
                <w:sz w:val="22"/>
                <w:szCs w:val="22"/>
              </w:rPr>
              <w:t>lb</w:t>
            </w:r>
            <w:proofErr w:type="spellEnd"/>
            <w:r w:rsidRPr="009C5ADA">
              <w:rPr>
                <w:sz w:val="22"/>
                <w:szCs w:val="22"/>
              </w:rPr>
              <w:t>/MMBtu</w:t>
            </w:r>
          </w:p>
        </w:tc>
        <w:tc>
          <w:tcPr>
            <w:tcW w:w="1607" w:type="dxa"/>
          </w:tcPr>
          <w:p w:rsidR="005B3193" w:rsidRPr="009C5ADA" w:rsidRDefault="005B3193" w:rsidP="005B3193">
            <w:pPr>
              <w:jc w:val="center"/>
              <w:rPr>
                <w:sz w:val="22"/>
                <w:szCs w:val="22"/>
              </w:rPr>
            </w:pPr>
            <w:r w:rsidRPr="009C5ADA">
              <w:rPr>
                <w:sz w:val="22"/>
                <w:szCs w:val="22"/>
              </w:rPr>
              <w:t>AP-42</w:t>
            </w:r>
          </w:p>
        </w:tc>
        <w:tc>
          <w:tcPr>
            <w:tcW w:w="1646" w:type="dxa"/>
            <w:shd w:val="clear" w:color="auto" w:fill="auto"/>
            <w:vAlign w:val="center"/>
          </w:tcPr>
          <w:p w:rsidR="005B3193" w:rsidRPr="009C5ADA" w:rsidRDefault="005B3193" w:rsidP="005B3193">
            <w:pPr>
              <w:jc w:val="center"/>
              <w:rPr>
                <w:sz w:val="22"/>
                <w:szCs w:val="22"/>
                <w:vertAlign w:val="superscript"/>
              </w:rPr>
            </w:pPr>
            <w:r w:rsidRPr="009C5ADA">
              <w:rPr>
                <w:sz w:val="22"/>
                <w:szCs w:val="22"/>
              </w:rPr>
              <w:t>0.65</w:t>
            </w:r>
          </w:p>
        </w:tc>
        <w:tc>
          <w:tcPr>
            <w:tcW w:w="1890" w:type="dxa"/>
            <w:shd w:val="clear" w:color="auto" w:fill="auto"/>
            <w:vAlign w:val="center"/>
          </w:tcPr>
          <w:p w:rsidR="005B3193" w:rsidRPr="009C5ADA" w:rsidRDefault="005B3193" w:rsidP="005B3193">
            <w:pPr>
              <w:jc w:val="center"/>
              <w:rPr>
                <w:sz w:val="22"/>
                <w:szCs w:val="22"/>
              </w:rPr>
            </w:pPr>
            <w:r w:rsidRPr="009C5ADA">
              <w:rPr>
                <w:sz w:val="22"/>
                <w:szCs w:val="22"/>
              </w:rPr>
              <w:t>129.97(c)(8)</w:t>
            </w:r>
          </w:p>
        </w:tc>
      </w:tr>
    </w:tbl>
    <w:p w:rsidR="00751D71" w:rsidRPr="009C5ADA" w:rsidRDefault="00751D71" w:rsidP="00751D71">
      <w:pPr>
        <w:rPr>
          <w:sz w:val="22"/>
          <w:szCs w:val="22"/>
        </w:rPr>
      </w:pPr>
      <w:r w:rsidRPr="009C5ADA">
        <w:rPr>
          <w:sz w:val="22"/>
          <w:szCs w:val="22"/>
          <w:vertAlign w:val="superscript"/>
        </w:rPr>
        <w:t>1</w:t>
      </w:r>
      <w:r w:rsidRPr="009C5ADA">
        <w:rPr>
          <w:sz w:val="22"/>
          <w:szCs w:val="22"/>
        </w:rPr>
        <w:t>Rated capacity is reported in MMBtu/</w:t>
      </w:r>
      <w:proofErr w:type="spellStart"/>
      <w:r w:rsidRPr="009C5ADA">
        <w:rPr>
          <w:sz w:val="22"/>
          <w:szCs w:val="22"/>
        </w:rPr>
        <w:t>hr</w:t>
      </w:r>
      <w:proofErr w:type="spellEnd"/>
      <w:r w:rsidRPr="009C5ADA">
        <w:rPr>
          <w:sz w:val="22"/>
          <w:szCs w:val="22"/>
        </w:rPr>
        <w:t xml:space="preserve"> unless otherwise noted</w:t>
      </w:r>
    </w:p>
    <w:p w:rsidR="003C5475" w:rsidRPr="009C5ADA" w:rsidRDefault="00FA1CAD" w:rsidP="003C5475">
      <w:pPr>
        <w:rPr>
          <w:sz w:val="22"/>
          <w:szCs w:val="22"/>
        </w:rPr>
      </w:pPr>
      <w:bookmarkStart w:id="17" w:name="_Hlk5865090"/>
      <w:r w:rsidRPr="009C5ADA">
        <w:rPr>
          <w:sz w:val="22"/>
          <w:szCs w:val="22"/>
          <w:vertAlign w:val="superscript"/>
        </w:rPr>
        <w:t>2</w:t>
      </w:r>
      <w:r w:rsidR="003C5475" w:rsidRPr="009C5ADA">
        <w:rPr>
          <w:sz w:val="22"/>
          <w:szCs w:val="22"/>
        </w:rPr>
        <w:t>Adjusted to account for actual BTU rating of 1,052 Btu/</w:t>
      </w:r>
      <w:proofErr w:type="spellStart"/>
      <w:r w:rsidR="003C5475" w:rsidRPr="009C5ADA">
        <w:rPr>
          <w:sz w:val="22"/>
          <w:szCs w:val="22"/>
        </w:rPr>
        <w:t>cf</w:t>
      </w:r>
      <w:proofErr w:type="spellEnd"/>
      <w:r w:rsidR="003C5475" w:rsidRPr="009C5ADA">
        <w:rPr>
          <w:sz w:val="22"/>
          <w:szCs w:val="22"/>
        </w:rPr>
        <w:t xml:space="preserve"> versus 1,020 used for AP-42, Table 1.4-1</w:t>
      </w:r>
    </w:p>
    <w:bookmarkEnd w:id="17"/>
    <w:p w:rsidR="006B0367" w:rsidRPr="009C5ADA" w:rsidRDefault="00FA1CAD" w:rsidP="006B0367">
      <w:pPr>
        <w:ind w:left="90" w:hanging="90"/>
        <w:rPr>
          <w:sz w:val="22"/>
          <w:szCs w:val="22"/>
        </w:rPr>
      </w:pPr>
      <w:r w:rsidRPr="009C5ADA">
        <w:rPr>
          <w:sz w:val="22"/>
          <w:szCs w:val="22"/>
          <w:vertAlign w:val="superscript"/>
        </w:rPr>
        <w:t>3</w:t>
      </w:r>
      <w:r w:rsidR="006B0367" w:rsidRPr="009C5ADA">
        <w:rPr>
          <w:sz w:val="22"/>
          <w:szCs w:val="22"/>
        </w:rPr>
        <w:t xml:space="preserve">Presumptice RACT for </w:t>
      </w:r>
      <w:r w:rsidR="00186102" w:rsidRPr="009C5ADA">
        <w:rPr>
          <w:sz w:val="22"/>
          <w:szCs w:val="22"/>
        </w:rPr>
        <w:t>boilers or other combustion sources with an individual rated gross heat input less than 20 million Btu/hour</w:t>
      </w:r>
    </w:p>
    <w:p w:rsidR="005B3193" w:rsidRPr="009C5ADA" w:rsidRDefault="005B3193" w:rsidP="005B3193">
      <w:pPr>
        <w:rPr>
          <w:sz w:val="22"/>
          <w:szCs w:val="22"/>
        </w:rPr>
      </w:pPr>
      <w:r w:rsidRPr="009C5ADA">
        <w:rPr>
          <w:sz w:val="22"/>
          <w:szCs w:val="22"/>
          <w:vertAlign w:val="superscript"/>
        </w:rPr>
        <w:t>4</w:t>
      </w:r>
      <w:r w:rsidRPr="009C5ADA">
        <w:rPr>
          <w:sz w:val="22"/>
          <w:szCs w:val="22"/>
        </w:rPr>
        <w:t xml:space="preserve">Reflects largest unit included under this Source ID </w:t>
      </w:r>
    </w:p>
    <w:p w:rsidR="00751D71" w:rsidRPr="009C5ADA" w:rsidRDefault="00003B56" w:rsidP="00751D71">
      <w:pPr>
        <w:rPr>
          <w:sz w:val="22"/>
          <w:szCs w:val="22"/>
        </w:rPr>
      </w:pPr>
      <w:r w:rsidRPr="009C5ADA">
        <w:rPr>
          <w:sz w:val="22"/>
          <w:szCs w:val="22"/>
          <w:vertAlign w:val="superscript"/>
        </w:rPr>
        <w:t>5</w:t>
      </w:r>
      <w:r w:rsidR="00FA1CAD" w:rsidRPr="009C5ADA">
        <w:rPr>
          <w:sz w:val="22"/>
          <w:szCs w:val="22"/>
        </w:rPr>
        <w:t>Presumptive RACT for emergency standby engines is operating less than 500 hours in a 12-month rolling period</w:t>
      </w:r>
    </w:p>
    <w:bookmarkEnd w:id="15"/>
    <w:p w:rsidR="00253873" w:rsidRPr="0030140C" w:rsidRDefault="00253873" w:rsidP="00253873">
      <w:pPr>
        <w:jc w:val="center"/>
        <w:rPr>
          <w:b/>
        </w:rPr>
      </w:pPr>
      <w:r>
        <w:br w:type="page"/>
      </w:r>
      <w:r w:rsidRPr="0030140C">
        <w:rPr>
          <w:b/>
        </w:rPr>
        <w:lastRenderedPageBreak/>
        <w:t>Table 3b</w:t>
      </w:r>
    </w:p>
    <w:tbl>
      <w:tblPr>
        <w:tblStyle w:val="TableGrid"/>
        <w:tblW w:w="13032" w:type="dxa"/>
        <w:tblInd w:w="108" w:type="dxa"/>
        <w:tblLook w:val="04A0" w:firstRow="1" w:lastRow="0" w:firstColumn="1" w:lastColumn="0" w:noHBand="0" w:noVBand="1"/>
      </w:tblPr>
      <w:tblGrid>
        <w:gridCol w:w="892"/>
        <w:gridCol w:w="3428"/>
        <w:gridCol w:w="1800"/>
        <w:gridCol w:w="1890"/>
        <w:gridCol w:w="1607"/>
        <w:gridCol w:w="1530"/>
        <w:gridCol w:w="1885"/>
      </w:tblGrid>
      <w:tr w:rsidR="00253873" w:rsidRPr="009C5ADA" w:rsidTr="0030140C">
        <w:tc>
          <w:tcPr>
            <w:tcW w:w="892" w:type="dxa"/>
            <w:shd w:val="clear" w:color="auto" w:fill="D9D9D9" w:themeFill="background1" w:themeFillShade="D9"/>
          </w:tcPr>
          <w:p w:rsidR="00253873" w:rsidRPr="009C5ADA" w:rsidRDefault="00253873" w:rsidP="00253873">
            <w:pPr>
              <w:jc w:val="center"/>
              <w:rPr>
                <w:sz w:val="22"/>
                <w:szCs w:val="22"/>
              </w:rPr>
            </w:pPr>
            <w:r w:rsidRPr="009C5ADA">
              <w:rPr>
                <w:sz w:val="22"/>
                <w:szCs w:val="22"/>
              </w:rPr>
              <w:t>Source ID</w:t>
            </w:r>
          </w:p>
        </w:tc>
        <w:tc>
          <w:tcPr>
            <w:tcW w:w="3428" w:type="dxa"/>
            <w:shd w:val="clear" w:color="auto" w:fill="D9D9D9" w:themeFill="background1" w:themeFillShade="D9"/>
            <w:vAlign w:val="center"/>
          </w:tcPr>
          <w:p w:rsidR="00253873" w:rsidRPr="009C5ADA" w:rsidRDefault="00253873" w:rsidP="00253873">
            <w:pPr>
              <w:jc w:val="center"/>
              <w:rPr>
                <w:sz w:val="22"/>
                <w:szCs w:val="22"/>
              </w:rPr>
            </w:pPr>
            <w:r w:rsidRPr="009C5ADA">
              <w:rPr>
                <w:sz w:val="22"/>
                <w:szCs w:val="22"/>
              </w:rPr>
              <w:t>Source Name</w:t>
            </w:r>
          </w:p>
        </w:tc>
        <w:tc>
          <w:tcPr>
            <w:tcW w:w="1800" w:type="dxa"/>
            <w:shd w:val="clear" w:color="auto" w:fill="D9D9D9" w:themeFill="background1" w:themeFillShade="D9"/>
            <w:vAlign w:val="center"/>
          </w:tcPr>
          <w:p w:rsidR="00253873" w:rsidRPr="009C5ADA" w:rsidRDefault="00253873" w:rsidP="00253873">
            <w:pPr>
              <w:rPr>
                <w:sz w:val="22"/>
                <w:szCs w:val="22"/>
              </w:rPr>
            </w:pPr>
            <w:r w:rsidRPr="009C5ADA">
              <w:rPr>
                <w:sz w:val="22"/>
                <w:szCs w:val="22"/>
              </w:rPr>
              <w:t>Rated Capacity</w:t>
            </w:r>
          </w:p>
          <w:p w:rsidR="00253873" w:rsidRPr="009C5ADA" w:rsidRDefault="00253873" w:rsidP="00253873">
            <w:pPr>
              <w:rPr>
                <w:sz w:val="22"/>
                <w:szCs w:val="22"/>
                <w:vertAlign w:val="superscript"/>
              </w:rPr>
            </w:pPr>
            <w:r w:rsidRPr="009C5ADA">
              <w:rPr>
                <w:sz w:val="22"/>
                <w:szCs w:val="22"/>
              </w:rPr>
              <w:t xml:space="preserve"> (MMBtu/</w:t>
            </w:r>
            <w:proofErr w:type="spellStart"/>
            <w:r w:rsidRPr="009C5ADA">
              <w:rPr>
                <w:sz w:val="22"/>
                <w:szCs w:val="22"/>
              </w:rPr>
              <w:t>hr</w:t>
            </w:r>
            <w:proofErr w:type="spellEnd"/>
            <w:r w:rsidRPr="009C5ADA">
              <w:rPr>
                <w:sz w:val="22"/>
                <w:szCs w:val="22"/>
              </w:rPr>
              <w:t>)</w:t>
            </w:r>
            <w:r w:rsidRPr="009C5ADA">
              <w:rPr>
                <w:sz w:val="22"/>
                <w:szCs w:val="22"/>
                <w:vertAlign w:val="superscript"/>
              </w:rPr>
              <w:t>1</w:t>
            </w:r>
          </w:p>
        </w:tc>
        <w:tc>
          <w:tcPr>
            <w:tcW w:w="1890" w:type="dxa"/>
            <w:shd w:val="clear" w:color="auto" w:fill="D9D9D9" w:themeFill="background1" w:themeFillShade="D9"/>
          </w:tcPr>
          <w:p w:rsidR="00253873" w:rsidRPr="009C5ADA" w:rsidRDefault="00253873" w:rsidP="00253873">
            <w:pPr>
              <w:jc w:val="center"/>
              <w:rPr>
                <w:sz w:val="22"/>
                <w:szCs w:val="22"/>
              </w:rPr>
            </w:pPr>
            <w:r w:rsidRPr="009C5ADA">
              <w:rPr>
                <w:sz w:val="22"/>
                <w:szCs w:val="22"/>
              </w:rPr>
              <w:t>Emission Factor (EF)</w:t>
            </w:r>
          </w:p>
        </w:tc>
        <w:tc>
          <w:tcPr>
            <w:tcW w:w="1607" w:type="dxa"/>
            <w:shd w:val="clear" w:color="auto" w:fill="D9D9D9" w:themeFill="background1" w:themeFillShade="D9"/>
            <w:vAlign w:val="center"/>
          </w:tcPr>
          <w:p w:rsidR="00253873" w:rsidRPr="009C5ADA" w:rsidRDefault="00253873" w:rsidP="00253873">
            <w:pPr>
              <w:jc w:val="center"/>
              <w:rPr>
                <w:sz w:val="22"/>
                <w:szCs w:val="22"/>
              </w:rPr>
            </w:pPr>
            <w:r w:rsidRPr="009C5ADA">
              <w:rPr>
                <w:sz w:val="22"/>
                <w:szCs w:val="22"/>
              </w:rPr>
              <w:t>EF Source</w:t>
            </w:r>
          </w:p>
        </w:tc>
        <w:tc>
          <w:tcPr>
            <w:tcW w:w="1530" w:type="dxa"/>
            <w:shd w:val="clear" w:color="auto" w:fill="D9D9D9" w:themeFill="background1" w:themeFillShade="D9"/>
          </w:tcPr>
          <w:p w:rsidR="00253873" w:rsidRPr="009C5ADA" w:rsidRDefault="00253873" w:rsidP="00253873">
            <w:pPr>
              <w:jc w:val="center"/>
              <w:rPr>
                <w:sz w:val="22"/>
                <w:szCs w:val="22"/>
              </w:rPr>
            </w:pPr>
            <w:r w:rsidRPr="009C5ADA">
              <w:rPr>
                <w:sz w:val="22"/>
                <w:szCs w:val="22"/>
              </w:rPr>
              <w:t>PTE of VOC (TPY)</w:t>
            </w:r>
          </w:p>
        </w:tc>
        <w:tc>
          <w:tcPr>
            <w:tcW w:w="1885" w:type="dxa"/>
            <w:shd w:val="clear" w:color="auto" w:fill="D9D9D9" w:themeFill="background1" w:themeFillShade="D9"/>
          </w:tcPr>
          <w:p w:rsidR="00253873" w:rsidRPr="009C5ADA" w:rsidRDefault="00253873" w:rsidP="00253873">
            <w:pPr>
              <w:jc w:val="center"/>
              <w:rPr>
                <w:sz w:val="22"/>
                <w:szCs w:val="22"/>
              </w:rPr>
            </w:pPr>
            <w:r w:rsidRPr="009C5ADA">
              <w:rPr>
                <w:sz w:val="22"/>
                <w:szCs w:val="22"/>
              </w:rPr>
              <w:t>Presumptive</w:t>
            </w:r>
            <w:r w:rsidRPr="009C5ADA">
              <w:rPr>
                <w:sz w:val="22"/>
                <w:szCs w:val="22"/>
              </w:rPr>
              <w:br/>
              <w:t>RACT (VOC)</w:t>
            </w:r>
          </w:p>
        </w:tc>
      </w:tr>
      <w:tr w:rsidR="00D9682A" w:rsidRPr="009C5ADA" w:rsidTr="0030140C">
        <w:tc>
          <w:tcPr>
            <w:tcW w:w="892" w:type="dxa"/>
            <w:shd w:val="clear" w:color="auto" w:fill="auto"/>
            <w:vAlign w:val="center"/>
          </w:tcPr>
          <w:p w:rsidR="00D9682A" w:rsidRPr="009C5ADA" w:rsidRDefault="00D9682A" w:rsidP="00D9682A">
            <w:pPr>
              <w:jc w:val="center"/>
              <w:rPr>
                <w:sz w:val="22"/>
                <w:szCs w:val="22"/>
              </w:rPr>
            </w:pPr>
            <w:r w:rsidRPr="009C5ADA">
              <w:rPr>
                <w:sz w:val="22"/>
                <w:szCs w:val="22"/>
              </w:rPr>
              <w:t>035</w:t>
            </w:r>
          </w:p>
        </w:tc>
        <w:tc>
          <w:tcPr>
            <w:tcW w:w="3428" w:type="dxa"/>
            <w:shd w:val="clear" w:color="auto" w:fill="auto"/>
            <w:vAlign w:val="center"/>
          </w:tcPr>
          <w:p w:rsidR="00D9682A" w:rsidRPr="009C5ADA" w:rsidRDefault="00D9682A" w:rsidP="00D9682A">
            <w:pPr>
              <w:jc w:val="center"/>
              <w:rPr>
                <w:sz w:val="22"/>
                <w:szCs w:val="22"/>
              </w:rPr>
            </w:pPr>
            <w:r w:rsidRPr="009C5ADA">
              <w:rPr>
                <w:sz w:val="22"/>
                <w:szCs w:val="22"/>
              </w:rPr>
              <w:t>Arc Build Boiler #1</w:t>
            </w:r>
          </w:p>
        </w:tc>
        <w:tc>
          <w:tcPr>
            <w:tcW w:w="1800" w:type="dxa"/>
            <w:shd w:val="clear" w:color="auto" w:fill="auto"/>
            <w:vAlign w:val="center"/>
          </w:tcPr>
          <w:p w:rsidR="00D9682A" w:rsidRPr="009C5ADA" w:rsidRDefault="00D9682A" w:rsidP="00D9682A">
            <w:pPr>
              <w:jc w:val="center"/>
              <w:rPr>
                <w:sz w:val="22"/>
                <w:szCs w:val="22"/>
              </w:rPr>
            </w:pPr>
            <w:r w:rsidRPr="009C5ADA">
              <w:rPr>
                <w:sz w:val="22"/>
                <w:szCs w:val="22"/>
              </w:rPr>
              <w:t>6.3</w:t>
            </w:r>
          </w:p>
        </w:tc>
        <w:tc>
          <w:tcPr>
            <w:tcW w:w="1890" w:type="dxa"/>
          </w:tcPr>
          <w:p w:rsidR="00D9682A" w:rsidRPr="009C5ADA" w:rsidRDefault="00D9682A" w:rsidP="00D9682A">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D9682A" w:rsidRPr="009C5ADA" w:rsidRDefault="00D9682A" w:rsidP="00D9682A">
            <w:pPr>
              <w:jc w:val="center"/>
              <w:rPr>
                <w:sz w:val="22"/>
                <w:szCs w:val="22"/>
              </w:rPr>
            </w:pPr>
            <w:r w:rsidRPr="009C5ADA">
              <w:rPr>
                <w:sz w:val="22"/>
                <w:szCs w:val="22"/>
              </w:rPr>
              <w:t>AP-42</w:t>
            </w:r>
            <w:r w:rsidR="0030140C" w:rsidRPr="009C5ADA">
              <w:rPr>
                <w:sz w:val="22"/>
                <w:szCs w:val="22"/>
                <w:vertAlign w:val="superscript"/>
              </w:rPr>
              <w:t>2</w:t>
            </w:r>
          </w:p>
        </w:tc>
        <w:tc>
          <w:tcPr>
            <w:tcW w:w="1530" w:type="dxa"/>
            <w:vAlign w:val="center"/>
          </w:tcPr>
          <w:p w:rsidR="00D9682A" w:rsidRPr="009C5ADA" w:rsidRDefault="00D9682A" w:rsidP="00D9682A">
            <w:pPr>
              <w:jc w:val="center"/>
              <w:rPr>
                <w:sz w:val="22"/>
                <w:szCs w:val="22"/>
              </w:rPr>
            </w:pPr>
            <w:r w:rsidRPr="009C5ADA">
              <w:rPr>
                <w:sz w:val="22"/>
                <w:szCs w:val="22"/>
              </w:rPr>
              <w:t>0.2</w:t>
            </w:r>
          </w:p>
        </w:tc>
        <w:tc>
          <w:tcPr>
            <w:tcW w:w="1885" w:type="dxa"/>
            <w:vAlign w:val="center"/>
          </w:tcPr>
          <w:p w:rsidR="00D9682A" w:rsidRPr="009C5ADA" w:rsidRDefault="00D9682A" w:rsidP="00D9682A">
            <w:pPr>
              <w:jc w:val="center"/>
              <w:rPr>
                <w:sz w:val="22"/>
                <w:szCs w:val="22"/>
              </w:rPr>
            </w:pPr>
            <w:r w:rsidRPr="009C5ADA">
              <w:rPr>
                <w:sz w:val="22"/>
                <w:szCs w:val="22"/>
              </w:rPr>
              <w:t>Exempt</w:t>
            </w:r>
            <w:r w:rsidR="0030140C" w:rsidRPr="009C5ADA">
              <w:rPr>
                <w:sz w:val="22"/>
                <w:szCs w:val="22"/>
                <w:vertAlign w:val="superscript"/>
              </w:rPr>
              <w:t>3</w:t>
            </w:r>
          </w:p>
        </w:tc>
      </w:tr>
      <w:tr w:rsidR="0030140C" w:rsidRPr="009C5ADA" w:rsidTr="0030140C">
        <w:tc>
          <w:tcPr>
            <w:tcW w:w="892" w:type="dxa"/>
            <w:shd w:val="clear" w:color="auto" w:fill="auto"/>
            <w:vAlign w:val="center"/>
          </w:tcPr>
          <w:p w:rsidR="0030140C" w:rsidRPr="009C5ADA" w:rsidRDefault="0030140C" w:rsidP="0030140C">
            <w:pPr>
              <w:jc w:val="center"/>
              <w:rPr>
                <w:sz w:val="22"/>
                <w:szCs w:val="22"/>
              </w:rPr>
            </w:pPr>
            <w:r w:rsidRPr="009C5ADA">
              <w:rPr>
                <w:sz w:val="22"/>
                <w:szCs w:val="22"/>
              </w:rPr>
              <w:t>035</w:t>
            </w:r>
          </w:p>
        </w:tc>
        <w:tc>
          <w:tcPr>
            <w:tcW w:w="3428" w:type="dxa"/>
            <w:shd w:val="clear" w:color="auto" w:fill="auto"/>
            <w:vAlign w:val="center"/>
          </w:tcPr>
          <w:p w:rsidR="0030140C" w:rsidRPr="009C5ADA" w:rsidRDefault="0030140C" w:rsidP="0030140C">
            <w:pPr>
              <w:jc w:val="center"/>
              <w:rPr>
                <w:sz w:val="22"/>
                <w:szCs w:val="22"/>
              </w:rPr>
            </w:pPr>
            <w:r w:rsidRPr="009C5ADA">
              <w:rPr>
                <w:sz w:val="22"/>
                <w:szCs w:val="22"/>
              </w:rPr>
              <w:t>Arc Build Boiler #2</w:t>
            </w:r>
          </w:p>
        </w:tc>
        <w:tc>
          <w:tcPr>
            <w:tcW w:w="1800" w:type="dxa"/>
            <w:shd w:val="clear" w:color="auto" w:fill="auto"/>
            <w:vAlign w:val="center"/>
          </w:tcPr>
          <w:p w:rsidR="0030140C" w:rsidRPr="009C5ADA" w:rsidRDefault="0030140C" w:rsidP="0030140C">
            <w:pPr>
              <w:jc w:val="center"/>
              <w:rPr>
                <w:sz w:val="22"/>
                <w:szCs w:val="22"/>
              </w:rPr>
            </w:pPr>
            <w:r w:rsidRPr="009C5ADA">
              <w:rPr>
                <w:sz w:val="22"/>
                <w:szCs w:val="22"/>
              </w:rPr>
              <w:t>6.3</w:t>
            </w:r>
          </w:p>
        </w:tc>
        <w:tc>
          <w:tcPr>
            <w:tcW w:w="1890" w:type="dxa"/>
          </w:tcPr>
          <w:p w:rsidR="0030140C" w:rsidRPr="009C5ADA" w:rsidRDefault="0030140C" w:rsidP="0030140C">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30140C" w:rsidRPr="009C5ADA" w:rsidRDefault="0030140C" w:rsidP="0030140C">
            <w:pPr>
              <w:jc w:val="center"/>
              <w:rPr>
                <w:sz w:val="22"/>
                <w:szCs w:val="22"/>
              </w:rPr>
            </w:pPr>
            <w:r w:rsidRPr="009C5ADA">
              <w:rPr>
                <w:sz w:val="22"/>
                <w:szCs w:val="22"/>
              </w:rPr>
              <w:t>AP-42</w:t>
            </w:r>
            <w:r w:rsidRPr="009C5ADA">
              <w:rPr>
                <w:sz w:val="22"/>
                <w:szCs w:val="22"/>
                <w:vertAlign w:val="superscript"/>
              </w:rPr>
              <w:t>2</w:t>
            </w:r>
          </w:p>
        </w:tc>
        <w:tc>
          <w:tcPr>
            <w:tcW w:w="1530" w:type="dxa"/>
            <w:vAlign w:val="center"/>
          </w:tcPr>
          <w:p w:rsidR="0030140C" w:rsidRPr="009C5ADA" w:rsidRDefault="0030140C" w:rsidP="0030140C">
            <w:pPr>
              <w:jc w:val="center"/>
              <w:rPr>
                <w:sz w:val="22"/>
                <w:szCs w:val="22"/>
              </w:rPr>
            </w:pPr>
            <w:r w:rsidRPr="009C5ADA">
              <w:rPr>
                <w:sz w:val="22"/>
                <w:szCs w:val="22"/>
              </w:rPr>
              <w:t>0.2</w:t>
            </w:r>
          </w:p>
        </w:tc>
        <w:tc>
          <w:tcPr>
            <w:tcW w:w="1885" w:type="dxa"/>
            <w:vAlign w:val="center"/>
          </w:tcPr>
          <w:p w:rsidR="0030140C" w:rsidRPr="009C5ADA" w:rsidRDefault="0030140C" w:rsidP="0030140C">
            <w:pPr>
              <w:jc w:val="center"/>
              <w:rPr>
                <w:sz w:val="22"/>
                <w:szCs w:val="22"/>
              </w:rPr>
            </w:pPr>
            <w:r w:rsidRPr="009C5ADA">
              <w:rPr>
                <w:sz w:val="22"/>
                <w:szCs w:val="22"/>
              </w:rPr>
              <w:t>Exempt</w:t>
            </w:r>
          </w:p>
        </w:tc>
      </w:tr>
      <w:tr w:rsidR="0030140C" w:rsidRPr="009C5ADA" w:rsidTr="00EE1249">
        <w:tc>
          <w:tcPr>
            <w:tcW w:w="892" w:type="dxa"/>
            <w:shd w:val="clear" w:color="auto" w:fill="auto"/>
            <w:vAlign w:val="center"/>
          </w:tcPr>
          <w:p w:rsidR="0030140C" w:rsidRPr="009C5ADA" w:rsidRDefault="0030140C" w:rsidP="0030140C">
            <w:pPr>
              <w:jc w:val="center"/>
              <w:rPr>
                <w:sz w:val="22"/>
                <w:szCs w:val="22"/>
              </w:rPr>
            </w:pPr>
            <w:r w:rsidRPr="009C5ADA">
              <w:rPr>
                <w:sz w:val="22"/>
                <w:szCs w:val="22"/>
              </w:rPr>
              <w:t>183</w:t>
            </w:r>
          </w:p>
        </w:tc>
        <w:tc>
          <w:tcPr>
            <w:tcW w:w="3428" w:type="dxa"/>
            <w:shd w:val="clear" w:color="auto" w:fill="auto"/>
            <w:vAlign w:val="center"/>
          </w:tcPr>
          <w:p w:rsidR="0030140C" w:rsidRPr="009C5ADA" w:rsidRDefault="0030140C" w:rsidP="0030140C">
            <w:pPr>
              <w:jc w:val="center"/>
              <w:rPr>
                <w:sz w:val="22"/>
                <w:szCs w:val="22"/>
              </w:rPr>
            </w:pPr>
            <w:proofErr w:type="spellStart"/>
            <w:r w:rsidRPr="009C5ADA">
              <w:rPr>
                <w:sz w:val="22"/>
                <w:szCs w:val="22"/>
              </w:rPr>
              <w:t>Misc</w:t>
            </w:r>
            <w:proofErr w:type="spellEnd"/>
            <w:r w:rsidRPr="009C5ADA">
              <w:rPr>
                <w:sz w:val="22"/>
                <w:szCs w:val="22"/>
              </w:rPr>
              <w:t xml:space="preserve"> - ICA Ladle Preheater (Lg)</w:t>
            </w:r>
          </w:p>
        </w:tc>
        <w:tc>
          <w:tcPr>
            <w:tcW w:w="1800" w:type="dxa"/>
            <w:shd w:val="clear" w:color="auto" w:fill="auto"/>
            <w:vAlign w:val="center"/>
          </w:tcPr>
          <w:p w:rsidR="0030140C" w:rsidRPr="009C5ADA" w:rsidRDefault="0030140C" w:rsidP="0030140C">
            <w:pPr>
              <w:jc w:val="center"/>
              <w:rPr>
                <w:sz w:val="22"/>
                <w:szCs w:val="22"/>
              </w:rPr>
            </w:pPr>
            <w:r w:rsidRPr="009C5ADA">
              <w:rPr>
                <w:sz w:val="22"/>
                <w:szCs w:val="22"/>
              </w:rPr>
              <w:t>9.5</w:t>
            </w:r>
          </w:p>
        </w:tc>
        <w:tc>
          <w:tcPr>
            <w:tcW w:w="1890" w:type="dxa"/>
          </w:tcPr>
          <w:p w:rsidR="0030140C" w:rsidRPr="009C5ADA" w:rsidRDefault="0030140C" w:rsidP="0030140C">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30140C" w:rsidRPr="009C5ADA" w:rsidRDefault="0030140C" w:rsidP="0030140C">
            <w:pPr>
              <w:jc w:val="center"/>
              <w:rPr>
                <w:sz w:val="22"/>
                <w:szCs w:val="22"/>
              </w:rPr>
            </w:pPr>
            <w:r w:rsidRPr="009C5ADA">
              <w:rPr>
                <w:sz w:val="22"/>
                <w:szCs w:val="22"/>
              </w:rPr>
              <w:t>AP-42</w:t>
            </w:r>
            <w:r w:rsidRPr="009C5ADA">
              <w:rPr>
                <w:sz w:val="22"/>
                <w:szCs w:val="22"/>
                <w:vertAlign w:val="superscript"/>
              </w:rPr>
              <w:t>2</w:t>
            </w:r>
          </w:p>
        </w:tc>
        <w:tc>
          <w:tcPr>
            <w:tcW w:w="1530" w:type="dxa"/>
            <w:vAlign w:val="center"/>
          </w:tcPr>
          <w:p w:rsidR="0030140C" w:rsidRPr="009C5ADA" w:rsidRDefault="0030140C" w:rsidP="0030140C">
            <w:pPr>
              <w:jc w:val="center"/>
              <w:rPr>
                <w:sz w:val="22"/>
                <w:szCs w:val="22"/>
              </w:rPr>
            </w:pPr>
            <w:r w:rsidRPr="009C5ADA">
              <w:rPr>
                <w:sz w:val="22"/>
                <w:szCs w:val="22"/>
              </w:rPr>
              <w:t>0.2</w:t>
            </w:r>
          </w:p>
        </w:tc>
        <w:tc>
          <w:tcPr>
            <w:tcW w:w="1885" w:type="dxa"/>
            <w:vAlign w:val="center"/>
          </w:tcPr>
          <w:p w:rsidR="0030140C" w:rsidRPr="009C5ADA" w:rsidRDefault="0030140C" w:rsidP="0030140C">
            <w:pPr>
              <w:jc w:val="center"/>
              <w:rPr>
                <w:sz w:val="22"/>
                <w:szCs w:val="22"/>
              </w:rPr>
            </w:pPr>
            <w:r w:rsidRPr="009C5ADA">
              <w:rPr>
                <w:sz w:val="22"/>
                <w:szCs w:val="22"/>
              </w:rPr>
              <w:t>Exempt</w:t>
            </w:r>
          </w:p>
        </w:tc>
      </w:tr>
      <w:tr w:rsidR="0030140C" w:rsidRPr="009C5ADA" w:rsidTr="00EE1249">
        <w:tc>
          <w:tcPr>
            <w:tcW w:w="892" w:type="dxa"/>
            <w:shd w:val="clear" w:color="auto" w:fill="auto"/>
            <w:vAlign w:val="center"/>
          </w:tcPr>
          <w:p w:rsidR="0030140C" w:rsidRPr="009C5ADA" w:rsidRDefault="0030140C" w:rsidP="0030140C">
            <w:pPr>
              <w:jc w:val="center"/>
              <w:rPr>
                <w:sz w:val="22"/>
                <w:szCs w:val="22"/>
              </w:rPr>
            </w:pPr>
            <w:r w:rsidRPr="009C5ADA">
              <w:rPr>
                <w:sz w:val="22"/>
                <w:szCs w:val="22"/>
              </w:rPr>
              <w:t>183</w:t>
            </w:r>
          </w:p>
        </w:tc>
        <w:tc>
          <w:tcPr>
            <w:tcW w:w="3428" w:type="dxa"/>
            <w:shd w:val="clear" w:color="auto" w:fill="auto"/>
            <w:vAlign w:val="center"/>
          </w:tcPr>
          <w:p w:rsidR="0030140C" w:rsidRPr="009C5ADA" w:rsidRDefault="0030140C" w:rsidP="0030140C">
            <w:pPr>
              <w:jc w:val="center"/>
              <w:rPr>
                <w:sz w:val="22"/>
                <w:szCs w:val="22"/>
              </w:rPr>
            </w:pPr>
            <w:proofErr w:type="spellStart"/>
            <w:r w:rsidRPr="009C5ADA">
              <w:rPr>
                <w:sz w:val="22"/>
                <w:szCs w:val="22"/>
              </w:rPr>
              <w:t>Misc</w:t>
            </w:r>
            <w:proofErr w:type="spellEnd"/>
            <w:r w:rsidRPr="009C5ADA">
              <w:rPr>
                <w:sz w:val="22"/>
                <w:szCs w:val="22"/>
              </w:rPr>
              <w:t xml:space="preserve"> - ICA Ladle Preheater (</w:t>
            </w:r>
            <w:proofErr w:type="spellStart"/>
            <w:r w:rsidRPr="009C5ADA">
              <w:rPr>
                <w:sz w:val="22"/>
                <w:szCs w:val="22"/>
              </w:rPr>
              <w:t>Sm</w:t>
            </w:r>
            <w:proofErr w:type="spellEnd"/>
            <w:r w:rsidRPr="009C5ADA">
              <w:rPr>
                <w:sz w:val="22"/>
                <w:szCs w:val="22"/>
              </w:rPr>
              <w:t>)</w:t>
            </w:r>
          </w:p>
        </w:tc>
        <w:tc>
          <w:tcPr>
            <w:tcW w:w="1800" w:type="dxa"/>
            <w:shd w:val="clear" w:color="auto" w:fill="auto"/>
            <w:vAlign w:val="center"/>
          </w:tcPr>
          <w:p w:rsidR="0030140C" w:rsidRPr="009C5ADA" w:rsidRDefault="0030140C" w:rsidP="0030140C">
            <w:pPr>
              <w:jc w:val="center"/>
              <w:rPr>
                <w:sz w:val="22"/>
                <w:szCs w:val="22"/>
              </w:rPr>
            </w:pPr>
            <w:r w:rsidRPr="009C5ADA">
              <w:rPr>
                <w:sz w:val="22"/>
                <w:szCs w:val="22"/>
              </w:rPr>
              <w:t>3.8</w:t>
            </w:r>
          </w:p>
        </w:tc>
        <w:tc>
          <w:tcPr>
            <w:tcW w:w="1890" w:type="dxa"/>
          </w:tcPr>
          <w:p w:rsidR="0030140C" w:rsidRPr="009C5ADA" w:rsidRDefault="0030140C" w:rsidP="0030140C">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30140C" w:rsidRPr="009C5ADA" w:rsidRDefault="0030140C" w:rsidP="0030140C">
            <w:pPr>
              <w:jc w:val="center"/>
              <w:rPr>
                <w:sz w:val="22"/>
                <w:szCs w:val="22"/>
              </w:rPr>
            </w:pPr>
            <w:r w:rsidRPr="009C5ADA">
              <w:rPr>
                <w:sz w:val="22"/>
                <w:szCs w:val="22"/>
              </w:rPr>
              <w:t>AP-42</w:t>
            </w:r>
            <w:r w:rsidRPr="009C5ADA">
              <w:rPr>
                <w:sz w:val="22"/>
                <w:szCs w:val="22"/>
                <w:vertAlign w:val="superscript"/>
              </w:rPr>
              <w:t>2</w:t>
            </w:r>
          </w:p>
        </w:tc>
        <w:tc>
          <w:tcPr>
            <w:tcW w:w="1530" w:type="dxa"/>
            <w:vAlign w:val="center"/>
          </w:tcPr>
          <w:p w:rsidR="0030140C" w:rsidRPr="009C5ADA" w:rsidRDefault="0030140C" w:rsidP="0030140C">
            <w:pPr>
              <w:jc w:val="center"/>
              <w:rPr>
                <w:sz w:val="22"/>
                <w:szCs w:val="22"/>
              </w:rPr>
            </w:pPr>
            <w:r w:rsidRPr="009C5ADA">
              <w:rPr>
                <w:sz w:val="22"/>
                <w:szCs w:val="22"/>
              </w:rPr>
              <w:t>0.1</w:t>
            </w:r>
          </w:p>
        </w:tc>
        <w:tc>
          <w:tcPr>
            <w:tcW w:w="1885" w:type="dxa"/>
            <w:vAlign w:val="center"/>
          </w:tcPr>
          <w:p w:rsidR="0030140C" w:rsidRPr="009C5ADA" w:rsidRDefault="0030140C" w:rsidP="0030140C">
            <w:pPr>
              <w:jc w:val="center"/>
              <w:rPr>
                <w:sz w:val="22"/>
                <w:szCs w:val="22"/>
              </w:rPr>
            </w:pPr>
            <w:r w:rsidRPr="009C5ADA">
              <w:rPr>
                <w:sz w:val="22"/>
                <w:szCs w:val="22"/>
              </w:rPr>
              <w:t>Exempt</w:t>
            </w:r>
          </w:p>
        </w:tc>
      </w:tr>
      <w:tr w:rsidR="0030140C" w:rsidRPr="009C5ADA" w:rsidTr="00EE1249">
        <w:tc>
          <w:tcPr>
            <w:tcW w:w="892" w:type="dxa"/>
            <w:shd w:val="clear" w:color="auto" w:fill="auto"/>
            <w:vAlign w:val="center"/>
          </w:tcPr>
          <w:p w:rsidR="0030140C" w:rsidRPr="009C5ADA" w:rsidRDefault="0030140C" w:rsidP="0030140C">
            <w:pPr>
              <w:jc w:val="center"/>
              <w:rPr>
                <w:sz w:val="22"/>
                <w:szCs w:val="22"/>
              </w:rPr>
            </w:pPr>
            <w:r w:rsidRPr="009C5ADA">
              <w:rPr>
                <w:sz w:val="22"/>
                <w:szCs w:val="22"/>
              </w:rPr>
              <w:t>190</w:t>
            </w:r>
          </w:p>
        </w:tc>
        <w:tc>
          <w:tcPr>
            <w:tcW w:w="3428" w:type="dxa"/>
            <w:shd w:val="clear" w:color="auto" w:fill="auto"/>
            <w:vAlign w:val="center"/>
          </w:tcPr>
          <w:p w:rsidR="0030140C" w:rsidRPr="009C5ADA" w:rsidRDefault="0030140C" w:rsidP="0030140C">
            <w:pPr>
              <w:jc w:val="center"/>
              <w:rPr>
                <w:sz w:val="22"/>
                <w:szCs w:val="22"/>
              </w:rPr>
            </w:pPr>
            <w:r w:rsidRPr="009C5ADA">
              <w:rPr>
                <w:sz w:val="22"/>
                <w:szCs w:val="22"/>
              </w:rPr>
              <w:t>Bickley Furnace</w:t>
            </w:r>
          </w:p>
        </w:tc>
        <w:tc>
          <w:tcPr>
            <w:tcW w:w="1800" w:type="dxa"/>
            <w:shd w:val="clear" w:color="auto" w:fill="auto"/>
            <w:vAlign w:val="center"/>
          </w:tcPr>
          <w:p w:rsidR="0030140C" w:rsidRPr="009C5ADA" w:rsidRDefault="0030140C" w:rsidP="0030140C">
            <w:pPr>
              <w:jc w:val="center"/>
              <w:rPr>
                <w:sz w:val="22"/>
                <w:szCs w:val="22"/>
              </w:rPr>
            </w:pPr>
            <w:r w:rsidRPr="009C5ADA">
              <w:rPr>
                <w:sz w:val="22"/>
                <w:szCs w:val="22"/>
              </w:rPr>
              <w:t>6.2</w:t>
            </w:r>
          </w:p>
        </w:tc>
        <w:tc>
          <w:tcPr>
            <w:tcW w:w="1890" w:type="dxa"/>
          </w:tcPr>
          <w:p w:rsidR="0030140C" w:rsidRPr="009C5ADA" w:rsidRDefault="0030140C" w:rsidP="0030140C">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30140C" w:rsidRPr="009C5ADA" w:rsidRDefault="0030140C" w:rsidP="0030140C">
            <w:pPr>
              <w:jc w:val="center"/>
              <w:rPr>
                <w:sz w:val="22"/>
                <w:szCs w:val="22"/>
              </w:rPr>
            </w:pPr>
            <w:r w:rsidRPr="009C5ADA">
              <w:rPr>
                <w:sz w:val="22"/>
                <w:szCs w:val="22"/>
              </w:rPr>
              <w:t>AP-42</w:t>
            </w:r>
            <w:r w:rsidRPr="009C5ADA">
              <w:rPr>
                <w:sz w:val="22"/>
                <w:szCs w:val="22"/>
                <w:vertAlign w:val="superscript"/>
              </w:rPr>
              <w:t>2</w:t>
            </w:r>
          </w:p>
        </w:tc>
        <w:tc>
          <w:tcPr>
            <w:tcW w:w="1530" w:type="dxa"/>
            <w:vAlign w:val="center"/>
          </w:tcPr>
          <w:p w:rsidR="0030140C" w:rsidRPr="009C5ADA" w:rsidRDefault="0030140C" w:rsidP="0030140C">
            <w:pPr>
              <w:jc w:val="center"/>
              <w:rPr>
                <w:sz w:val="22"/>
                <w:szCs w:val="22"/>
              </w:rPr>
            </w:pPr>
            <w:r w:rsidRPr="009C5ADA">
              <w:rPr>
                <w:sz w:val="22"/>
                <w:szCs w:val="22"/>
              </w:rPr>
              <w:t>0.2</w:t>
            </w:r>
          </w:p>
        </w:tc>
        <w:tc>
          <w:tcPr>
            <w:tcW w:w="1885" w:type="dxa"/>
            <w:vAlign w:val="center"/>
          </w:tcPr>
          <w:p w:rsidR="0030140C" w:rsidRPr="009C5ADA" w:rsidRDefault="0030140C" w:rsidP="0030140C">
            <w:pPr>
              <w:jc w:val="center"/>
              <w:rPr>
                <w:sz w:val="22"/>
                <w:szCs w:val="22"/>
              </w:rPr>
            </w:pPr>
            <w:r w:rsidRPr="009C5ADA">
              <w:rPr>
                <w:sz w:val="22"/>
                <w:szCs w:val="22"/>
              </w:rPr>
              <w:t>Exempt</w:t>
            </w:r>
          </w:p>
        </w:tc>
      </w:tr>
      <w:tr w:rsidR="0030140C" w:rsidRPr="009C5ADA" w:rsidTr="00EE1249">
        <w:tc>
          <w:tcPr>
            <w:tcW w:w="892" w:type="dxa"/>
            <w:shd w:val="clear" w:color="auto" w:fill="auto"/>
            <w:vAlign w:val="center"/>
          </w:tcPr>
          <w:p w:rsidR="0030140C" w:rsidRPr="009C5ADA" w:rsidRDefault="0030140C" w:rsidP="0030140C">
            <w:pPr>
              <w:jc w:val="center"/>
              <w:rPr>
                <w:sz w:val="22"/>
                <w:szCs w:val="22"/>
              </w:rPr>
            </w:pPr>
            <w:r w:rsidRPr="009C5ADA">
              <w:rPr>
                <w:sz w:val="22"/>
                <w:szCs w:val="22"/>
              </w:rPr>
              <w:t>192</w:t>
            </w:r>
          </w:p>
        </w:tc>
        <w:tc>
          <w:tcPr>
            <w:tcW w:w="3428" w:type="dxa"/>
            <w:shd w:val="clear" w:color="auto" w:fill="auto"/>
            <w:vAlign w:val="center"/>
          </w:tcPr>
          <w:p w:rsidR="0030140C" w:rsidRPr="009C5ADA" w:rsidRDefault="0030140C" w:rsidP="0030140C">
            <w:pPr>
              <w:jc w:val="center"/>
              <w:rPr>
                <w:sz w:val="22"/>
                <w:szCs w:val="22"/>
              </w:rPr>
            </w:pPr>
            <w:r w:rsidRPr="009C5ADA">
              <w:rPr>
                <w:sz w:val="22"/>
                <w:szCs w:val="22"/>
              </w:rPr>
              <w:t>140M Sauder Furnace</w:t>
            </w:r>
          </w:p>
        </w:tc>
        <w:tc>
          <w:tcPr>
            <w:tcW w:w="1800" w:type="dxa"/>
            <w:shd w:val="clear" w:color="auto" w:fill="auto"/>
            <w:vAlign w:val="center"/>
          </w:tcPr>
          <w:p w:rsidR="0030140C" w:rsidRPr="009C5ADA" w:rsidRDefault="0030140C" w:rsidP="0030140C">
            <w:pPr>
              <w:jc w:val="center"/>
              <w:rPr>
                <w:sz w:val="22"/>
                <w:szCs w:val="22"/>
              </w:rPr>
            </w:pPr>
            <w:r w:rsidRPr="009C5ADA">
              <w:rPr>
                <w:sz w:val="22"/>
                <w:szCs w:val="22"/>
              </w:rPr>
              <w:t>8.2</w:t>
            </w:r>
          </w:p>
        </w:tc>
        <w:tc>
          <w:tcPr>
            <w:tcW w:w="1890" w:type="dxa"/>
          </w:tcPr>
          <w:p w:rsidR="0030140C" w:rsidRPr="009C5ADA" w:rsidRDefault="0030140C" w:rsidP="0030140C">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30140C" w:rsidRPr="009C5ADA" w:rsidRDefault="0030140C" w:rsidP="0030140C">
            <w:pPr>
              <w:jc w:val="center"/>
              <w:rPr>
                <w:sz w:val="22"/>
                <w:szCs w:val="22"/>
              </w:rPr>
            </w:pPr>
            <w:r w:rsidRPr="009C5ADA">
              <w:rPr>
                <w:sz w:val="22"/>
                <w:szCs w:val="22"/>
              </w:rPr>
              <w:t>AP-42</w:t>
            </w:r>
            <w:r w:rsidRPr="009C5ADA">
              <w:rPr>
                <w:sz w:val="22"/>
                <w:szCs w:val="22"/>
                <w:vertAlign w:val="superscript"/>
              </w:rPr>
              <w:t>2</w:t>
            </w:r>
          </w:p>
        </w:tc>
        <w:tc>
          <w:tcPr>
            <w:tcW w:w="1530" w:type="dxa"/>
            <w:vAlign w:val="center"/>
          </w:tcPr>
          <w:p w:rsidR="0030140C" w:rsidRPr="009C5ADA" w:rsidRDefault="0030140C" w:rsidP="0030140C">
            <w:pPr>
              <w:jc w:val="center"/>
              <w:rPr>
                <w:sz w:val="22"/>
                <w:szCs w:val="22"/>
              </w:rPr>
            </w:pPr>
            <w:r w:rsidRPr="009C5ADA">
              <w:rPr>
                <w:sz w:val="22"/>
                <w:szCs w:val="22"/>
              </w:rPr>
              <w:t>0.2</w:t>
            </w:r>
          </w:p>
        </w:tc>
        <w:tc>
          <w:tcPr>
            <w:tcW w:w="1885" w:type="dxa"/>
            <w:vAlign w:val="center"/>
          </w:tcPr>
          <w:p w:rsidR="0030140C" w:rsidRPr="009C5ADA" w:rsidRDefault="0030140C" w:rsidP="0030140C">
            <w:pPr>
              <w:jc w:val="center"/>
              <w:rPr>
                <w:sz w:val="22"/>
                <w:szCs w:val="22"/>
              </w:rPr>
            </w:pPr>
            <w:r w:rsidRPr="009C5ADA">
              <w:rPr>
                <w:sz w:val="22"/>
                <w:szCs w:val="22"/>
              </w:rPr>
              <w:t>Exempt</w:t>
            </w:r>
          </w:p>
        </w:tc>
      </w:tr>
      <w:tr w:rsidR="00253873" w:rsidRPr="009C5ADA" w:rsidTr="0030140C">
        <w:tc>
          <w:tcPr>
            <w:tcW w:w="892" w:type="dxa"/>
            <w:shd w:val="clear" w:color="auto" w:fill="auto"/>
            <w:vAlign w:val="center"/>
          </w:tcPr>
          <w:p w:rsidR="00253873" w:rsidRPr="009C5ADA" w:rsidRDefault="00253873" w:rsidP="00253873">
            <w:pPr>
              <w:jc w:val="center"/>
              <w:rPr>
                <w:sz w:val="22"/>
                <w:szCs w:val="22"/>
                <w:highlight w:val="yellow"/>
              </w:rPr>
            </w:pPr>
            <w:r w:rsidRPr="00C008FD">
              <w:rPr>
                <w:sz w:val="22"/>
                <w:szCs w:val="22"/>
              </w:rPr>
              <w:t>211</w:t>
            </w:r>
          </w:p>
        </w:tc>
        <w:tc>
          <w:tcPr>
            <w:tcW w:w="3428" w:type="dxa"/>
            <w:shd w:val="clear" w:color="auto" w:fill="auto"/>
            <w:vAlign w:val="center"/>
          </w:tcPr>
          <w:p w:rsidR="00253873" w:rsidRPr="009C5ADA" w:rsidRDefault="00253873" w:rsidP="00253873">
            <w:pPr>
              <w:jc w:val="center"/>
              <w:rPr>
                <w:sz w:val="22"/>
                <w:szCs w:val="22"/>
              </w:rPr>
            </w:pPr>
            <w:r w:rsidRPr="009C5ADA">
              <w:rPr>
                <w:sz w:val="22"/>
                <w:szCs w:val="22"/>
              </w:rPr>
              <w:t>Parts Washer</w:t>
            </w:r>
          </w:p>
        </w:tc>
        <w:tc>
          <w:tcPr>
            <w:tcW w:w="1800" w:type="dxa"/>
            <w:shd w:val="clear" w:color="auto" w:fill="auto"/>
            <w:vAlign w:val="center"/>
          </w:tcPr>
          <w:p w:rsidR="00253873" w:rsidRPr="009C5ADA" w:rsidRDefault="001567A5" w:rsidP="00253873">
            <w:pPr>
              <w:jc w:val="center"/>
              <w:rPr>
                <w:sz w:val="22"/>
                <w:szCs w:val="22"/>
              </w:rPr>
            </w:pPr>
            <w:r>
              <w:rPr>
                <w:sz w:val="22"/>
                <w:szCs w:val="22"/>
              </w:rPr>
              <w:t>N/A</w:t>
            </w:r>
          </w:p>
        </w:tc>
        <w:tc>
          <w:tcPr>
            <w:tcW w:w="1890" w:type="dxa"/>
          </w:tcPr>
          <w:p w:rsidR="00253873" w:rsidRPr="009C5ADA" w:rsidRDefault="00C008FD" w:rsidP="00253873">
            <w:pPr>
              <w:jc w:val="center"/>
              <w:rPr>
                <w:sz w:val="22"/>
                <w:szCs w:val="22"/>
              </w:rPr>
            </w:pPr>
            <w:r>
              <w:rPr>
                <w:sz w:val="22"/>
                <w:szCs w:val="22"/>
              </w:rPr>
              <w:t>Mass Balance</w:t>
            </w:r>
          </w:p>
        </w:tc>
        <w:tc>
          <w:tcPr>
            <w:tcW w:w="1607" w:type="dxa"/>
            <w:shd w:val="clear" w:color="auto" w:fill="auto"/>
            <w:vAlign w:val="center"/>
          </w:tcPr>
          <w:p w:rsidR="00253873" w:rsidRPr="009C5ADA" w:rsidRDefault="00C008FD" w:rsidP="00253873">
            <w:pPr>
              <w:jc w:val="center"/>
              <w:rPr>
                <w:sz w:val="22"/>
                <w:szCs w:val="22"/>
              </w:rPr>
            </w:pPr>
            <w:r>
              <w:rPr>
                <w:sz w:val="22"/>
                <w:szCs w:val="22"/>
              </w:rPr>
              <w:t>N/A</w:t>
            </w:r>
          </w:p>
        </w:tc>
        <w:tc>
          <w:tcPr>
            <w:tcW w:w="1530" w:type="dxa"/>
            <w:shd w:val="clear" w:color="auto" w:fill="auto"/>
            <w:vAlign w:val="center"/>
          </w:tcPr>
          <w:p w:rsidR="00253873" w:rsidRPr="009C5ADA" w:rsidRDefault="00C008FD" w:rsidP="00253873">
            <w:pPr>
              <w:jc w:val="center"/>
              <w:rPr>
                <w:sz w:val="22"/>
                <w:szCs w:val="22"/>
              </w:rPr>
            </w:pPr>
            <w:r>
              <w:rPr>
                <w:sz w:val="22"/>
                <w:szCs w:val="22"/>
              </w:rPr>
              <w:t>2.7</w:t>
            </w:r>
          </w:p>
        </w:tc>
        <w:tc>
          <w:tcPr>
            <w:tcW w:w="1885" w:type="dxa"/>
            <w:shd w:val="clear" w:color="auto" w:fill="auto"/>
            <w:vAlign w:val="center"/>
          </w:tcPr>
          <w:p w:rsidR="00253873" w:rsidRPr="00C008FD" w:rsidRDefault="00C008FD" w:rsidP="00253873">
            <w:pPr>
              <w:jc w:val="center"/>
              <w:rPr>
                <w:sz w:val="22"/>
                <w:szCs w:val="22"/>
                <w:vertAlign w:val="superscript"/>
              </w:rPr>
            </w:pPr>
            <w:r>
              <w:rPr>
                <w:sz w:val="22"/>
                <w:szCs w:val="22"/>
              </w:rPr>
              <w:t xml:space="preserve"> </w:t>
            </w:r>
            <w:r w:rsidR="00253873" w:rsidRPr="009C5ADA">
              <w:rPr>
                <w:sz w:val="22"/>
                <w:szCs w:val="22"/>
              </w:rPr>
              <w:t>129.63(a)</w:t>
            </w:r>
            <w:r>
              <w:rPr>
                <w:sz w:val="22"/>
                <w:szCs w:val="22"/>
                <w:vertAlign w:val="superscript"/>
              </w:rPr>
              <w:t>4</w:t>
            </w:r>
          </w:p>
        </w:tc>
      </w:tr>
      <w:tr w:rsidR="0030140C" w:rsidRPr="009C5ADA" w:rsidTr="00EE1249">
        <w:tc>
          <w:tcPr>
            <w:tcW w:w="892" w:type="dxa"/>
            <w:shd w:val="clear" w:color="auto" w:fill="auto"/>
            <w:vAlign w:val="center"/>
          </w:tcPr>
          <w:p w:rsidR="0030140C" w:rsidRPr="009C5ADA" w:rsidRDefault="0030140C" w:rsidP="0030140C">
            <w:pPr>
              <w:jc w:val="center"/>
              <w:rPr>
                <w:sz w:val="22"/>
                <w:szCs w:val="22"/>
              </w:rPr>
            </w:pPr>
            <w:r w:rsidRPr="009C5ADA">
              <w:rPr>
                <w:sz w:val="22"/>
                <w:szCs w:val="22"/>
              </w:rPr>
              <w:t>229</w:t>
            </w:r>
          </w:p>
        </w:tc>
        <w:tc>
          <w:tcPr>
            <w:tcW w:w="3428" w:type="dxa"/>
            <w:shd w:val="clear" w:color="auto" w:fill="auto"/>
            <w:vAlign w:val="center"/>
          </w:tcPr>
          <w:p w:rsidR="0030140C" w:rsidRPr="009C5ADA" w:rsidRDefault="0030140C" w:rsidP="0030140C">
            <w:pPr>
              <w:jc w:val="center"/>
              <w:rPr>
                <w:sz w:val="22"/>
                <w:szCs w:val="22"/>
              </w:rPr>
            </w:pPr>
            <w:r w:rsidRPr="009C5ADA">
              <w:rPr>
                <w:sz w:val="22"/>
                <w:szCs w:val="22"/>
              </w:rPr>
              <w:t>Ladle Pre-heater #1</w:t>
            </w:r>
          </w:p>
        </w:tc>
        <w:tc>
          <w:tcPr>
            <w:tcW w:w="1800" w:type="dxa"/>
            <w:shd w:val="clear" w:color="auto" w:fill="auto"/>
            <w:vAlign w:val="center"/>
          </w:tcPr>
          <w:p w:rsidR="0030140C" w:rsidRPr="009C5ADA" w:rsidRDefault="0030140C" w:rsidP="0030140C">
            <w:pPr>
              <w:jc w:val="center"/>
              <w:rPr>
                <w:sz w:val="22"/>
                <w:szCs w:val="22"/>
              </w:rPr>
            </w:pPr>
            <w:r w:rsidRPr="009C5ADA">
              <w:rPr>
                <w:sz w:val="22"/>
                <w:szCs w:val="22"/>
              </w:rPr>
              <w:t>10.0</w:t>
            </w:r>
          </w:p>
        </w:tc>
        <w:tc>
          <w:tcPr>
            <w:tcW w:w="1890" w:type="dxa"/>
          </w:tcPr>
          <w:p w:rsidR="0030140C" w:rsidRPr="009C5ADA" w:rsidRDefault="0030140C" w:rsidP="0030140C">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30140C" w:rsidRPr="009C5ADA" w:rsidRDefault="0030140C" w:rsidP="0030140C">
            <w:pPr>
              <w:jc w:val="center"/>
              <w:rPr>
                <w:sz w:val="22"/>
                <w:szCs w:val="22"/>
              </w:rPr>
            </w:pPr>
            <w:r w:rsidRPr="009C5ADA">
              <w:rPr>
                <w:sz w:val="22"/>
                <w:szCs w:val="22"/>
              </w:rPr>
              <w:t>AP-42</w:t>
            </w:r>
            <w:r w:rsidRPr="009C5ADA">
              <w:rPr>
                <w:sz w:val="22"/>
                <w:szCs w:val="22"/>
                <w:vertAlign w:val="superscript"/>
              </w:rPr>
              <w:t>2</w:t>
            </w:r>
          </w:p>
        </w:tc>
        <w:tc>
          <w:tcPr>
            <w:tcW w:w="1530" w:type="dxa"/>
            <w:vAlign w:val="center"/>
          </w:tcPr>
          <w:p w:rsidR="0030140C" w:rsidRPr="009C5ADA" w:rsidRDefault="0030140C" w:rsidP="0030140C">
            <w:pPr>
              <w:jc w:val="center"/>
              <w:rPr>
                <w:sz w:val="22"/>
                <w:szCs w:val="22"/>
              </w:rPr>
            </w:pPr>
            <w:r w:rsidRPr="009C5ADA">
              <w:rPr>
                <w:sz w:val="22"/>
                <w:szCs w:val="22"/>
              </w:rPr>
              <w:t>0.3</w:t>
            </w:r>
          </w:p>
        </w:tc>
        <w:tc>
          <w:tcPr>
            <w:tcW w:w="1885" w:type="dxa"/>
            <w:vAlign w:val="center"/>
          </w:tcPr>
          <w:p w:rsidR="0030140C" w:rsidRPr="009C5ADA" w:rsidRDefault="0030140C" w:rsidP="0030140C">
            <w:pPr>
              <w:jc w:val="center"/>
              <w:rPr>
                <w:sz w:val="22"/>
                <w:szCs w:val="22"/>
              </w:rPr>
            </w:pPr>
            <w:r w:rsidRPr="009C5ADA">
              <w:rPr>
                <w:sz w:val="22"/>
                <w:szCs w:val="22"/>
              </w:rPr>
              <w:t>Exempt</w:t>
            </w:r>
          </w:p>
        </w:tc>
      </w:tr>
      <w:tr w:rsidR="0030140C" w:rsidRPr="009C5ADA" w:rsidTr="00EE1249">
        <w:tc>
          <w:tcPr>
            <w:tcW w:w="892" w:type="dxa"/>
            <w:shd w:val="clear" w:color="auto" w:fill="auto"/>
            <w:vAlign w:val="center"/>
          </w:tcPr>
          <w:p w:rsidR="0030140C" w:rsidRPr="009C5ADA" w:rsidRDefault="0030140C" w:rsidP="0030140C">
            <w:pPr>
              <w:jc w:val="center"/>
              <w:rPr>
                <w:sz w:val="22"/>
                <w:szCs w:val="22"/>
              </w:rPr>
            </w:pPr>
            <w:r w:rsidRPr="009C5ADA">
              <w:rPr>
                <w:sz w:val="22"/>
                <w:szCs w:val="22"/>
              </w:rPr>
              <w:t>229A</w:t>
            </w:r>
          </w:p>
        </w:tc>
        <w:tc>
          <w:tcPr>
            <w:tcW w:w="3428" w:type="dxa"/>
            <w:shd w:val="clear" w:color="auto" w:fill="auto"/>
            <w:vAlign w:val="center"/>
          </w:tcPr>
          <w:p w:rsidR="0030140C" w:rsidRPr="009C5ADA" w:rsidRDefault="0030140C" w:rsidP="0030140C">
            <w:pPr>
              <w:jc w:val="center"/>
              <w:rPr>
                <w:sz w:val="22"/>
                <w:szCs w:val="22"/>
              </w:rPr>
            </w:pPr>
            <w:r w:rsidRPr="009C5ADA">
              <w:rPr>
                <w:sz w:val="22"/>
                <w:szCs w:val="22"/>
              </w:rPr>
              <w:t>Ladle Pre-heater #4</w:t>
            </w:r>
          </w:p>
        </w:tc>
        <w:tc>
          <w:tcPr>
            <w:tcW w:w="1800" w:type="dxa"/>
            <w:shd w:val="clear" w:color="auto" w:fill="auto"/>
            <w:vAlign w:val="center"/>
          </w:tcPr>
          <w:p w:rsidR="0030140C" w:rsidRPr="009C5ADA" w:rsidRDefault="0030140C" w:rsidP="0030140C">
            <w:pPr>
              <w:jc w:val="center"/>
              <w:rPr>
                <w:sz w:val="22"/>
                <w:szCs w:val="22"/>
              </w:rPr>
            </w:pPr>
            <w:r w:rsidRPr="009C5ADA">
              <w:rPr>
                <w:sz w:val="22"/>
                <w:szCs w:val="22"/>
              </w:rPr>
              <w:t>12.0</w:t>
            </w:r>
          </w:p>
        </w:tc>
        <w:tc>
          <w:tcPr>
            <w:tcW w:w="1890" w:type="dxa"/>
          </w:tcPr>
          <w:p w:rsidR="0030140C" w:rsidRPr="009C5ADA" w:rsidRDefault="0030140C" w:rsidP="0030140C">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30140C" w:rsidRPr="009C5ADA" w:rsidRDefault="0030140C" w:rsidP="0030140C">
            <w:pPr>
              <w:jc w:val="center"/>
              <w:rPr>
                <w:sz w:val="22"/>
                <w:szCs w:val="22"/>
              </w:rPr>
            </w:pPr>
            <w:r w:rsidRPr="009C5ADA">
              <w:rPr>
                <w:sz w:val="22"/>
                <w:szCs w:val="22"/>
              </w:rPr>
              <w:t>AP-42</w:t>
            </w:r>
            <w:r w:rsidRPr="009C5ADA">
              <w:rPr>
                <w:sz w:val="22"/>
                <w:szCs w:val="22"/>
                <w:vertAlign w:val="superscript"/>
              </w:rPr>
              <w:t>2</w:t>
            </w:r>
          </w:p>
        </w:tc>
        <w:tc>
          <w:tcPr>
            <w:tcW w:w="1530" w:type="dxa"/>
            <w:vAlign w:val="center"/>
          </w:tcPr>
          <w:p w:rsidR="0030140C" w:rsidRPr="009C5ADA" w:rsidRDefault="0030140C" w:rsidP="0030140C">
            <w:pPr>
              <w:jc w:val="center"/>
              <w:rPr>
                <w:sz w:val="22"/>
                <w:szCs w:val="22"/>
              </w:rPr>
            </w:pPr>
            <w:r w:rsidRPr="009C5ADA">
              <w:rPr>
                <w:sz w:val="22"/>
                <w:szCs w:val="22"/>
              </w:rPr>
              <w:t>0.3</w:t>
            </w:r>
          </w:p>
        </w:tc>
        <w:tc>
          <w:tcPr>
            <w:tcW w:w="1885" w:type="dxa"/>
            <w:vAlign w:val="center"/>
          </w:tcPr>
          <w:p w:rsidR="0030140C" w:rsidRPr="009C5ADA" w:rsidRDefault="0030140C" w:rsidP="0030140C">
            <w:pPr>
              <w:jc w:val="center"/>
              <w:rPr>
                <w:sz w:val="22"/>
                <w:szCs w:val="22"/>
              </w:rPr>
            </w:pPr>
            <w:r w:rsidRPr="009C5ADA">
              <w:rPr>
                <w:sz w:val="22"/>
                <w:szCs w:val="22"/>
              </w:rPr>
              <w:t>Exempt</w:t>
            </w:r>
          </w:p>
        </w:tc>
      </w:tr>
      <w:tr w:rsidR="00FE1492" w:rsidRPr="009C5ADA" w:rsidTr="00EE1249">
        <w:tc>
          <w:tcPr>
            <w:tcW w:w="892" w:type="dxa"/>
            <w:shd w:val="clear" w:color="auto" w:fill="auto"/>
            <w:vAlign w:val="center"/>
          </w:tcPr>
          <w:p w:rsidR="00FE1492" w:rsidRPr="009C5ADA" w:rsidRDefault="00FE1492" w:rsidP="00FE1492">
            <w:pPr>
              <w:jc w:val="center"/>
              <w:rPr>
                <w:sz w:val="22"/>
                <w:szCs w:val="22"/>
              </w:rPr>
            </w:pPr>
            <w:r w:rsidRPr="009C5ADA">
              <w:rPr>
                <w:sz w:val="22"/>
                <w:szCs w:val="22"/>
              </w:rPr>
              <w:t>229</w:t>
            </w:r>
            <w:r>
              <w:rPr>
                <w:sz w:val="22"/>
                <w:szCs w:val="22"/>
              </w:rPr>
              <w:t>B</w:t>
            </w:r>
          </w:p>
        </w:tc>
        <w:tc>
          <w:tcPr>
            <w:tcW w:w="3428" w:type="dxa"/>
            <w:shd w:val="clear" w:color="auto" w:fill="auto"/>
            <w:vAlign w:val="center"/>
          </w:tcPr>
          <w:p w:rsidR="00FE1492" w:rsidRPr="009C5ADA" w:rsidRDefault="00FE1492" w:rsidP="00FE1492">
            <w:pPr>
              <w:jc w:val="center"/>
              <w:rPr>
                <w:sz w:val="22"/>
                <w:szCs w:val="22"/>
              </w:rPr>
            </w:pPr>
            <w:r w:rsidRPr="009C5ADA">
              <w:rPr>
                <w:sz w:val="22"/>
                <w:szCs w:val="22"/>
              </w:rPr>
              <w:t>Ladle Pre-heater #2</w:t>
            </w:r>
          </w:p>
        </w:tc>
        <w:tc>
          <w:tcPr>
            <w:tcW w:w="1800" w:type="dxa"/>
            <w:shd w:val="clear" w:color="auto" w:fill="auto"/>
            <w:vAlign w:val="center"/>
          </w:tcPr>
          <w:p w:rsidR="00FE1492" w:rsidRPr="009C5ADA" w:rsidRDefault="00FE1492" w:rsidP="00FE1492">
            <w:pPr>
              <w:jc w:val="center"/>
              <w:rPr>
                <w:sz w:val="22"/>
                <w:szCs w:val="22"/>
              </w:rPr>
            </w:pPr>
            <w:r w:rsidRPr="009C5ADA">
              <w:rPr>
                <w:sz w:val="22"/>
                <w:szCs w:val="22"/>
              </w:rPr>
              <w:t>12.0</w:t>
            </w:r>
          </w:p>
        </w:tc>
        <w:tc>
          <w:tcPr>
            <w:tcW w:w="1890" w:type="dxa"/>
          </w:tcPr>
          <w:p w:rsidR="00FE1492" w:rsidRPr="009C5ADA" w:rsidRDefault="00FE1492" w:rsidP="00FE1492">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FE1492" w:rsidRPr="009C5ADA" w:rsidRDefault="00FE1492" w:rsidP="00FE1492">
            <w:pPr>
              <w:jc w:val="center"/>
              <w:rPr>
                <w:sz w:val="22"/>
                <w:szCs w:val="22"/>
              </w:rPr>
            </w:pPr>
            <w:r w:rsidRPr="009C5ADA">
              <w:rPr>
                <w:sz w:val="22"/>
                <w:szCs w:val="22"/>
              </w:rPr>
              <w:t>AP-42</w:t>
            </w:r>
            <w:r w:rsidRPr="009C5ADA">
              <w:rPr>
                <w:sz w:val="22"/>
                <w:szCs w:val="22"/>
                <w:vertAlign w:val="superscript"/>
              </w:rPr>
              <w:t>2</w:t>
            </w:r>
          </w:p>
        </w:tc>
        <w:tc>
          <w:tcPr>
            <w:tcW w:w="1530" w:type="dxa"/>
            <w:vAlign w:val="center"/>
          </w:tcPr>
          <w:p w:rsidR="00FE1492" w:rsidRPr="009C5ADA" w:rsidRDefault="00FE1492" w:rsidP="00FE1492">
            <w:pPr>
              <w:jc w:val="center"/>
              <w:rPr>
                <w:sz w:val="22"/>
                <w:szCs w:val="22"/>
              </w:rPr>
            </w:pPr>
            <w:r w:rsidRPr="009C5ADA">
              <w:rPr>
                <w:sz w:val="22"/>
                <w:szCs w:val="22"/>
              </w:rPr>
              <w:t>0.3</w:t>
            </w:r>
          </w:p>
        </w:tc>
        <w:tc>
          <w:tcPr>
            <w:tcW w:w="1885" w:type="dxa"/>
            <w:vAlign w:val="center"/>
          </w:tcPr>
          <w:p w:rsidR="00FE1492" w:rsidRPr="009C5ADA" w:rsidRDefault="00FE1492" w:rsidP="00FE1492">
            <w:pPr>
              <w:jc w:val="center"/>
              <w:rPr>
                <w:sz w:val="22"/>
                <w:szCs w:val="22"/>
              </w:rPr>
            </w:pPr>
            <w:r w:rsidRPr="009C5ADA">
              <w:rPr>
                <w:sz w:val="22"/>
                <w:szCs w:val="22"/>
              </w:rPr>
              <w:t>Exempt</w:t>
            </w:r>
          </w:p>
        </w:tc>
      </w:tr>
      <w:tr w:rsidR="00FE1492" w:rsidRPr="009C5ADA" w:rsidTr="00EE1249">
        <w:tc>
          <w:tcPr>
            <w:tcW w:w="892" w:type="dxa"/>
            <w:shd w:val="clear" w:color="auto" w:fill="auto"/>
            <w:vAlign w:val="center"/>
          </w:tcPr>
          <w:p w:rsidR="00FE1492" w:rsidRPr="009C5ADA" w:rsidRDefault="00FE1492" w:rsidP="00FE1492">
            <w:pPr>
              <w:jc w:val="center"/>
              <w:rPr>
                <w:sz w:val="22"/>
                <w:szCs w:val="22"/>
              </w:rPr>
            </w:pPr>
            <w:r w:rsidRPr="009C5ADA">
              <w:rPr>
                <w:sz w:val="22"/>
                <w:szCs w:val="22"/>
              </w:rPr>
              <w:t>229</w:t>
            </w:r>
            <w:r>
              <w:rPr>
                <w:sz w:val="22"/>
                <w:szCs w:val="22"/>
              </w:rPr>
              <w:t>B</w:t>
            </w:r>
          </w:p>
        </w:tc>
        <w:tc>
          <w:tcPr>
            <w:tcW w:w="3428" w:type="dxa"/>
            <w:shd w:val="clear" w:color="auto" w:fill="auto"/>
            <w:vAlign w:val="center"/>
          </w:tcPr>
          <w:p w:rsidR="00FE1492" w:rsidRPr="009C5ADA" w:rsidRDefault="00FE1492" w:rsidP="00FE1492">
            <w:pPr>
              <w:jc w:val="center"/>
              <w:rPr>
                <w:sz w:val="22"/>
                <w:szCs w:val="22"/>
              </w:rPr>
            </w:pPr>
            <w:r w:rsidRPr="009C5ADA">
              <w:rPr>
                <w:sz w:val="22"/>
                <w:szCs w:val="22"/>
              </w:rPr>
              <w:t>Ladle Pre-heater #3</w:t>
            </w:r>
          </w:p>
        </w:tc>
        <w:tc>
          <w:tcPr>
            <w:tcW w:w="1800" w:type="dxa"/>
            <w:shd w:val="clear" w:color="auto" w:fill="auto"/>
            <w:vAlign w:val="center"/>
          </w:tcPr>
          <w:p w:rsidR="00FE1492" w:rsidRPr="009C5ADA" w:rsidRDefault="00FE1492" w:rsidP="00FE1492">
            <w:pPr>
              <w:jc w:val="center"/>
              <w:rPr>
                <w:sz w:val="22"/>
                <w:szCs w:val="22"/>
              </w:rPr>
            </w:pPr>
            <w:r w:rsidRPr="009C5ADA">
              <w:rPr>
                <w:sz w:val="22"/>
                <w:szCs w:val="22"/>
              </w:rPr>
              <w:t>12.0</w:t>
            </w:r>
          </w:p>
        </w:tc>
        <w:tc>
          <w:tcPr>
            <w:tcW w:w="1890" w:type="dxa"/>
          </w:tcPr>
          <w:p w:rsidR="00FE1492" w:rsidRPr="009C5ADA" w:rsidRDefault="00FE1492" w:rsidP="00FE1492">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tcPr>
          <w:p w:rsidR="00FE1492" w:rsidRPr="009C5ADA" w:rsidRDefault="00FE1492" w:rsidP="00FE1492">
            <w:pPr>
              <w:jc w:val="center"/>
              <w:rPr>
                <w:sz w:val="22"/>
                <w:szCs w:val="22"/>
              </w:rPr>
            </w:pPr>
            <w:r w:rsidRPr="009C5ADA">
              <w:rPr>
                <w:sz w:val="22"/>
                <w:szCs w:val="22"/>
              </w:rPr>
              <w:t>AP-42</w:t>
            </w:r>
            <w:r w:rsidRPr="009C5ADA">
              <w:rPr>
                <w:sz w:val="22"/>
                <w:szCs w:val="22"/>
                <w:vertAlign w:val="superscript"/>
              </w:rPr>
              <w:t>2</w:t>
            </w:r>
          </w:p>
        </w:tc>
        <w:tc>
          <w:tcPr>
            <w:tcW w:w="1530" w:type="dxa"/>
            <w:vAlign w:val="center"/>
          </w:tcPr>
          <w:p w:rsidR="00FE1492" w:rsidRPr="009C5ADA" w:rsidRDefault="00FE1492" w:rsidP="00FE1492">
            <w:pPr>
              <w:jc w:val="center"/>
              <w:rPr>
                <w:sz w:val="22"/>
                <w:szCs w:val="22"/>
              </w:rPr>
            </w:pPr>
            <w:r w:rsidRPr="009C5ADA">
              <w:rPr>
                <w:sz w:val="22"/>
                <w:szCs w:val="22"/>
              </w:rPr>
              <w:t>0.3</w:t>
            </w:r>
          </w:p>
        </w:tc>
        <w:tc>
          <w:tcPr>
            <w:tcW w:w="1885" w:type="dxa"/>
            <w:vAlign w:val="center"/>
          </w:tcPr>
          <w:p w:rsidR="00FE1492" w:rsidRPr="009C5ADA" w:rsidRDefault="00FE1492" w:rsidP="00FE1492">
            <w:pPr>
              <w:jc w:val="center"/>
              <w:rPr>
                <w:sz w:val="22"/>
                <w:szCs w:val="22"/>
              </w:rPr>
            </w:pPr>
            <w:r w:rsidRPr="009C5ADA">
              <w:rPr>
                <w:sz w:val="22"/>
                <w:szCs w:val="22"/>
              </w:rPr>
              <w:t>Exempt</w:t>
            </w:r>
          </w:p>
        </w:tc>
      </w:tr>
      <w:tr w:rsidR="0030140C" w:rsidRPr="009C5ADA" w:rsidTr="0030140C">
        <w:tc>
          <w:tcPr>
            <w:tcW w:w="892" w:type="dxa"/>
            <w:shd w:val="clear" w:color="auto" w:fill="auto"/>
            <w:vAlign w:val="center"/>
          </w:tcPr>
          <w:p w:rsidR="0030140C" w:rsidRPr="009C5ADA" w:rsidRDefault="0030140C" w:rsidP="0030140C">
            <w:pPr>
              <w:jc w:val="center"/>
              <w:rPr>
                <w:sz w:val="22"/>
                <w:szCs w:val="22"/>
              </w:rPr>
            </w:pPr>
            <w:bookmarkStart w:id="18" w:name="_Hlk5865688"/>
            <w:r w:rsidRPr="009C5ADA">
              <w:rPr>
                <w:sz w:val="22"/>
                <w:szCs w:val="22"/>
              </w:rPr>
              <w:t>230</w:t>
            </w:r>
          </w:p>
        </w:tc>
        <w:tc>
          <w:tcPr>
            <w:tcW w:w="3428" w:type="dxa"/>
            <w:shd w:val="clear" w:color="auto" w:fill="auto"/>
            <w:vAlign w:val="center"/>
          </w:tcPr>
          <w:p w:rsidR="0030140C" w:rsidRPr="009C5ADA" w:rsidRDefault="0030140C" w:rsidP="0030140C">
            <w:pPr>
              <w:jc w:val="center"/>
              <w:rPr>
                <w:sz w:val="22"/>
                <w:szCs w:val="22"/>
              </w:rPr>
            </w:pPr>
            <w:r w:rsidRPr="009C5ADA">
              <w:rPr>
                <w:sz w:val="22"/>
                <w:szCs w:val="22"/>
              </w:rPr>
              <w:t xml:space="preserve">Vacuum Oxygen </w:t>
            </w:r>
            <w:r w:rsidRPr="009C5ADA">
              <w:rPr>
                <w:sz w:val="22"/>
                <w:szCs w:val="22"/>
              </w:rPr>
              <w:br/>
              <w:t>Decarburization (VOD)</w:t>
            </w:r>
          </w:p>
        </w:tc>
        <w:tc>
          <w:tcPr>
            <w:tcW w:w="1800" w:type="dxa"/>
            <w:shd w:val="clear" w:color="auto" w:fill="auto"/>
            <w:vAlign w:val="center"/>
          </w:tcPr>
          <w:p w:rsidR="0030140C" w:rsidRPr="009C5ADA" w:rsidRDefault="0030140C" w:rsidP="0030140C">
            <w:pPr>
              <w:jc w:val="center"/>
              <w:rPr>
                <w:sz w:val="22"/>
                <w:szCs w:val="22"/>
              </w:rPr>
            </w:pPr>
            <w:r w:rsidRPr="009C5ADA">
              <w:rPr>
                <w:sz w:val="22"/>
                <w:szCs w:val="22"/>
              </w:rPr>
              <w:t>8.7</w:t>
            </w:r>
          </w:p>
        </w:tc>
        <w:tc>
          <w:tcPr>
            <w:tcW w:w="1890" w:type="dxa"/>
            <w:vAlign w:val="center"/>
          </w:tcPr>
          <w:p w:rsidR="0030140C" w:rsidRPr="009C5ADA" w:rsidRDefault="0030140C" w:rsidP="0030140C">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vAlign w:val="center"/>
          </w:tcPr>
          <w:p w:rsidR="0030140C" w:rsidRPr="009C5ADA" w:rsidRDefault="0030140C" w:rsidP="0030140C">
            <w:pPr>
              <w:jc w:val="center"/>
              <w:rPr>
                <w:sz w:val="22"/>
                <w:szCs w:val="22"/>
              </w:rPr>
            </w:pPr>
            <w:r w:rsidRPr="009C5ADA">
              <w:rPr>
                <w:sz w:val="22"/>
                <w:szCs w:val="22"/>
              </w:rPr>
              <w:t>AP-42</w:t>
            </w:r>
            <w:r w:rsidRPr="009C5ADA">
              <w:rPr>
                <w:sz w:val="22"/>
                <w:szCs w:val="22"/>
                <w:vertAlign w:val="superscript"/>
              </w:rPr>
              <w:t>2</w:t>
            </w:r>
          </w:p>
        </w:tc>
        <w:tc>
          <w:tcPr>
            <w:tcW w:w="1530" w:type="dxa"/>
            <w:vAlign w:val="center"/>
          </w:tcPr>
          <w:p w:rsidR="0030140C" w:rsidRPr="009C5ADA" w:rsidRDefault="0030140C" w:rsidP="0030140C">
            <w:pPr>
              <w:jc w:val="center"/>
              <w:rPr>
                <w:sz w:val="22"/>
                <w:szCs w:val="22"/>
              </w:rPr>
            </w:pPr>
            <w:r w:rsidRPr="009C5ADA">
              <w:rPr>
                <w:sz w:val="22"/>
                <w:szCs w:val="22"/>
              </w:rPr>
              <w:t>0.2</w:t>
            </w:r>
          </w:p>
        </w:tc>
        <w:tc>
          <w:tcPr>
            <w:tcW w:w="1885" w:type="dxa"/>
            <w:vAlign w:val="center"/>
          </w:tcPr>
          <w:p w:rsidR="0030140C" w:rsidRPr="009C5ADA" w:rsidRDefault="0030140C" w:rsidP="0030140C">
            <w:pPr>
              <w:jc w:val="center"/>
              <w:rPr>
                <w:sz w:val="22"/>
                <w:szCs w:val="22"/>
              </w:rPr>
            </w:pPr>
            <w:r w:rsidRPr="009C5ADA">
              <w:rPr>
                <w:sz w:val="22"/>
                <w:szCs w:val="22"/>
              </w:rPr>
              <w:t>Exempt</w:t>
            </w:r>
          </w:p>
        </w:tc>
      </w:tr>
      <w:bookmarkEnd w:id="18"/>
      <w:tr w:rsidR="009C5ADA" w:rsidRPr="009C5ADA" w:rsidTr="00EE1249">
        <w:tc>
          <w:tcPr>
            <w:tcW w:w="892" w:type="dxa"/>
            <w:shd w:val="clear" w:color="auto" w:fill="auto"/>
            <w:vAlign w:val="center"/>
          </w:tcPr>
          <w:p w:rsidR="009C5ADA" w:rsidRPr="009C5ADA" w:rsidRDefault="009C5ADA" w:rsidP="009C5ADA">
            <w:pPr>
              <w:jc w:val="center"/>
              <w:rPr>
                <w:sz w:val="22"/>
                <w:szCs w:val="22"/>
              </w:rPr>
            </w:pPr>
            <w:r w:rsidRPr="009C5ADA">
              <w:rPr>
                <w:sz w:val="22"/>
                <w:szCs w:val="22"/>
              </w:rPr>
              <w:t>231</w:t>
            </w:r>
          </w:p>
        </w:tc>
        <w:tc>
          <w:tcPr>
            <w:tcW w:w="3428" w:type="dxa"/>
            <w:shd w:val="clear" w:color="auto" w:fill="auto"/>
            <w:vAlign w:val="center"/>
          </w:tcPr>
          <w:p w:rsidR="009C5ADA" w:rsidRPr="009C5ADA" w:rsidRDefault="009C5ADA" w:rsidP="009C5ADA">
            <w:pPr>
              <w:jc w:val="center"/>
              <w:rPr>
                <w:sz w:val="22"/>
                <w:szCs w:val="22"/>
              </w:rPr>
            </w:pPr>
            <w:r w:rsidRPr="009C5ADA">
              <w:rPr>
                <w:sz w:val="22"/>
                <w:szCs w:val="22"/>
              </w:rPr>
              <w:t>EMS Ladle Dryer/Pre-heater</w:t>
            </w:r>
          </w:p>
        </w:tc>
        <w:tc>
          <w:tcPr>
            <w:tcW w:w="1800" w:type="dxa"/>
            <w:shd w:val="clear" w:color="auto" w:fill="auto"/>
            <w:vAlign w:val="center"/>
          </w:tcPr>
          <w:p w:rsidR="009C5ADA" w:rsidRPr="009C5ADA" w:rsidRDefault="009C5ADA" w:rsidP="009C5ADA">
            <w:pPr>
              <w:jc w:val="center"/>
              <w:rPr>
                <w:sz w:val="22"/>
                <w:szCs w:val="22"/>
              </w:rPr>
            </w:pPr>
            <w:r w:rsidRPr="009C5ADA">
              <w:rPr>
                <w:sz w:val="22"/>
                <w:szCs w:val="22"/>
              </w:rPr>
              <w:t>10.3</w:t>
            </w:r>
          </w:p>
        </w:tc>
        <w:tc>
          <w:tcPr>
            <w:tcW w:w="1890" w:type="dxa"/>
            <w:vAlign w:val="center"/>
          </w:tcPr>
          <w:p w:rsidR="009C5ADA" w:rsidRPr="009C5ADA" w:rsidRDefault="009C5ADA" w:rsidP="009C5ADA">
            <w:pPr>
              <w:jc w:val="center"/>
              <w:rPr>
                <w:sz w:val="22"/>
                <w:szCs w:val="22"/>
              </w:rPr>
            </w:pPr>
            <w:r w:rsidRPr="009C5ADA">
              <w:rPr>
                <w:sz w:val="22"/>
                <w:szCs w:val="22"/>
              </w:rPr>
              <w:t xml:space="preserve">5.67 </w:t>
            </w:r>
            <w:proofErr w:type="spellStart"/>
            <w:r w:rsidRPr="009C5ADA">
              <w:rPr>
                <w:sz w:val="22"/>
                <w:szCs w:val="22"/>
              </w:rPr>
              <w:t>lb</w:t>
            </w:r>
            <w:proofErr w:type="spellEnd"/>
            <w:r w:rsidRPr="009C5ADA">
              <w:rPr>
                <w:sz w:val="22"/>
                <w:szCs w:val="22"/>
              </w:rPr>
              <w:t>/</w:t>
            </w:r>
            <w:proofErr w:type="spellStart"/>
            <w:r w:rsidRPr="009C5ADA">
              <w:rPr>
                <w:sz w:val="22"/>
                <w:szCs w:val="22"/>
              </w:rPr>
              <w:t>MMcf</w:t>
            </w:r>
            <w:proofErr w:type="spellEnd"/>
          </w:p>
        </w:tc>
        <w:tc>
          <w:tcPr>
            <w:tcW w:w="1607" w:type="dxa"/>
            <w:vAlign w:val="center"/>
          </w:tcPr>
          <w:p w:rsidR="009C5ADA" w:rsidRPr="009C5ADA" w:rsidRDefault="009C5ADA" w:rsidP="009C5ADA">
            <w:pPr>
              <w:jc w:val="center"/>
              <w:rPr>
                <w:sz w:val="22"/>
                <w:szCs w:val="22"/>
              </w:rPr>
            </w:pPr>
            <w:r w:rsidRPr="009C5ADA">
              <w:rPr>
                <w:sz w:val="22"/>
                <w:szCs w:val="22"/>
              </w:rPr>
              <w:t>AP-42</w:t>
            </w:r>
            <w:r w:rsidRPr="009C5ADA">
              <w:rPr>
                <w:sz w:val="22"/>
                <w:szCs w:val="22"/>
                <w:vertAlign w:val="superscript"/>
              </w:rPr>
              <w:t>2</w:t>
            </w:r>
          </w:p>
        </w:tc>
        <w:tc>
          <w:tcPr>
            <w:tcW w:w="1530" w:type="dxa"/>
            <w:vAlign w:val="center"/>
          </w:tcPr>
          <w:p w:rsidR="009C5ADA" w:rsidRPr="009C5ADA" w:rsidRDefault="009C5ADA" w:rsidP="009C5ADA">
            <w:pPr>
              <w:jc w:val="center"/>
              <w:rPr>
                <w:sz w:val="22"/>
                <w:szCs w:val="22"/>
              </w:rPr>
            </w:pPr>
            <w:r w:rsidRPr="009C5ADA">
              <w:rPr>
                <w:sz w:val="22"/>
                <w:szCs w:val="22"/>
              </w:rPr>
              <w:t>0.3</w:t>
            </w:r>
          </w:p>
        </w:tc>
        <w:tc>
          <w:tcPr>
            <w:tcW w:w="1885" w:type="dxa"/>
            <w:vAlign w:val="center"/>
          </w:tcPr>
          <w:p w:rsidR="009C5ADA" w:rsidRPr="009C5ADA" w:rsidRDefault="009C5ADA" w:rsidP="009C5ADA">
            <w:pPr>
              <w:jc w:val="center"/>
              <w:rPr>
                <w:sz w:val="22"/>
                <w:szCs w:val="22"/>
              </w:rPr>
            </w:pPr>
            <w:r w:rsidRPr="009C5ADA">
              <w:rPr>
                <w:sz w:val="22"/>
                <w:szCs w:val="22"/>
              </w:rPr>
              <w:t>Exempt</w:t>
            </w:r>
          </w:p>
        </w:tc>
      </w:tr>
      <w:tr w:rsidR="00253873" w:rsidRPr="009C5ADA" w:rsidTr="008852BF">
        <w:tc>
          <w:tcPr>
            <w:tcW w:w="892" w:type="dxa"/>
            <w:shd w:val="clear" w:color="auto" w:fill="auto"/>
            <w:vAlign w:val="center"/>
          </w:tcPr>
          <w:p w:rsidR="00253873" w:rsidRPr="009C5ADA" w:rsidRDefault="00253873" w:rsidP="00253873">
            <w:pPr>
              <w:jc w:val="center"/>
              <w:rPr>
                <w:sz w:val="22"/>
                <w:szCs w:val="22"/>
              </w:rPr>
            </w:pPr>
            <w:r w:rsidRPr="009C5ADA">
              <w:rPr>
                <w:sz w:val="22"/>
                <w:szCs w:val="22"/>
              </w:rPr>
              <w:t>249</w:t>
            </w:r>
          </w:p>
        </w:tc>
        <w:tc>
          <w:tcPr>
            <w:tcW w:w="3428" w:type="dxa"/>
            <w:shd w:val="clear" w:color="auto" w:fill="auto"/>
            <w:vAlign w:val="center"/>
          </w:tcPr>
          <w:p w:rsidR="00253873" w:rsidRPr="009C5ADA" w:rsidRDefault="00253873" w:rsidP="00253873">
            <w:pPr>
              <w:jc w:val="center"/>
              <w:rPr>
                <w:sz w:val="22"/>
                <w:szCs w:val="22"/>
              </w:rPr>
            </w:pPr>
            <w:r w:rsidRPr="009C5ADA">
              <w:rPr>
                <w:sz w:val="22"/>
                <w:szCs w:val="22"/>
              </w:rPr>
              <w:t>Surface Coating</w:t>
            </w:r>
          </w:p>
        </w:tc>
        <w:tc>
          <w:tcPr>
            <w:tcW w:w="1800" w:type="dxa"/>
            <w:shd w:val="clear" w:color="auto" w:fill="auto"/>
            <w:vAlign w:val="center"/>
          </w:tcPr>
          <w:p w:rsidR="00253873" w:rsidRPr="009C5ADA" w:rsidRDefault="00253873" w:rsidP="00253873">
            <w:pPr>
              <w:jc w:val="center"/>
              <w:rPr>
                <w:sz w:val="22"/>
                <w:szCs w:val="22"/>
              </w:rPr>
            </w:pPr>
            <w:r w:rsidRPr="009C5ADA">
              <w:rPr>
                <w:sz w:val="22"/>
                <w:szCs w:val="22"/>
              </w:rPr>
              <w:t>50 Gal/</w:t>
            </w:r>
            <w:proofErr w:type="spellStart"/>
            <w:r w:rsidRPr="009C5ADA">
              <w:rPr>
                <w:sz w:val="22"/>
                <w:szCs w:val="22"/>
              </w:rPr>
              <w:t>hr</w:t>
            </w:r>
            <w:proofErr w:type="spellEnd"/>
          </w:p>
        </w:tc>
        <w:tc>
          <w:tcPr>
            <w:tcW w:w="1890" w:type="dxa"/>
          </w:tcPr>
          <w:p w:rsidR="00253873" w:rsidRPr="009C5ADA" w:rsidRDefault="00C008FD" w:rsidP="00253873">
            <w:pPr>
              <w:jc w:val="center"/>
              <w:rPr>
                <w:sz w:val="22"/>
                <w:szCs w:val="22"/>
              </w:rPr>
            </w:pPr>
            <w:r>
              <w:rPr>
                <w:sz w:val="22"/>
                <w:szCs w:val="22"/>
              </w:rPr>
              <w:t>Mass Balance</w:t>
            </w:r>
          </w:p>
        </w:tc>
        <w:tc>
          <w:tcPr>
            <w:tcW w:w="1607" w:type="dxa"/>
            <w:vAlign w:val="center"/>
          </w:tcPr>
          <w:p w:rsidR="00253873" w:rsidRPr="009C5ADA" w:rsidRDefault="00C008FD" w:rsidP="00253873">
            <w:pPr>
              <w:jc w:val="center"/>
              <w:rPr>
                <w:sz w:val="22"/>
                <w:szCs w:val="22"/>
              </w:rPr>
            </w:pPr>
            <w:r>
              <w:rPr>
                <w:sz w:val="22"/>
                <w:szCs w:val="22"/>
              </w:rPr>
              <w:t>N/A</w:t>
            </w:r>
          </w:p>
        </w:tc>
        <w:tc>
          <w:tcPr>
            <w:tcW w:w="1530" w:type="dxa"/>
            <w:shd w:val="clear" w:color="auto" w:fill="auto"/>
            <w:vAlign w:val="center"/>
          </w:tcPr>
          <w:p w:rsidR="00253873" w:rsidRPr="009C5ADA" w:rsidRDefault="00D93D17" w:rsidP="00253873">
            <w:pPr>
              <w:jc w:val="center"/>
              <w:rPr>
                <w:sz w:val="22"/>
                <w:szCs w:val="22"/>
              </w:rPr>
            </w:pPr>
            <w:r w:rsidRPr="008852BF">
              <w:rPr>
                <w:sz w:val="22"/>
                <w:szCs w:val="22"/>
              </w:rPr>
              <w:t>2.89</w:t>
            </w:r>
          </w:p>
        </w:tc>
        <w:tc>
          <w:tcPr>
            <w:tcW w:w="1885" w:type="dxa"/>
            <w:vAlign w:val="center"/>
          </w:tcPr>
          <w:p w:rsidR="00253873" w:rsidRPr="009C5ADA" w:rsidRDefault="00C008FD" w:rsidP="00253873">
            <w:pPr>
              <w:jc w:val="center"/>
              <w:rPr>
                <w:sz w:val="22"/>
                <w:szCs w:val="22"/>
                <w:vertAlign w:val="superscript"/>
              </w:rPr>
            </w:pPr>
            <w:r>
              <w:rPr>
                <w:sz w:val="22"/>
                <w:szCs w:val="22"/>
              </w:rPr>
              <w:t xml:space="preserve">  </w:t>
            </w:r>
            <w:r w:rsidR="00253873" w:rsidRPr="009C5ADA">
              <w:rPr>
                <w:sz w:val="22"/>
                <w:szCs w:val="22"/>
              </w:rPr>
              <w:t>129.52</w:t>
            </w:r>
            <w:r>
              <w:rPr>
                <w:sz w:val="22"/>
                <w:szCs w:val="22"/>
                <w:vertAlign w:val="superscript"/>
              </w:rPr>
              <w:t>4,5</w:t>
            </w:r>
          </w:p>
        </w:tc>
      </w:tr>
      <w:tr w:rsidR="000D5210" w:rsidRPr="009C5ADA" w:rsidTr="0030140C">
        <w:tc>
          <w:tcPr>
            <w:tcW w:w="892" w:type="dxa"/>
            <w:shd w:val="clear" w:color="auto" w:fill="auto"/>
            <w:vAlign w:val="center"/>
          </w:tcPr>
          <w:p w:rsidR="000D5210" w:rsidRPr="009C5ADA" w:rsidRDefault="000D5210" w:rsidP="000D5210">
            <w:pPr>
              <w:jc w:val="center"/>
              <w:rPr>
                <w:sz w:val="22"/>
                <w:szCs w:val="22"/>
              </w:rPr>
            </w:pPr>
            <w:r w:rsidRPr="009C5ADA">
              <w:rPr>
                <w:sz w:val="22"/>
                <w:szCs w:val="22"/>
              </w:rPr>
              <w:t>768</w:t>
            </w:r>
          </w:p>
        </w:tc>
        <w:tc>
          <w:tcPr>
            <w:tcW w:w="3428" w:type="dxa"/>
            <w:shd w:val="clear" w:color="auto" w:fill="auto"/>
            <w:vAlign w:val="center"/>
          </w:tcPr>
          <w:p w:rsidR="000D5210" w:rsidRPr="009C5ADA" w:rsidRDefault="000D5210" w:rsidP="000D5210">
            <w:pPr>
              <w:jc w:val="center"/>
              <w:rPr>
                <w:sz w:val="22"/>
                <w:szCs w:val="22"/>
              </w:rPr>
            </w:pPr>
            <w:r w:rsidRPr="009C5ADA">
              <w:rPr>
                <w:sz w:val="22"/>
                <w:szCs w:val="22"/>
              </w:rPr>
              <w:t>Emer Pump/Generator</w:t>
            </w:r>
          </w:p>
        </w:tc>
        <w:tc>
          <w:tcPr>
            <w:tcW w:w="1800" w:type="dxa"/>
            <w:shd w:val="clear" w:color="auto" w:fill="auto"/>
            <w:vAlign w:val="center"/>
          </w:tcPr>
          <w:p w:rsidR="000D5210" w:rsidRPr="00C008FD" w:rsidRDefault="000D5210" w:rsidP="000D5210">
            <w:pPr>
              <w:ind w:left="720" w:hanging="720"/>
              <w:jc w:val="center"/>
              <w:rPr>
                <w:sz w:val="22"/>
                <w:szCs w:val="22"/>
                <w:vertAlign w:val="superscript"/>
              </w:rPr>
            </w:pPr>
            <w:r w:rsidRPr="00C008FD">
              <w:rPr>
                <w:sz w:val="22"/>
                <w:szCs w:val="22"/>
              </w:rPr>
              <w:t xml:space="preserve"> 3.05</w:t>
            </w:r>
            <w:r w:rsidR="00C008FD" w:rsidRPr="00C008FD">
              <w:rPr>
                <w:sz w:val="22"/>
                <w:szCs w:val="22"/>
                <w:vertAlign w:val="superscript"/>
              </w:rPr>
              <w:t>7</w:t>
            </w:r>
          </w:p>
        </w:tc>
        <w:tc>
          <w:tcPr>
            <w:tcW w:w="1890" w:type="dxa"/>
          </w:tcPr>
          <w:p w:rsidR="000D5210" w:rsidRPr="009C5ADA" w:rsidRDefault="009C5ADA" w:rsidP="000D5210">
            <w:pPr>
              <w:jc w:val="center"/>
              <w:rPr>
                <w:sz w:val="22"/>
                <w:szCs w:val="22"/>
              </w:rPr>
            </w:pPr>
            <w:r w:rsidRPr="009C5ADA">
              <w:rPr>
                <w:sz w:val="22"/>
                <w:szCs w:val="22"/>
              </w:rPr>
              <w:t xml:space="preserve">0.082 </w:t>
            </w:r>
            <w:proofErr w:type="spellStart"/>
            <w:r w:rsidRPr="009C5ADA">
              <w:rPr>
                <w:sz w:val="22"/>
                <w:szCs w:val="22"/>
              </w:rPr>
              <w:t>lb</w:t>
            </w:r>
            <w:proofErr w:type="spellEnd"/>
            <w:r w:rsidRPr="009C5ADA">
              <w:rPr>
                <w:sz w:val="22"/>
                <w:szCs w:val="22"/>
              </w:rPr>
              <w:t>/MMBtu</w:t>
            </w:r>
          </w:p>
        </w:tc>
        <w:tc>
          <w:tcPr>
            <w:tcW w:w="1607" w:type="dxa"/>
            <w:shd w:val="clear" w:color="auto" w:fill="auto"/>
            <w:vAlign w:val="center"/>
          </w:tcPr>
          <w:p w:rsidR="000D5210" w:rsidRPr="009C5ADA" w:rsidRDefault="009C5ADA" w:rsidP="000D5210">
            <w:pPr>
              <w:jc w:val="center"/>
              <w:rPr>
                <w:sz w:val="22"/>
                <w:szCs w:val="22"/>
                <w:vertAlign w:val="superscript"/>
              </w:rPr>
            </w:pPr>
            <w:r w:rsidRPr="009C5ADA">
              <w:rPr>
                <w:sz w:val="22"/>
                <w:szCs w:val="22"/>
              </w:rPr>
              <w:t>AP-42</w:t>
            </w:r>
          </w:p>
        </w:tc>
        <w:tc>
          <w:tcPr>
            <w:tcW w:w="1530" w:type="dxa"/>
            <w:vAlign w:val="center"/>
          </w:tcPr>
          <w:p w:rsidR="000D5210" w:rsidRPr="009C5ADA" w:rsidRDefault="000D5210" w:rsidP="000D5210">
            <w:pPr>
              <w:jc w:val="center"/>
              <w:rPr>
                <w:sz w:val="22"/>
                <w:szCs w:val="22"/>
                <w:vertAlign w:val="superscript"/>
              </w:rPr>
            </w:pPr>
            <w:r w:rsidRPr="009C5ADA">
              <w:rPr>
                <w:sz w:val="22"/>
                <w:szCs w:val="22"/>
              </w:rPr>
              <w:t>0.0</w:t>
            </w:r>
            <w:r w:rsidR="009C5ADA" w:rsidRPr="009C5ADA">
              <w:rPr>
                <w:sz w:val="22"/>
                <w:szCs w:val="22"/>
              </w:rPr>
              <w:t>6</w:t>
            </w:r>
          </w:p>
        </w:tc>
        <w:tc>
          <w:tcPr>
            <w:tcW w:w="1885" w:type="dxa"/>
            <w:vAlign w:val="center"/>
          </w:tcPr>
          <w:p w:rsidR="000D5210" w:rsidRPr="009C5ADA" w:rsidRDefault="000D5210" w:rsidP="000D5210">
            <w:pPr>
              <w:jc w:val="center"/>
              <w:rPr>
                <w:sz w:val="22"/>
                <w:szCs w:val="22"/>
              </w:rPr>
            </w:pPr>
            <w:r w:rsidRPr="009C5ADA">
              <w:rPr>
                <w:sz w:val="22"/>
                <w:szCs w:val="22"/>
              </w:rPr>
              <w:t>Exempt</w:t>
            </w:r>
          </w:p>
        </w:tc>
      </w:tr>
      <w:tr w:rsidR="000D5210" w:rsidRPr="009C5ADA" w:rsidTr="0030140C">
        <w:tc>
          <w:tcPr>
            <w:tcW w:w="892" w:type="dxa"/>
            <w:shd w:val="clear" w:color="auto" w:fill="auto"/>
            <w:vAlign w:val="center"/>
          </w:tcPr>
          <w:p w:rsidR="000D5210" w:rsidRPr="009C5ADA" w:rsidRDefault="000D5210" w:rsidP="000D5210">
            <w:pPr>
              <w:jc w:val="center"/>
              <w:rPr>
                <w:sz w:val="22"/>
                <w:szCs w:val="22"/>
              </w:rPr>
            </w:pPr>
            <w:r w:rsidRPr="009C5ADA">
              <w:rPr>
                <w:sz w:val="22"/>
                <w:szCs w:val="22"/>
              </w:rPr>
              <w:t>769</w:t>
            </w:r>
          </w:p>
        </w:tc>
        <w:tc>
          <w:tcPr>
            <w:tcW w:w="3428" w:type="dxa"/>
            <w:shd w:val="clear" w:color="auto" w:fill="auto"/>
            <w:vAlign w:val="center"/>
          </w:tcPr>
          <w:p w:rsidR="000D5210" w:rsidRPr="009C5ADA" w:rsidRDefault="000D5210" w:rsidP="000D5210">
            <w:pPr>
              <w:jc w:val="center"/>
              <w:rPr>
                <w:sz w:val="22"/>
                <w:szCs w:val="22"/>
              </w:rPr>
            </w:pPr>
            <w:r w:rsidRPr="009C5ADA">
              <w:rPr>
                <w:bCs/>
                <w:iCs/>
                <w:sz w:val="22"/>
                <w:szCs w:val="22"/>
              </w:rPr>
              <w:t>4SLB Emergency Generator</w:t>
            </w:r>
          </w:p>
        </w:tc>
        <w:tc>
          <w:tcPr>
            <w:tcW w:w="1800" w:type="dxa"/>
            <w:shd w:val="clear" w:color="auto" w:fill="auto"/>
            <w:vAlign w:val="center"/>
          </w:tcPr>
          <w:p w:rsidR="000D5210" w:rsidRPr="00C008FD" w:rsidRDefault="000D5210" w:rsidP="000D5210">
            <w:pPr>
              <w:jc w:val="center"/>
              <w:rPr>
                <w:sz w:val="22"/>
                <w:szCs w:val="22"/>
              </w:rPr>
            </w:pPr>
            <w:r w:rsidRPr="00C008FD">
              <w:rPr>
                <w:sz w:val="22"/>
                <w:szCs w:val="22"/>
              </w:rPr>
              <w:t>0.06</w:t>
            </w:r>
          </w:p>
        </w:tc>
        <w:tc>
          <w:tcPr>
            <w:tcW w:w="1890" w:type="dxa"/>
          </w:tcPr>
          <w:p w:rsidR="000D5210" w:rsidRPr="009C5ADA" w:rsidRDefault="009C5ADA" w:rsidP="000D5210">
            <w:pPr>
              <w:jc w:val="center"/>
              <w:rPr>
                <w:sz w:val="22"/>
                <w:szCs w:val="22"/>
              </w:rPr>
            </w:pPr>
            <w:r>
              <w:rPr>
                <w:sz w:val="22"/>
                <w:szCs w:val="22"/>
              </w:rPr>
              <w:t xml:space="preserve">0.12 </w:t>
            </w:r>
            <w:proofErr w:type="spellStart"/>
            <w:r>
              <w:rPr>
                <w:sz w:val="22"/>
                <w:szCs w:val="22"/>
              </w:rPr>
              <w:t>lb</w:t>
            </w:r>
            <w:proofErr w:type="spellEnd"/>
            <w:r>
              <w:rPr>
                <w:sz w:val="22"/>
                <w:szCs w:val="22"/>
              </w:rPr>
              <w:t>/MMBtu</w:t>
            </w:r>
          </w:p>
        </w:tc>
        <w:tc>
          <w:tcPr>
            <w:tcW w:w="1607" w:type="dxa"/>
            <w:shd w:val="clear" w:color="auto" w:fill="auto"/>
            <w:vAlign w:val="center"/>
          </w:tcPr>
          <w:p w:rsidR="000D5210" w:rsidRPr="009C5ADA" w:rsidRDefault="009C5ADA" w:rsidP="000D5210">
            <w:pPr>
              <w:jc w:val="center"/>
              <w:rPr>
                <w:sz w:val="22"/>
                <w:szCs w:val="22"/>
              </w:rPr>
            </w:pPr>
            <w:r w:rsidRPr="009C5ADA">
              <w:rPr>
                <w:sz w:val="22"/>
                <w:szCs w:val="22"/>
              </w:rPr>
              <w:t>AP-42</w:t>
            </w:r>
          </w:p>
        </w:tc>
        <w:tc>
          <w:tcPr>
            <w:tcW w:w="1530" w:type="dxa"/>
            <w:vAlign w:val="center"/>
          </w:tcPr>
          <w:p w:rsidR="000D5210" w:rsidRPr="009C5ADA" w:rsidRDefault="000D5210" w:rsidP="000D5210">
            <w:pPr>
              <w:jc w:val="center"/>
              <w:rPr>
                <w:sz w:val="22"/>
                <w:szCs w:val="22"/>
              </w:rPr>
            </w:pPr>
            <w:r w:rsidRPr="009C5ADA">
              <w:rPr>
                <w:sz w:val="22"/>
                <w:szCs w:val="22"/>
              </w:rPr>
              <w:t>0.0</w:t>
            </w:r>
            <w:r w:rsidR="00281258">
              <w:rPr>
                <w:sz w:val="22"/>
                <w:szCs w:val="22"/>
              </w:rPr>
              <w:t>02</w:t>
            </w:r>
          </w:p>
        </w:tc>
        <w:tc>
          <w:tcPr>
            <w:tcW w:w="1885" w:type="dxa"/>
            <w:vAlign w:val="center"/>
          </w:tcPr>
          <w:p w:rsidR="000D5210" w:rsidRPr="009C5ADA" w:rsidRDefault="000D5210" w:rsidP="000D5210">
            <w:pPr>
              <w:jc w:val="center"/>
              <w:rPr>
                <w:sz w:val="22"/>
                <w:szCs w:val="22"/>
              </w:rPr>
            </w:pPr>
            <w:r w:rsidRPr="009C5ADA">
              <w:rPr>
                <w:sz w:val="22"/>
                <w:szCs w:val="22"/>
              </w:rPr>
              <w:t>Exempt</w:t>
            </w:r>
          </w:p>
        </w:tc>
      </w:tr>
      <w:tr w:rsidR="000D5210" w:rsidRPr="009C5ADA" w:rsidTr="0030140C">
        <w:tc>
          <w:tcPr>
            <w:tcW w:w="892" w:type="dxa"/>
            <w:shd w:val="clear" w:color="auto" w:fill="auto"/>
            <w:vAlign w:val="center"/>
          </w:tcPr>
          <w:p w:rsidR="000D5210" w:rsidRPr="009C5ADA" w:rsidRDefault="000D5210" w:rsidP="000D5210">
            <w:pPr>
              <w:jc w:val="center"/>
              <w:rPr>
                <w:sz w:val="22"/>
                <w:szCs w:val="22"/>
              </w:rPr>
            </w:pPr>
            <w:r w:rsidRPr="009C5ADA">
              <w:rPr>
                <w:sz w:val="22"/>
                <w:szCs w:val="22"/>
              </w:rPr>
              <w:t>770</w:t>
            </w:r>
          </w:p>
        </w:tc>
        <w:tc>
          <w:tcPr>
            <w:tcW w:w="3428" w:type="dxa"/>
            <w:shd w:val="clear" w:color="auto" w:fill="auto"/>
            <w:vAlign w:val="center"/>
          </w:tcPr>
          <w:p w:rsidR="000D5210" w:rsidRPr="009C5ADA" w:rsidRDefault="000D5210" w:rsidP="000D5210">
            <w:pPr>
              <w:jc w:val="center"/>
              <w:rPr>
                <w:sz w:val="22"/>
                <w:szCs w:val="22"/>
              </w:rPr>
            </w:pPr>
            <w:r w:rsidRPr="009C5ADA">
              <w:rPr>
                <w:sz w:val="22"/>
                <w:szCs w:val="22"/>
              </w:rPr>
              <w:t>Small Emergency Generators</w:t>
            </w:r>
          </w:p>
        </w:tc>
        <w:tc>
          <w:tcPr>
            <w:tcW w:w="1800" w:type="dxa"/>
            <w:shd w:val="clear" w:color="auto" w:fill="auto"/>
            <w:vAlign w:val="center"/>
          </w:tcPr>
          <w:p w:rsidR="000D5210" w:rsidRPr="00C008FD" w:rsidRDefault="000D5210" w:rsidP="000D5210">
            <w:pPr>
              <w:jc w:val="center"/>
              <w:rPr>
                <w:sz w:val="22"/>
                <w:szCs w:val="22"/>
                <w:vertAlign w:val="superscript"/>
              </w:rPr>
            </w:pPr>
            <w:r w:rsidRPr="00C008FD">
              <w:rPr>
                <w:sz w:val="22"/>
                <w:szCs w:val="22"/>
              </w:rPr>
              <w:t xml:space="preserve">  0.64</w:t>
            </w:r>
            <w:r w:rsidR="002008CF">
              <w:rPr>
                <w:sz w:val="22"/>
                <w:szCs w:val="22"/>
                <w:vertAlign w:val="superscript"/>
              </w:rPr>
              <w:t>6</w:t>
            </w:r>
          </w:p>
        </w:tc>
        <w:tc>
          <w:tcPr>
            <w:tcW w:w="1890" w:type="dxa"/>
          </w:tcPr>
          <w:p w:rsidR="000D5210" w:rsidRPr="009C5ADA" w:rsidRDefault="00281258" w:rsidP="000D5210">
            <w:pPr>
              <w:jc w:val="center"/>
              <w:rPr>
                <w:sz w:val="22"/>
                <w:szCs w:val="22"/>
              </w:rPr>
            </w:pPr>
            <w:r w:rsidRPr="00281258">
              <w:rPr>
                <w:sz w:val="22"/>
                <w:szCs w:val="22"/>
              </w:rPr>
              <w:t xml:space="preserve">0.12 </w:t>
            </w:r>
            <w:proofErr w:type="spellStart"/>
            <w:r w:rsidRPr="00281258">
              <w:rPr>
                <w:sz w:val="22"/>
                <w:szCs w:val="22"/>
              </w:rPr>
              <w:t>lb</w:t>
            </w:r>
            <w:proofErr w:type="spellEnd"/>
            <w:r w:rsidRPr="00281258">
              <w:rPr>
                <w:sz w:val="22"/>
                <w:szCs w:val="22"/>
              </w:rPr>
              <w:t>/MMBtu</w:t>
            </w:r>
          </w:p>
        </w:tc>
        <w:tc>
          <w:tcPr>
            <w:tcW w:w="1607" w:type="dxa"/>
            <w:shd w:val="clear" w:color="auto" w:fill="auto"/>
            <w:vAlign w:val="center"/>
          </w:tcPr>
          <w:p w:rsidR="000D5210" w:rsidRPr="009C5ADA" w:rsidRDefault="009C5ADA" w:rsidP="000D5210">
            <w:pPr>
              <w:jc w:val="center"/>
              <w:rPr>
                <w:sz w:val="22"/>
                <w:szCs w:val="22"/>
                <w:vertAlign w:val="superscript"/>
              </w:rPr>
            </w:pPr>
            <w:r w:rsidRPr="009C5ADA">
              <w:rPr>
                <w:sz w:val="22"/>
                <w:szCs w:val="22"/>
              </w:rPr>
              <w:t>AP-42</w:t>
            </w:r>
          </w:p>
        </w:tc>
        <w:tc>
          <w:tcPr>
            <w:tcW w:w="1530" w:type="dxa"/>
            <w:vAlign w:val="center"/>
          </w:tcPr>
          <w:p w:rsidR="000D5210" w:rsidRPr="009C5ADA" w:rsidRDefault="000D5210" w:rsidP="000D5210">
            <w:pPr>
              <w:jc w:val="center"/>
              <w:rPr>
                <w:sz w:val="22"/>
                <w:szCs w:val="22"/>
                <w:vertAlign w:val="superscript"/>
              </w:rPr>
            </w:pPr>
            <w:r w:rsidRPr="009C5ADA">
              <w:rPr>
                <w:sz w:val="22"/>
                <w:szCs w:val="22"/>
              </w:rPr>
              <w:t>0.</w:t>
            </w:r>
            <w:r w:rsidR="00281258">
              <w:rPr>
                <w:sz w:val="22"/>
                <w:szCs w:val="22"/>
              </w:rPr>
              <w:t>2</w:t>
            </w:r>
          </w:p>
        </w:tc>
        <w:tc>
          <w:tcPr>
            <w:tcW w:w="1885" w:type="dxa"/>
            <w:vAlign w:val="center"/>
          </w:tcPr>
          <w:p w:rsidR="000D5210" w:rsidRPr="009C5ADA" w:rsidRDefault="000D5210" w:rsidP="000D5210">
            <w:pPr>
              <w:jc w:val="center"/>
              <w:rPr>
                <w:sz w:val="22"/>
                <w:szCs w:val="22"/>
              </w:rPr>
            </w:pPr>
            <w:r w:rsidRPr="009C5ADA">
              <w:rPr>
                <w:sz w:val="22"/>
                <w:szCs w:val="22"/>
              </w:rPr>
              <w:t>Exempt</w:t>
            </w:r>
          </w:p>
        </w:tc>
      </w:tr>
    </w:tbl>
    <w:p w:rsidR="00253873" w:rsidRPr="009C5ADA" w:rsidRDefault="00253873" w:rsidP="00253873">
      <w:pPr>
        <w:rPr>
          <w:sz w:val="22"/>
          <w:szCs w:val="22"/>
        </w:rPr>
      </w:pPr>
      <w:r w:rsidRPr="009C5ADA">
        <w:rPr>
          <w:sz w:val="22"/>
          <w:szCs w:val="22"/>
          <w:vertAlign w:val="superscript"/>
        </w:rPr>
        <w:t>1</w:t>
      </w:r>
      <w:r w:rsidRPr="009C5ADA">
        <w:rPr>
          <w:sz w:val="22"/>
          <w:szCs w:val="22"/>
        </w:rPr>
        <w:t>Rated capacity is reported in MMBtu/</w:t>
      </w:r>
      <w:proofErr w:type="spellStart"/>
      <w:r w:rsidRPr="009C5ADA">
        <w:rPr>
          <w:sz w:val="22"/>
          <w:szCs w:val="22"/>
        </w:rPr>
        <w:t>hr</w:t>
      </w:r>
      <w:proofErr w:type="spellEnd"/>
      <w:r w:rsidRPr="009C5ADA">
        <w:rPr>
          <w:sz w:val="22"/>
          <w:szCs w:val="22"/>
        </w:rPr>
        <w:t xml:space="preserve"> unless otherwise noted.</w:t>
      </w:r>
    </w:p>
    <w:p w:rsidR="0030140C" w:rsidRPr="009C5ADA" w:rsidRDefault="0030140C" w:rsidP="0030140C">
      <w:pPr>
        <w:rPr>
          <w:sz w:val="22"/>
          <w:szCs w:val="22"/>
        </w:rPr>
      </w:pPr>
      <w:r w:rsidRPr="009C5ADA">
        <w:rPr>
          <w:sz w:val="22"/>
          <w:szCs w:val="22"/>
          <w:vertAlign w:val="superscript"/>
        </w:rPr>
        <w:t>2</w:t>
      </w:r>
      <w:r w:rsidRPr="009C5ADA">
        <w:rPr>
          <w:sz w:val="22"/>
          <w:szCs w:val="22"/>
        </w:rPr>
        <w:t>Adjusted to account for actual BTU rating of 1,052 Btu/</w:t>
      </w:r>
      <w:proofErr w:type="spellStart"/>
      <w:r w:rsidRPr="009C5ADA">
        <w:rPr>
          <w:sz w:val="22"/>
          <w:szCs w:val="22"/>
        </w:rPr>
        <w:t>cf</w:t>
      </w:r>
      <w:proofErr w:type="spellEnd"/>
      <w:r w:rsidRPr="009C5ADA">
        <w:rPr>
          <w:sz w:val="22"/>
          <w:szCs w:val="22"/>
        </w:rPr>
        <w:t xml:space="preserve"> versus 1,020 used for AP-42, Table 1.4-1</w:t>
      </w:r>
    </w:p>
    <w:p w:rsidR="00253873" w:rsidRDefault="0030140C" w:rsidP="00253873">
      <w:pPr>
        <w:rPr>
          <w:sz w:val="22"/>
          <w:szCs w:val="22"/>
        </w:rPr>
      </w:pPr>
      <w:r w:rsidRPr="009C5ADA">
        <w:rPr>
          <w:sz w:val="22"/>
          <w:szCs w:val="22"/>
          <w:vertAlign w:val="superscript"/>
        </w:rPr>
        <w:t>3</w:t>
      </w:r>
      <w:r w:rsidR="00253873" w:rsidRPr="009C5ADA">
        <w:rPr>
          <w:sz w:val="22"/>
          <w:szCs w:val="22"/>
        </w:rPr>
        <w:t>Exemption based on 25 Pa. Code § 129.96(c); RACT does not apply for VOC when less than 1 TPY</w:t>
      </w:r>
    </w:p>
    <w:p w:rsidR="001567A5" w:rsidRPr="001567A5" w:rsidRDefault="001567A5" w:rsidP="00253873">
      <w:pPr>
        <w:rPr>
          <w:sz w:val="22"/>
          <w:szCs w:val="22"/>
        </w:rPr>
      </w:pPr>
      <w:r>
        <w:rPr>
          <w:sz w:val="22"/>
          <w:szCs w:val="22"/>
          <w:vertAlign w:val="superscript"/>
        </w:rPr>
        <w:t>4</w:t>
      </w:r>
      <w:r>
        <w:rPr>
          <w:sz w:val="22"/>
          <w:szCs w:val="22"/>
        </w:rPr>
        <w:t>Sources subject to 129</w:t>
      </w:r>
      <w:r w:rsidR="00DA0422">
        <w:rPr>
          <w:sz w:val="22"/>
          <w:szCs w:val="22"/>
        </w:rPr>
        <w:t>.52 or 129.63 are not subject to RACT requirements</w:t>
      </w:r>
    </w:p>
    <w:p w:rsidR="00253873" w:rsidRDefault="00C008FD" w:rsidP="00253873">
      <w:pPr>
        <w:rPr>
          <w:sz w:val="22"/>
          <w:szCs w:val="22"/>
        </w:rPr>
      </w:pPr>
      <w:r w:rsidRPr="00C008FD">
        <w:rPr>
          <w:sz w:val="22"/>
          <w:szCs w:val="22"/>
          <w:vertAlign w:val="superscript"/>
        </w:rPr>
        <w:t>5</w:t>
      </w:r>
      <w:r w:rsidR="00253873" w:rsidRPr="00C008FD">
        <w:rPr>
          <w:sz w:val="22"/>
          <w:szCs w:val="22"/>
        </w:rPr>
        <w:t>Based on RACT I determination</w:t>
      </w:r>
    </w:p>
    <w:p w:rsidR="00DE24A2" w:rsidRDefault="002008CF" w:rsidP="00253873">
      <w:pPr>
        <w:sectPr w:rsidR="00DE24A2" w:rsidSect="009F1AAD">
          <w:headerReference w:type="default" r:id="rId18"/>
          <w:footerReference w:type="default" r:id="rId19"/>
          <w:pgSz w:w="15840" w:h="12240" w:orient="landscape" w:code="1"/>
          <w:pgMar w:top="1584" w:right="1440" w:bottom="1584" w:left="1440" w:header="720" w:footer="0" w:gutter="0"/>
          <w:cols w:space="720"/>
          <w:docGrid w:linePitch="326"/>
        </w:sectPr>
      </w:pPr>
      <w:r>
        <w:rPr>
          <w:sz w:val="22"/>
          <w:szCs w:val="22"/>
          <w:vertAlign w:val="superscript"/>
        </w:rPr>
        <w:t>6</w:t>
      </w:r>
      <w:r w:rsidR="00253873" w:rsidRPr="00C008FD">
        <w:rPr>
          <w:sz w:val="22"/>
          <w:szCs w:val="22"/>
        </w:rPr>
        <w:t>Reflects worst case emissions from an individual unit</w:t>
      </w:r>
    </w:p>
    <w:p w:rsidR="009F5879" w:rsidRDefault="009F5879"/>
    <w:p w:rsidR="00901F7C" w:rsidRDefault="002F3F42" w:rsidP="00CA5AD3">
      <w:pPr>
        <w:ind w:left="720" w:hanging="720"/>
        <w:rPr>
          <w:b/>
          <w:u w:val="single"/>
        </w:rPr>
      </w:pPr>
      <w:r w:rsidRPr="00245BEA">
        <w:rPr>
          <w:b/>
          <w:u w:val="single"/>
        </w:rPr>
        <w:t>NOx and/or VOC</w:t>
      </w:r>
      <w:r w:rsidR="00A302C4">
        <w:rPr>
          <w:b/>
          <w:u w:val="single"/>
        </w:rPr>
        <w:t xml:space="preserve"> Sources Exempt from RACT </w:t>
      </w:r>
      <w:r w:rsidR="00901F7C">
        <w:rPr>
          <w:b/>
          <w:u w:val="single"/>
        </w:rPr>
        <w:t>(</w:t>
      </w:r>
      <w:r w:rsidR="00A302C4">
        <w:rPr>
          <w:b/>
          <w:u w:val="single"/>
        </w:rPr>
        <w:t>Phase II</w:t>
      </w:r>
      <w:r w:rsidR="00901F7C">
        <w:rPr>
          <w:b/>
          <w:u w:val="single"/>
        </w:rPr>
        <w:t>)</w:t>
      </w:r>
    </w:p>
    <w:p w:rsidR="00901F7C" w:rsidRPr="00901F7C" w:rsidRDefault="00901F7C" w:rsidP="00CA5AD3">
      <w:pPr>
        <w:ind w:left="720" w:hanging="720"/>
      </w:pPr>
    </w:p>
    <w:p w:rsidR="002F3F42" w:rsidRDefault="00C527E6" w:rsidP="0087474E">
      <w:pPr>
        <w:spacing w:after="120"/>
      </w:pPr>
      <w:r>
        <w:t xml:space="preserve">Table 4 lists the </w:t>
      </w:r>
      <w:r w:rsidR="00901F7C">
        <w:t xml:space="preserve">sources </w:t>
      </w:r>
      <w:r>
        <w:t xml:space="preserve">whose </w:t>
      </w:r>
      <w:r w:rsidR="00901F7C">
        <w:t>potential NOx and VOC emissions are less than 1.0 ton per year, and the</w:t>
      </w:r>
      <w:r w:rsidR="00054209">
        <w:t>refore</w:t>
      </w:r>
      <w:r w:rsidR="00901F7C">
        <w:t xml:space="preserve"> are exempt from RACT (Phase II)</w:t>
      </w:r>
      <w:r w:rsidR="00054209">
        <w:t>,</w:t>
      </w:r>
      <w:r w:rsidR="00901F7C">
        <w:t xml:space="preserve"> in accordance with 25 Pa. Code §</w:t>
      </w:r>
      <w:r w:rsidR="00901F7C" w:rsidRPr="00901F7C">
        <w:t xml:space="preserve"> </w:t>
      </w:r>
      <w:r w:rsidR="00901F7C" w:rsidRPr="00A302C4">
        <w:t>129.96(c)</w:t>
      </w:r>
      <w:r w:rsidR="00901F7C">
        <w:t>:</w:t>
      </w:r>
    </w:p>
    <w:p w:rsidR="002F3F42" w:rsidRPr="00235AF6" w:rsidRDefault="007D5A89" w:rsidP="007D5A89">
      <w:pPr>
        <w:ind w:left="720" w:hanging="720"/>
        <w:jc w:val="center"/>
        <w:rPr>
          <w:b/>
        </w:rPr>
      </w:pPr>
      <w:r w:rsidRPr="00235AF6">
        <w:rPr>
          <w:b/>
        </w:rPr>
        <w:t>Table 4</w:t>
      </w:r>
    </w:p>
    <w:tbl>
      <w:tblPr>
        <w:tblStyle w:val="TableGrid"/>
        <w:tblW w:w="9990" w:type="dxa"/>
        <w:tblInd w:w="18" w:type="dxa"/>
        <w:tblLook w:val="04A0" w:firstRow="1" w:lastRow="0" w:firstColumn="1" w:lastColumn="0" w:noHBand="0" w:noVBand="1"/>
      </w:tblPr>
      <w:tblGrid>
        <w:gridCol w:w="1428"/>
        <w:gridCol w:w="3612"/>
        <w:gridCol w:w="1890"/>
        <w:gridCol w:w="1530"/>
        <w:gridCol w:w="1530"/>
      </w:tblGrid>
      <w:tr w:rsidR="00901F7C" w:rsidRPr="00A302C4" w:rsidTr="00DE2957">
        <w:tc>
          <w:tcPr>
            <w:tcW w:w="1428" w:type="dxa"/>
            <w:shd w:val="clear" w:color="auto" w:fill="D9D9D9" w:themeFill="background1" w:themeFillShade="D9"/>
            <w:vAlign w:val="center"/>
          </w:tcPr>
          <w:p w:rsidR="00901F7C" w:rsidRPr="002B0B3F" w:rsidRDefault="00901F7C" w:rsidP="00901F7C">
            <w:pPr>
              <w:ind w:left="720" w:hanging="720"/>
              <w:jc w:val="center"/>
              <w:rPr>
                <w:b/>
              </w:rPr>
            </w:pPr>
            <w:r w:rsidRPr="002B0B3F">
              <w:rPr>
                <w:b/>
              </w:rPr>
              <w:t>Source ID</w:t>
            </w:r>
          </w:p>
        </w:tc>
        <w:tc>
          <w:tcPr>
            <w:tcW w:w="3612" w:type="dxa"/>
            <w:shd w:val="clear" w:color="auto" w:fill="D9D9D9" w:themeFill="background1" w:themeFillShade="D9"/>
            <w:vAlign w:val="center"/>
          </w:tcPr>
          <w:p w:rsidR="00901F7C" w:rsidRPr="002B0B3F" w:rsidRDefault="00901F7C" w:rsidP="00A302C4">
            <w:pPr>
              <w:ind w:left="720" w:hanging="720"/>
              <w:jc w:val="center"/>
              <w:rPr>
                <w:b/>
              </w:rPr>
            </w:pPr>
            <w:r w:rsidRPr="002B0B3F">
              <w:rPr>
                <w:b/>
              </w:rPr>
              <w:t>Source Name</w:t>
            </w:r>
          </w:p>
        </w:tc>
        <w:tc>
          <w:tcPr>
            <w:tcW w:w="1890" w:type="dxa"/>
            <w:shd w:val="clear" w:color="auto" w:fill="D9D9D9" w:themeFill="background1" w:themeFillShade="D9"/>
            <w:vAlign w:val="center"/>
          </w:tcPr>
          <w:p w:rsidR="00901F7C" w:rsidRPr="002B0B3F" w:rsidRDefault="00901F7C" w:rsidP="00A302C4">
            <w:pPr>
              <w:ind w:left="720" w:hanging="720"/>
              <w:jc w:val="center"/>
              <w:rPr>
                <w:b/>
              </w:rPr>
            </w:pPr>
            <w:r w:rsidRPr="002B0B3F">
              <w:rPr>
                <w:b/>
              </w:rPr>
              <w:t>Rated Capacity</w:t>
            </w:r>
          </w:p>
        </w:tc>
        <w:tc>
          <w:tcPr>
            <w:tcW w:w="1530" w:type="dxa"/>
            <w:shd w:val="clear" w:color="auto" w:fill="D9D9D9" w:themeFill="background1" w:themeFillShade="D9"/>
          </w:tcPr>
          <w:p w:rsidR="00901F7C" w:rsidRPr="002B0B3F" w:rsidRDefault="00901F7C" w:rsidP="001778F1">
            <w:pPr>
              <w:jc w:val="center"/>
              <w:rPr>
                <w:b/>
              </w:rPr>
            </w:pPr>
            <w:r w:rsidRPr="002B0B3F">
              <w:rPr>
                <w:b/>
              </w:rPr>
              <w:t>PTE of NOx (TPY)</w:t>
            </w:r>
          </w:p>
        </w:tc>
        <w:tc>
          <w:tcPr>
            <w:tcW w:w="1530" w:type="dxa"/>
            <w:shd w:val="clear" w:color="auto" w:fill="D9D9D9" w:themeFill="background1" w:themeFillShade="D9"/>
          </w:tcPr>
          <w:p w:rsidR="00901F7C" w:rsidRPr="002B0B3F" w:rsidRDefault="00901F7C" w:rsidP="001778F1">
            <w:pPr>
              <w:jc w:val="center"/>
              <w:rPr>
                <w:b/>
              </w:rPr>
            </w:pPr>
            <w:r w:rsidRPr="002B0B3F">
              <w:rPr>
                <w:b/>
              </w:rPr>
              <w:t>PTE of VOC (TPY)</w:t>
            </w:r>
          </w:p>
        </w:tc>
      </w:tr>
      <w:tr w:rsidR="00901F7C" w:rsidRPr="00A302C4" w:rsidTr="00DE2957">
        <w:tc>
          <w:tcPr>
            <w:tcW w:w="1428" w:type="dxa"/>
            <w:vAlign w:val="center"/>
          </w:tcPr>
          <w:p w:rsidR="00901F7C" w:rsidRPr="002B0B3F" w:rsidRDefault="00901F7C" w:rsidP="00901F7C">
            <w:pPr>
              <w:ind w:left="720" w:hanging="720"/>
              <w:jc w:val="center"/>
              <w:rPr>
                <w:b/>
              </w:rPr>
            </w:pPr>
            <w:r w:rsidRPr="002B0B3F">
              <w:rPr>
                <w:b/>
              </w:rPr>
              <w:t>226</w:t>
            </w:r>
          </w:p>
        </w:tc>
        <w:tc>
          <w:tcPr>
            <w:tcW w:w="3612" w:type="dxa"/>
            <w:vAlign w:val="center"/>
          </w:tcPr>
          <w:p w:rsidR="00901F7C" w:rsidRPr="00A302C4" w:rsidRDefault="00901F7C" w:rsidP="00901F7C">
            <w:pPr>
              <w:ind w:left="-6" w:firstLine="6"/>
              <w:jc w:val="center"/>
            </w:pPr>
            <w:r w:rsidRPr="00A302C4">
              <w:t xml:space="preserve">12,000 Gal Underground </w:t>
            </w:r>
            <w:r w:rsidRPr="00A302C4">
              <w:br/>
              <w:t>Gas Storage Tank</w:t>
            </w:r>
          </w:p>
        </w:tc>
        <w:tc>
          <w:tcPr>
            <w:tcW w:w="1890" w:type="dxa"/>
            <w:vAlign w:val="center"/>
          </w:tcPr>
          <w:p w:rsidR="00901F7C" w:rsidRPr="00A302C4" w:rsidRDefault="00901F7C" w:rsidP="00901F7C">
            <w:pPr>
              <w:ind w:left="720" w:hanging="720"/>
              <w:jc w:val="center"/>
              <w:rPr>
                <w:highlight w:val="yellow"/>
              </w:rPr>
            </w:pPr>
            <w:r>
              <w:t>12,000 Gallons</w:t>
            </w:r>
          </w:p>
        </w:tc>
        <w:tc>
          <w:tcPr>
            <w:tcW w:w="1530" w:type="dxa"/>
            <w:vAlign w:val="center"/>
          </w:tcPr>
          <w:p w:rsidR="00901F7C" w:rsidRDefault="00901F7C" w:rsidP="00901F7C">
            <w:pPr>
              <w:ind w:left="720" w:hanging="720"/>
              <w:jc w:val="center"/>
            </w:pPr>
            <w:r>
              <w:t>N/A</w:t>
            </w:r>
          </w:p>
        </w:tc>
        <w:tc>
          <w:tcPr>
            <w:tcW w:w="1530" w:type="dxa"/>
            <w:vAlign w:val="center"/>
          </w:tcPr>
          <w:p w:rsidR="00901F7C" w:rsidRDefault="00901F7C" w:rsidP="00901F7C">
            <w:pPr>
              <w:ind w:left="720" w:hanging="720"/>
              <w:jc w:val="center"/>
            </w:pPr>
            <w:r>
              <w:t>0.7</w:t>
            </w:r>
          </w:p>
        </w:tc>
      </w:tr>
      <w:tr w:rsidR="003E2CD7" w:rsidRPr="00A302C4" w:rsidTr="00DE2957">
        <w:tc>
          <w:tcPr>
            <w:tcW w:w="1428" w:type="dxa"/>
            <w:vAlign w:val="center"/>
          </w:tcPr>
          <w:p w:rsidR="003E2CD7" w:rsidRPr="002B0B3F" w:rsidRDefault="003E2CD7" w:rsidP="00901F7C">
            <w:pPr>
              <w:ind w:left="720" w:hanging="720"/>
              <w:jc w:val="center"/>
              <w:rPr>
                <w:b/>
              </w:rPr>
            </w:pPr>
            <w:r w:rsidRPr="002B0B3F">
              <w:rPr>
                <w:b/>
              </w:rPr>
              <w:t>235</w:t>
            </w:r>
          </w:p>
        </w:tc>
        <w:tc>
          <w:tcPr>
            <w:tcW w:w="3612" w:type="dxa"/>
            <w:vAlign w:val="center"/>
          </w:tcPr>
          <w:p w:rsidR="003E2CD7" w:rsidRPr="00A302C4" w:rsidRDefault="003E2CD7" w:rsidP="00901F7C">
            <w:pPr>
              <w:ind w:left="-6" w:firstLine="6"/>
              <w:jc w:val="center"/>
            </w:pPr>
            <w:r>
              <w:t>Slab Cut-off Torch &amp; Baghouse</w:t>
            </w:r>
          </w:p>
        </w:tc>
        <w:tc>
          <w:tcPr>
            <w:tcW w:w="1890" w:type="dxa"/>
            <w:vAlign w:val="center"/>
          </w:tcPr>
          <w:p w:rsidR="003E2CD7" w:rsidRDefault="003E2CD7" w:rsidP="00901F7C">
            <w:pPr>
              <w:ind w:left="720" w:hanging="720"/>
              <w:jc w:val="center"/>
            </w:pPr>
            <w:r>
              <w:t>2.2 MMBtu/</w:t>
            </w:r>
            <w:proofErr w:type="spellStart"/>
            <w:r>
              <w:t>hr</w:t>
            </w:r>
            <w:proofErr w:type="spellEnd"/>
          </w:p>
        </w:tc>
        <w:tc>
          <w:tcPr>
            <w:tcW w:w="1530" w:type="dxa"/>
            <w:vAlign w:val="center"/>
          </w:tcPr>
          <w:p w:rsidR="003E2CD7" w:rsidRDefault="003E2CD7" w:rsidP="00901F7C">
            <w:pPr>
              <w:ind w:left="720" w:hanging="720"/>
              <w:jc w:val="center"/>
            </w:pPr>
            <w:r>
              <w:t>0.5</w:t>
            </w:r>
          </w:p>
        </w:tc>
        <w:tc>
          <w:tcPr>
            <w:tcW w:w="1530" w:type="dxa"/>
            <w:vAlign w:val="center"/>
          </w:tcPr>
          <w:p w:rsidR="003E2CD7" w:rsidRDefault="003E2CD7" w:rsidP="00901F7C">
            <w:pPr>
              <w:ind w:left="720" w:hanging="720"/>
              <w:jc w:val="center"/>
            </w:pPr>
            <w:r>
              <w:t>0.1</w:t>
            </w:r>
          </w:p>
        </w:tc>
      </w:tr>
    </w:tbl>
    <w:p w:rsidR="008428AF" w:rsidRDefault="008428AF" w:rsidP="00CA5AD3">
      <w:pPr>
        <w:rPr>
          <w:highlight w:val="yellow"/>
        </w:rPr>
      </w:pPr>
    </w:p>
    <w:p w:rsidR="0062659F" w:rsidRPr="00CA5AD3" w:rsidRDefault="0062659F" w:rsidP="0062659F">
      <w:pPr>
        <w:rPr>
          <w:szCs w:val="24"/>
          <w:highlight w:val="yellow"/>
        </w:rPr>
      </w:pPr>
    </w:p>
    <w:p w:rsidR="00CC780B" w:rsidRDefault="00673153" w:rsidP="00CC780B">
      <w:pPr>
        <w:rPr>
          <w:b/>
          <w:bCs/>
          <w:szCs w:val="24"/>
          <w:u w:val="single"/>
        </w:rPr>
      </w:pPr>
      <w:r>
        <w:rPr>
          <w:b/>
          <w:bCs/>
          <w:szCs w:val="24"/>
          <w:u w:val="single"/>
        </w:rPr>
        <w:t xml:space="preserve">RACT II Implementation </w:t>
      </w:r>
      <w:r w:rsidR="00C527E6">
        <w:rPr>
          <w:b/>
          <w:bCs/>
          <w:szCs w:val="24"/>
          <w:u w:val="single"/>
        </w:rPr>
        <w:t xml:space="preserve">and Comparison to RACT I Requirements </w:t>
      </w:r>
      <w:r>
        <w:rPr>
          <w:b/>
          <w:bCs/>
          <w:szCs w:val="24"/>
          <w:u w:val="single"/>
        </w:rPr>
        <w:t>by Source ID</w:t>
      </w:r>
    </w:p>
    <w:p w:rsidR="00C527E6" w:rsidRDefault="00C527E6" w:rsidP="00CC780B">
      <w:pPr>
        <w:rPr>
          <w:b/>
          <w:bCs/>
          <w:szCs w:val="24"/>
          <w:u w:val="single"/>
        </w:rPr>
      </w:pPr>
    </w:p>
    <w:p w:rsidR="002F7764" w:rsidRDefault="002F7764" w:rsidP="0087474E">
      <w:pPr>
        <w:spacing w:after="120"/>
        <w:rPr>
          <w:bCs/>
          <w:szCs w:val="24"/>
        </w:rPr>
      </w:pPr>
      <w:r w:rsidRPr="002F7764">
        <w:rPr>
          <w:bCs/>
          <w:szCs w:val="24"/>
        </w:rPr>
        <w:t>Table 5</w:t>
      </w:r>
      <w:r w:rsidR="00E55BA4">
        <w:rPr>
          <w:bCs/>
          <w:szCs w:val="24"/>
        </w:rPr>
        <w:t>a</w:t>
      </w:r>
      <w:r>
        <w:rPr>
          <w:bCs/>
          <w:szCs w:val="24"/>
        </w:rPr>
        <w:t xml:space="preserve"> summarizes changes reflected in Title V Operating Permit No. 15-00010 as a result of the incorporation of RACT II.</w:t>
      </w:r>
    </w:p>
    <w:p w:rsidR="00F8650F" w:rsidRPr="00235AF6" w:rsidRDefault="002F7764" w:rsidP="002F7764">
      <w:pPr>
        <w:jc w:val="center"/>
        <w:rPr>
          <w:b/>
          <w:szCs w:val="24"/>
        </w:rPr>
      </w:pPr>
      <w:r w:rsidRPr="00235AF6">
        <w:rPr>
          <w:b/>
          <w:szCs w:val="24"/>
        </w:rPr>
        <w:t>Table 5</w:t>
      </w:r>
      <w:r w:rsidR="00E55BA4" w:rsidRPr="00235AF6">
        <w:rPr>
          <w:b/>
          <w:szCs w:val="24"/>
        </w:rPr>
        <w:t>a</w:t>
      </w:r>
    </w:p>
    <w:tbl>
      <w:tblPr>
        <w:tblStyle w:val="TableGrid"/>
        <w:tblW w:w="10638" w:type="dxa"/>
        <w:tblInd w:w="-522" w:type="dxa"/>
        <w:tblLook w:val="04A0" w:firstRow="1" w:lastRow="0" w:firstColumn="1" w:lastColumn="0" w:noHBand="0" w:noVBand="1"/>
      </w:tblPr>
      <w:tblGrid>
        <w:gridCol w:w="1188"/>
        <w:gridCol w:w="3690"/>
        <w:gridCol w:w="5760"/>
      </w:tblGrid>
      <w:tr w:rsidR="000208D4" w:rsidTr="0011725D">
        <w:tc>
          <w:tcPr>
            <w:tcW w:w="1188" w:type="dxa"/>
            <w:shd w:val="clear" w:color="auto" w:fill="D9D9D9" w:themeFill="background1" w:themeFillShade="D9"/>
          </w:tcPr>
          <w:p w:rsidR="000208D4" w:rsidRDefault="00647159" w:rsidP="00647159">
            <w:pPr>
              <w:jc w:val="center"/>
              <w:rPr>
                <w:b/>
                <w:bCs/>
              </w:rPr>
            </w:pPr>
            <w:r>
              <w:rPr>
                <w:b/>
                <w:bCs/>
              </w:rPr>
              <w:t>Source ID</w:t>
            </w:r>
          </w:p>
        </w:tc>
        <w:tc>
          <w:tcPr>
            <w:tcW w:w="3690" w:type="dxa"/>
            <w:shd w:val="clear" w:color="auto" w:fill="D9D9D9" w:themeFill="background1" w:themeFillShade="D9"/>
            <w:vAlign w:val="center"/>
          </w:tcPr>
          <w:p w:rsidR="000208D4" w:rsidRDefault="00647159" w:rsidP="00647159">
            <w:pPr>
              <w:jc w:val="center"/>
              <w:rPr>
                <w:b/>
                <w:bCs/>
              </w:rPr>
            </w:pPr>
            <w:r>
              <w:rPr>
                <w:b/>
                <w:bCs/>
              </w:rPr>
              <w:t>Under RACT I</w:t>
            </w:r>
          </w:p>
        </w:tc>
        <w:tc>
          <w:tcPr>
            <w:tcW w:w="5760" w:type="dxa"/>
            <w:shd w:val="clear" w:color="auto" w:fill="D9D9D9" w:themeFill="background1" w:themeFillShade="D9"/>
            <w:vAlign w:val="center"/>
          </w:tcPr>
          <w:p w:rsidR="000208D4" w:rsidRDefault="00647159" w:rsidP="00647159">
            <w:pPr>
              <w:jc w:val="center"/>
              <w:rPr>
                <w:b/>
                <w:bCs/>
              </w:rPr>
            </w:pPr>
            <w:r>
              <w:rPr>
                <w:b/>
                <w:bCs/>
              </w:rPr>
              <w:t>Under RACT II</w:t>
            </w:r>
          </w:p>
        </w:tc>
      </w:tr>
      <w:tr w:rsidR="000208D4" w:rsidTr="0011725D">
        <w:tc>
          <w:tcPr>
            <w:tcW w:w="1188" w:type="dxa"/>
          </w:tcPr>
          <w:p w:rsidR="000208D4" w:rsidRPr="008D29D7" w:rsidRDefault="00647159" w:rsidP="00647159">
            <w:pPr>
              <w:jc w:val="center"/>
              <w:rPr>
                <w:b/>
                <w:bCs/>
                <w:sz w:val="23"/>
                <w:szCs w:val="23"/>
                <w:highlight w:val="yellow"/>
              </w:rPr>
            </w:pPr>
            <w:r w:rsidRPr="008D29D7">
              <w:rPr>
                <w:b/>
                <w:bCs/>
                <w:sz w:val="23"/>
                <w:szCs w:val="23"/>
              </w:rPr>
              <w:t>035</w:t>
            </w:r>
          </w:p>
        </w:tc>
        <w:tc>
          <w:tcPr>
            <w:tcW w:w="3690" w:type="dxa"/>
          </w:tcPr>
          <w:p w:rsidR="006300F6" w:rsidRPr="00A63EA4" w:rsidRDefault="00E320F0" w:rsidP="00A63EA4">
            <w:pPr>
              <w:pStyle w:val="ListParagraph"/>
              <w:numPr>
                <w:ilvl w:val="0"/>
                <w:numId w:val="16"/>
              </w:numPr>
              <w:spacing w:after="120"/>
              <w:ind w:left="346" w:right="58"/>
              <w:contextualSpacing w:val="0"/>
              <w:rPr>
                <w:bCs/>
                <w:sz w:val="23"/>
                <w:szCs w:val="23"/>
              </w:rPr>
            </w:pPr>
            <w:r w:rsidRPr="0005775F">
              <w:rPr>
                <w:bCs/>
                <w:sz w:val="23"/>
                <w:szCs w:val="23"/>
              </w:rPr>
              <w:t xml:space="preserve">This source was </w:t>
            </w:r>
            <w:r w:rsidR="00876A62" w:rsidRPr="0005775F">
              <w:rPr>
                <w:bCs/>
                <w:sz w:val="23"/>
                <w:szCs w:val="23"/>
              </w:rPr>
              <w:t>subject to</w:t>
            </w:r>
            <w:r w:rsidR="00311B81">
              <w:rPr>
                <w:bCs/>
                <w:sz w:val="23"/>
                <w:szCs w:val="23"/>
              </w:rPr>
              <w:t xml:space="preserve"> </w:t>
            </w:r>
            <w:r w:rsidR="001821FF">
              <w:rPr>
                <w:bCs/>
                <w:sz w:val="23"/>
                <w:szCs w:val="23"/>
              </w:rPr>
              <w:t>presumptive</w:t>
            </w:r>
            <w:r w:rsidR="00311B81">
              <w:rPr>
                <w:bCs/>
                <w:sz w:val="23"/>
                <w:szCs w:val="23"/>
              </w:rPr>
              <w:t xml:space="preserve"> RACT</w:t>
            </w:r>
            <w:r w:rsidR="001821FF">
              <w:rPr>
                <w:bCs/>
                <w:sz w:val="23"/>
                <w:szCs w:val="23"/>
              </w:rPr>
              <w:t>,</w:t>
            </w:r>
            <w:r w:rsidR="00876A62" w:rsidRPr="0005775F">
              <w:rPr>
                <w:bCs/>
                <w:sz w:val="23"/>
                <w:szCs w:val="23"/>
              </w:rPr>
              <w:t xml:space="preserve"> operating </w:t>
            </w:r>
            <w:r w:rsidR="00044461" w:rsidRPr="0005775F">
              <w:rPr>
                <w:bCs/>
                <w:sz w:val="23"/>
                <w:szCs w:val="23"/>
              </w:rPr>
              <w:t>per</w:t>
            </w:r>
            <w:r w:rsidR="00876A62" w:rsidRPr="0005775F">
              <w:rPr>
                <w:bCs/>
                <w:sz w:val="23"/>
                <w:szCs w:val="23"/>
              </w:rPr>
              <w:t xml:space="preserve"> the manufacturer’s specifications and </w:t>
            </w:r>
            <w:r w:rsidR="00FA21C4" w:rsidRPr="0005775F">
              <w:rPr>
                <w:bCs/>
                <w:sz w:val="23"/>
                <w:szCs w:val="23"/>
              </w:rPr>
              <w:t xml:space="preserve">good operating </w:t>
            </w:r>
            <w:r w:rsidR="00A63EA4" w:rsidRPr="0005775F">
              <w:rPr>
                <w:bCs/>
                <w:sz w:val="23"/>
                <w:szCs w:val="23"/>
              </w:rPr>
              <w:t>practices,</w:t>
            </w:r>
            <w:r w:rsidR="00B304FD" w:rsidRPr="0005775F">
              <w:rPr>
                <w:bCs/>
                <w:sz w:val="23"/>
                <w:szCs w:val="23"/>
              </w:rPr>
              <w:t xml:space="preserve"> but</w:t>
            </w:r>
            <w:r w:rsidR="005176F0">
              <w:rPr>
                <w:bCs/>
                <w:sz w:val="23"/>
                <w:szCs w:val="23"/>
              </w:rPr>
              <w:t xml:space="preserve"> this requirement</w:t>
            </w:r>
            <w:r w:rsidR="00B304FD" w:rsidRPr="0005775F">
              <w:rPr>
                <w:bCs/>
                <w:sz w:val="23"/>
                <w:szCs w:val="23"/>
              </w:rPr>
              <w:t xml:space="preserve"> w</w:t>
            </w:r>
            <w:r w:rsidR="005176F0">
              <w:rPr>
                <w:bCs/>
                <w:sz w:val="23"/>
                <w:szCs w:val="23"/>
              </w:rPr>
              <w:t>as</w:t>
            </w:r>
            <w:r w:rsidR="00B304FD" w:rsidRPr="0005775F">
              <w:rPr>
                <w:bCs/>
                <w:sz w:val="23"/>
                <w:szCs w:val="23"/>
              </w:rPr>
              <w:t xml:space="preserve"> omitted from</w:t>
            </w:r>
            <w:r w:rsidR="005176F0">
              <w:rPr>
                <w:bCs/>
                <w:sz w:val="23"/>
                <w:szCs w:val="23"/>
              </w:rPr>
              <w:t xml:space="preserve"> the source under</w:t>
            </w:r>
            <w:r w:rsidR="00B304FD" w:rsidRPr="0005775F">
              <w:rPr>
                <w:bCs/>
                <w:sz w:val="23"/>
                <w:szCs w:val="23"/>
              </w:rPr>
              <w:t xml:space="preserve"> the TVOP.</w:t>
            </w:r>
          </w:p>
        </w:tc>
        <w:tc>
          <w:tcPr>
            <w:tcW w:w="5760" w:type="dxa"/>
          </w:tcPr>
          <w:p w:rsidR="006300F6" w:rsidRPr="00A63EA4" w:rsidRDefault="0005775F" w:rsidP="00A63EA4">
            <w:pPr>
              <w:pStyle w:val="ListParagraph"/>
              <w:numPr>
                <w:ilvl w:val="0"/>
                <w:numId w:val="16"/>
              </w:numPr>
              <w:spacing w:after="120"/>
              <w:ind w:left="336"/>
              <w:contextualSpacing w:val="0"/>
              <w:rPr>
                <w:bCs/>
                <w:sz w:val="23"/>
                <w:szCs w:val="23"/>
              </w:rPr>
            </w:pPr>
            <w:bookmarkStart w:id="19" w:name="_Hlk516133458"/>
            <w:r>
              <w:rPr>
                <w:bCs/>
                <w:sz w:val="23"/>
                <w:szCs w:val="23"/>
              </w:rPr>
              <w:t>A r</w:t>
            </w:r>
            <w:r w:rsidR="00044461" w:rsidRPr="00147E70">
              <w:rPr>
                <w:bCs/>
                <w:sz w:val="23"/>
                <w:szCs w:val="23"/>
              </w:rPr>
              <w:t xml:space="preserve">equirement to operate the source </w:t>
            </w:r>
            <w:r w:rsidR="00E650AC">
              <w:rPr>
                <w:bCs/>
                <w:sz w:val="23"/>
                <w:szCs w:val="23"/>
              </w:rPr>
              <w:t xml:space="preserve">in accordance </w:t>
            </w:r>
            <w:r>
              <w:rPr>
                <w:bCs/>
                <w:sz w:val="23"/>
                <w:szCs w:val="23"/>
              </w:rPr>
              <w:t>with</w:t>
            </w:r>
            <w:r w:rsidR="00813A6C">
              <w:rPr>
                <w:bCs/>
                <w:sz w:val="23"/>
                <w:szCs w:val="23"/>
              </w:rPr>
              <w:t xml:space="preserve"> manufacturer’s specifications (if available) and</w:t>
            </w:r>
            <w:r w:rsidR="00044461" w:rsidRPr="00147E70">
              <w:rPr>
                <w:bCs/>
                <w:sz w:val="23"/>
                <w:szCs w:val="23"/>
              </w:rPr>
              <w:t xml:space="preserve"> goo</w:t>
            </w:r>
            <w:r w:rsidR="00306C06" w:rsidRPr="00147E70">
              <w:rPr>
                <w:bCs/>
                <w:sz w:val="23"/>
                <w:szCs w:val="23"/>
              </w:rPr>
              <w:t xml:space="preserve">d operating practices </w:t>
            </w:r>
            <w:r w:rsidR="00575F6C" w:rsidRPr="00147E70">
              <w:rPr>
                <w:bCs/>
                <w:sz w:val="23"/>
                <w:szCs w:val="23"/>
              </w:rPr>
              <w:t>ha</w:t>
            </w:r>
            <w:r>
              <w:rPr>
                <w:bCs/>
                <w:sz w:val="23"/>
                <w:szCs w:val="23"/>
              </w:rPr>
              <w:t>s</w:t>
            </w:r>
            <w:r w:rsidR="00575F6C" w:rsidRPr="00147E70">
              <w:rPr>
                <w:bCs/>
                <w:sz w:val="23"/>
                <w:szCs w:val="23"/>
              </w:rPr>
              <w:t xml:space="preserve"> been </w:t>
            </w:r>
            <w:r w:rsidR="00B304FD" w:rsidRPr="00147E70">
              <w:rPr>
                <w:bCs/>
                <w:sz w:val="23"/>
                <w:szCs w:val="23"/>
              </w:rPr>
              <w:t xml:space="preserve">placed </w:t>
            </w:r>
            <w:r w:rsidR="005176F0">
              <w:rPr>
                <w:bCs/>
                <w:sz w:val="23"/>
                <w:szCs w:val="23"/>
              </w:rPr>
              <w:t xml:space="preserve">under the source </w:t>
            </w:r>
            <w:r w:rsidR="00B304FD" w:rsidRPr="00147E70">
              <w:rPr>
                <w:bCs/>
                <w:sz w:val="23"/>
                <w:szCs w:val="23"/>
              </w:rPr>
              <w:t>in the TVOP</w:t>
            </w:r>
            <w:r w:rsidR="00575F6C" w:rsidRPr="00147E70">
              <w:rPr>
                <w:bCs/>
                <w:sz w:val="23"/>
                <w:szCs w:val="23"/>
              </w:rPr>
              <w:t>.</w:t>
            </w:r>
            <w:r w:rsidR="00B304FD" w:rsidRPr="00147E70">
              <w:rPr>
                <w:bCs/>
                <w:sz w:val="23"/>
                <w:szCs w:val="23"/>
              </w:rPr>
              <w:t xml:space="preserve"> </w:t>
            </w:r>
            <w:r w:rsidR="00B77ED7">
              <w:rPr>
                <w:bCs/>
                <w:sz w:val="23"/>
                <w:szCs w:val="23"/>
              </w:rPr>
              <w:br/>
            </w:r>
            <w:r w:rsidR="00B77ED7">
              <w:rPr>
                <w:bCs/>
                <w:sz w:val="23"/>
                <w:szCs w:val="23"/>
              </w:rPr>
              <w:br/>
            </w:r>
            <w:r w:rsidR="00B304FD" w:rsidRPr="00147E70">
              <w:rPr>
                <w:bCs/>
                <w:sz w:val="23"/>
                <w:szCs w:val="23"/>
              </w:rPr>
              <w:t xml:space="preserve"> </w:t>
            </w:r>
            <w:bookmarkEnd w:id="19"/>
          </w:p>
        </w:tc>
      </w:tr>
      <w:tr w:rsidR="002214BA" w:rsidTr="00A14795">
        <w:tc>
          <w:tcPr>
            <w:tcW w:w="1188" w:type="dxa"/>
            <w:shd w:val="clear" w:color="auto" w:fill="auto"/>
          </w:tcPr>
          <w:p w:rsidR="002214BA" w:rsidRDefault="001821FF" w:rsidP="002214BA">
            <w:pPr>
              <w:jc w:val="center"/>
              <w:rPr>
                <w:b/>
                <w:bCs/>
              </w:rPr>
            </w:pPr>
            <w:r>
              <w:rPr>
                <w:b/>
                <w:bCs/>
              </w:rPr>
              <w:t>055</w:t>
            </w:r>
          </w:p>
        </w:tc>
        <w:tc>
          <w:tcPr>
            <w:tcW w:w="3690" w:type="dxa"/>
            <w:shd w:val="clear" w:color="auto" w:fill="auto"/>
          </w:tcPr>
          <w:p w:rsidR="002214BA" w:rsidRPr="00A14795" w:rsidRDefault="001821FF" w:rsidP="00A14795">
            <w:pPr>
              <w:pStyle w:val="ListParagraph"/>
              <w:numPr>
                <w:ilvl w:val="0"/>
                <w:numId w:val="26"/>
              </w:numPr>
              <w:ind w:left="326"/>
              <w:rPr>
                <w:b/>
                <w:bCs/>
              </w:rPr>
            </w:pPr>
            <w:r w:rsidRPr="00A14795">
              <w:rPr>
                <w:bCs/>
                <w:sz w:val="23"/>
                <w:szCs w:val="23"/>
              </w:rPr>
              <w:t>A case-by-case analysis was performed for NOx, and it was determined that there were no technically and economically feasible controls for this source.  No emission limits were incorporated into the RACT Operating Permit.</w:t>
            </w:r>
            <w:r w:rsidRPr="00A14795">
              <w:rPr>
                <w:bCs/>
                <w:sz w:val="23"/>
                <w:szCs w:val="23"/>
              </w:rPr>
              <w:br/>
            </w:r>
          </w:p>
        </w:tc>
        <w:tc>
          <w:tcPr>
            <w:tcW w:w="5760" w:type="dxa"/>
            <w:shd w:val="clear" w:color="auto" w:fill="auto"/>
            <w:vAlign w:val="center"/>
          </w:tcPr>
          <w:p w:rsidR="001821FF" w:rsidRDefault="001821FF" w:rsidP="003630AF">
            <w:pPr>
              <w:pStyle w:val="ListParagraph"/>
              <w:numPr>
                <w:ilvl w:val="0"/>
                <w:numId w:val="26"/>
              </w:numPr>
              <w:ind w:left="328"/>
              <w:rPr>
                <w:b/>
                <w:bCs/>
              </w:rPr>
            </w:pPr>
            <w:r w:rsidRPr="003630AF">
              <w:rPr>
                <w:bCs/>
                <w:sz w:val="23"/>
                <w:szCs w:val="23"/>
              </w:rPr>
              <w:t xml:space="preserve">The EMS Boiler was unable to meet the presumptive RACT limit of </w:t>
            </w:r>
            <w:r w:rsidRPr="003630AF">
              <w:rPr>
                <w:sz w:val="23"/>
                <w:szCs w:val="23"/>
              </w:rPr>
              <w:t xml:space="preserve">0.10 </w:t>
            </w:r>
            <w:proofErr w:type="spellStart"/>
            <w:r w:rsidRPr="003630AF">
              <w:rPr>
                <w:sz w:val="23"/>
                <w:szCs w:val="23"/>
              </w:rPr>
              <w:t>lb</w:t>
            </w:r>
            <w:proofErr w:type="spellEnd"/>
            <w:r w:rsidRPr="003630AF">
              <w:rPr>
                <w:sz w:val="23"/>
                <w:szCs w:val="23"/>
              </w:rPr>
              <w:t xml:space="preserve"> NO</w:t>
            </w:r>
            <w:r w:rsidRPr="003630AF">
              <w:rPr>
                <w:sz w:val="23"/>
                <w:szCs w:val="23"/>
                <w:vertAlign w:val="subscript"/>
              </w:rPr>
              <w:t>x</w:t>
            </w:r>
            <w:r w:rsidRPr="003630AF">
              <w:rPr>
                <w:sz w:val="23"/>
                <w:szCs w:val="23"/>
              </w:rPr>
              <w:t>/million Btu heat input.  Therefore, a case-by-case analysis was performed, and it was determined that there were no technically and economically feasible controls for this source.</w:t>
            </w:r>
            <w:r w:rsidRPr="003630AF">
              <w:rPr>
                <w:sz w:val="23"/>
                <w:szCs w:val="23"/>
              </w:rPr>
              <w:br/>
              <w:t xml:space="preserve">Therefore, the EMS Boiler will be subject to a short-term NOx limit of 0.147 </w:t>
            </w:r>
            <w:proofErr w:type="spellStart"/>
            <w:r w:rsidRPr="003630AF">
              <w:rPr>
                <w:sz w:val="23"/>
                <w:szCs w:val="23"/>
              </w:rPr>
              <w:t>lb</w:t>
            </w:r>
            <w:proofErr w:type="spellEnd"/>
            <w:r w:rsidRPr="003630AF">
              <w:rPr>
                <w:sz w:val="23"/>
                <w:szCs w:val="23"/>
              </w:rPr>
              <w:t xml:space="preserve">/Mcf of natural gas and a long-term NOx limit of 19.62 tons per 12-month rolling period.  According to ArcelorMittal Plate, the short-term emission rate was provided by the manufacturer.  Testing shall be performed every 5 years to demonstrate compliance to the short-term NOx limit.  </w:t>
            </w:r>
            <w:r w:rsidR="003630AF" w:rsidRPr="003630AF">
              <w:rPr>
                <w:sz w:val="23"/>
                <w:szCs w:val="23"/>
              </w:rPr>
              <w:t xml:space="preserve">Additionally, the EMS Boiler is subject to a fuel restriction of 267 million cubic of natural gas per 12-month rolling period.  </w:t>
            </w:r>
            <w:r w:rsidRPr="003630AF">
              <w:rPr>
                <w:sz w:val="23"/>
                <w:szCs w:val="23"/>
              </w:rPr>
              <w:t>Records shall be maintained to demonstrate compliance with the long-term NOx limit</w:t>
            </w:r>
            <w:r w:rsidR="003630AF">
              <w:rPr>
                <w:sz w:val="23"/>
                <w:szCs w:val="23"/>
              </w:rPr>
              <w:t xml:space="preserve"> and the fuel restriction</w:t>
            </w:r>
            <w:r w:rsidRPr="003630AF">
              <w:rPr>
                <w:sz w:val="23"/>
                <w:szCs w:val="23"/>
              </w:rPr>
              <w:t>.</w:t>
            </w:r>
          </w:p>
        </w:tc>
      </w:tr>
    </w:tbl>
    <w:p w:rsidR="001821FF" w:rsidRDefault="001821FF"/>
    <w:p w:rsidR="001821FF" w:rsidRDefault="001821FF"/>
    <w:tbl>
      <w:tblPr>
        <w:tblStyle w:val="TableGrid"/>
        <w:tblW w:w="10638" w:type="dxa"/>
        <w:tblInd w:w="-522" w:type="dxa"/>
        <w:tblLook w:val="04A0" w:firstRow="1" w:lastRow="0" w:firstColumn="1" w:lastColumn="0" w:noHBand="0" w:noVBand="1"/>
      </w:tblPr>
      <w:tblGrid>
        <w:gridCol w:w="1188"/>
        <w:gridCol w:w="3690"/>
        <w:gridCol w:w="5760"/>
      </w:tblGrid>
      <w:tr w:rsidR="001821FF" w:rsidTr="001821FF">
        <w:tc>
          <w:tcPr>
            <w:tcW w:w="1188" w:type="dxa"/>
            <w:shd w:val="clear" w:color="auto" w:fill="D9D9D9" w:themeFill="background1" w:themeFillShade="D9"/>
          </w:tcPr>
          <w:p w:rsidR="001821FF" w:rsidRDefault="001821FF" w:rsidP="001821FF">
            <w:pPr>
              <w:jc w:val="center"/>
              <w:rPr>
                <w:b/>
                <w:bCs/>
              </w:rPr>
            </w:pPr>
            <w:r>
              <w:rPr>
                <w:b/>
                <w:bCs/>
              </w:rPr>
              <w:t>Source ID</w:t>
            </w:r>
          </w:p>
        </w:tc>
        <w:tc>
          <w:tcPr>
            <w:tcW w:w="3690" w:type="dxa"/>
            <w:shd w:val="clear" w:color="auto" w:fill="D9D9D9" w:themeFill="background1" w:themeFillShade="D9"/>
            <w:vAlign w:val="center"/>
          </w:tcPr>
          <w:p w:rsidR="001821FF" w:rsidRDefault="001821FF" w:rsidP="001821FF">
            <w:pPr>
              <w:jc w:val="center"/>
              <w:rPr>
                <w:b/>
                <w:bCs/>
              </w:rPr>
            </w:pPr>
            <w:r>
              <w:rPr>
                <w:b/>
                <w:bCs/>
              </w:rPr>
              <w:t>Under RACT I</w:t>
            </w:r>
          </w:p>
        </w:tc>
        <w:tc>
          <w:tcPr>
            <w:tcW w:w="5760" w:type="dxa"/>
            <w:shd w:val="clear" w:color="auto" w:fill="D9D9D9" w:themeFill="background1" w:themeFillShade="D9"/>
            <w:vAlign w:val="center"/>
          </w:tcPr>
          <w:p w:rsidR="001821FF" w:rsidRDefault="001821FF" w:rsidP="001821FF">
            <w:pPr>
              <w:jc w:val="center"/>
              <w:rPr>
                <w:b/>
                <w:bCs/>
              </w:rPr>
            </w:pPr>
            <w:r>
              <w:rPr>
                <w:b/>
                <w:bCs/>
              </w:rPr>
              <w:t>Under RACT II</w:t>
            </w:r>
          </w:p>
        </w:tc>
      </w:tr>
      <w:tr w:rsidR="002214BA" w:rsidTr="001821FF">
        <w:tc>
          <w:tcPr>
            <w:tcW w:w="1188" w:type="dxa"/>
          </w:tcPr>
          <w:p w:rsidR="002214BA" w:rsidRPr="00F70678" w:rsidRDefault="002214BA" w:rsidP="00575F6C">
            <w:pPr>
              <w:jc w:val="center"/>
              <w:rPr>
                <w:b/>
                <w:bCs/>
                <w:sz w:val="23"/>
                <w:szCs w:val="23"/>
                <w:highlight w:val="yellow"/>
              </w:rPr>
            </w:pPr>
            <w:r w:rsidRPr="00F70678">
              <w:rPr>
                <w:b/>
                <w:bCs/>
                <w:sz w:val="23"/>
                <w:szCs w:val="23"/>
              </w:rPr>
              <w:t>055</w:t>
            </w:r>
            <w:r w:rsidR="004777A2">
              <w:rPr>
                <w:b/>
                <w:bCs/>
                <w:sz w:val="23"/>
                <w:szCs w:val="23"/>
              </w:rPr>
              <w:t xml:space="preserve"> Cont’d</w:t>
            </w:r>
          </w:p>
        </w:tc>
        <w:tc>
          <w:tcPr>
            <w:tcW w:w="3690" w:type="dxa"/>
          </w:tcPr>
          <w:p w:rsidR="00B42980" w:rsidRPr="00F70678" w:rsidRDefault="003630AF" w:rsidP="00ED18AC">
            <w:pPr>
              <w:pStyle w:val="ListParagraph"/>
              <w:numPr>
                <w:ilvl w:val="0"/>
                <w:numId w:val="18"/>
              </w:numPr>
              <w:spacing w:after="120"/>
              <w:ind w:left="346" w:right="58"/>
              <w:contextualSpacing w:val="0"/>
              <w:rPr>
                <w:bCs/>
                <w:sz w:val="23"/>
                <w:szCs w:val="23"/>
              </w:rPr>
            </w:pPr>
            <w:r>
              <w:rPr>
                <w:bCs/>
                <w:sz w:val="23"/>
                <w:szCs w:val="23"/>
              </w:rPr>
              <w:t>Per case-by-case</w:t>
            </w:r>
            <w:r w:rsidR="009E5B4D">
              <w:rPr>
                <w:bCs/>
                <w:sz w:val="23"/>
                <w:szCs w:val="23"/>
              </w:rPr>
              <w:t xml:space="preserve"> RACT I, t</w:t>
            </w:r>
            <w:r w:rsidRPr="003630AF">
              <w:rPr>
                <w:bCs/>
                <w:sz w:val="23"/>
                <w:szCs w:val="23"/>
              </w:rPr>
              <w:t xml:space="preserve">his source was subject to operating per the manufacturer’s specifications and good operating practices, but </w:t>
            </w:r>
            <w:r w:rsidR="005176F0">
              <w:rPr>
                <w:bCs/>
                <w:sz w:val="23"/>
                <w:szCs w:val="23"/>
              </w:rPr>
              <w:t>this requirement</w:t>
            </w:r>
            <w:r w:rsidRPr="003630AF">
              <w:rPr>
                <w:bCs/>
                <w:sz w:val="23"/>
                <w:szCs w:val="23"/>
              </w:rPr>
              <w:t xml:space="preserve"> w</w:t>
            </w:r>
            <w:r w:rsidR="005176F0">
              <w:rPr>
                <w:bCs/>
                <w:sz w:val="23"/>
                <w:szCs w:val="23"/>
              </w:rPr>
              <w:t>as</w:t>
            </w:r>
            <w:r w:rsidRPr="003630AF">
              <w:rPr>
                <w:bCs/>
                <w:sz w:val="23"/>
                <w:szCs w:val="23"/>
              </w:rPr>
              <w:t xml:space="preserve"> omitted from</w:t>
            </w:r>
            <w:r w:rsidR="005176F0">
              <w:rPr>
                <w:bCs/>
                <w:sz w:val="23"/>
                <w:szCs w:val="23"/>
              </w:rPr>
              <w:t xml:space="preserve"> the source under</w:t>
            </w:r>
            <w:r w:rsidRPr="003630AF">
              <w:rPr>
                <w:bCs/>
                <w:sz w:val="23"/>
                <w:szCs w:val="23"/>
              </w:rPr>
              <w:t xml:space="preserve"> the TVOP.</w:t>
            </w:r>
          </w:p>
        </w:tc>
        <w:tc>
          <w:tcPr>
            <w:tcW w:w="5760" w:type="dxa"/>
          </w:tcPr>
          <w:p w:rsidR="002214BA" w:rsidRPr="00F70678" w:rsidRDefault="005176F0" w:rsidP="00D96663">
            <w:pPr>
              <w:pStyle w:val="ListParagraph"/>
              <w:numPr>
                <w:ilvl w:val="0"/>
                <w:numId w:val="18"/>
              </w:numPr>
              <w:spacing w:after="120"/>
              <w:ind w:left="346"/>
              <w:contextualSpacing w:val="0"/>
              <w:rPr>
                <w:bCs/>
                <w:sz w:val="23"/>
                <w:szCs w:val="23"/>
              </w:rPr>
            </w:pPr>
            <w:r w:rsidRPr="005176F0">
              <w:rPr>
                <w:bCs/>
                <w:sz w:val="23"/>
                <w:szCs w:val="23"/>
              </w:rPr>
              <w:t>A requirement to operate the source in accordance with manufacturer’s specifications (if available) and good operating practices has been placed under the source in the TVOP.</w:t>
            </w:r>
          </w:p>
        </w:tc>
      </w:tr>
      <w:tr w:rsidR="00B579E2" w:rsidRPr="00733FEA" w:rsidTr="002411BC">
        <w:tc>
          <w:tcPr>
            <w:tcW w:w="1188" w:type="dxa"/>
            <w:tcBorders>
              <w:bottom w:val="nil"/>
            </w:tcBorders>
          </w:tcPr>
          <w:p w:rsidR="00B579E2" w:rsidRPr="00B43CC5" w:rsidRDefault="00B579E2" w:rsidP="0026577C">
            <w:pPr>
              <w:jc w:val="center"/>
              <w:rPr>
                <w:b/>
                <w:bCs/>
                <w:sz w:val="23"/>
                <w:szCs w:val="23"/>
                <w:highlight w:val="yellow"/>
              </w:rPr>
            </w:pPr>
            <w:r w:rsidRPr="00B43CC5">
              <w:rPr>
                <w:b/>
                <w:bCs/>
                <w:sz w:val="23"/>
                <w:szCs w:val="23"/>
              </w:rPr>
              <w:t>104</w:t>
            </w:r>
          </w:p>
        </w:tc>
        <w:tc>
          <w:tcPr>
            <w:tcW w:w="3690" w:type="dxa"/>
            <w:tcBorders>
              <w:bottom w:val="nil"/>
            </w:tcBorders>
          </w:tcPr>
          <w:p w:rsidR="00B579E2" w:rsidRPr="00452E6A" w:rsidRDefault="009811A1" w:rsidP="00452E6A">
            <w:pPr>
              <w:pStyle w:val="ListParagraph"/>
              <w:numPr>
                <w:ilvl w:val="0"/>
                <w:numId w:val="17"/>
              </w:numPr>
              <w:spacing w:after="120"/>
              <w:ind w:left="346" w:right="58"/>
              <w:contextualSpacing w:val="0"/>
              <w:rPr>
                <w:bCs/>
                <w:sz w:val="23"/>
                <w:szCs w:val="23"/>
              </w:rPr>
            </w:pPr>
            <w:r w:rsidRPr="00B43CC5">
              <w:rPr>
                <w:bCs/>
                <w:sz w:val="23"/>
                <w:szCs w:val="23"/>
              </w:rPr>
              <w:t>A case-by-case analysis was performed</w:t>
            </w:r>
            <w:r w:rsidR="002F2102" w:rsidRPr="00B43CC5">
              <w:rPr>
                <w:bCs/>
                <w:sz w:val="23"/>
                <w:szCs w:val="23"/>
              </w:rPr>
              <w:t xml:space="preserve"> for NOx and VOC</w:t>
            </w:r>
            <w:r w:rsidRPr="00B43CC5">
              <w:rPr>
                <w:bCs/>
                <w:sz w:val="23"/>
                <w:szCs w:val="23"/>
              </w:rPr>
              <w:t>, and it was determined that there were no technically and economically feasible controls for this source.  No emission limits were incorporated into the RACT Operating Permit.</w:t>
            </w:r>
            <w:r w:rsidR="00FD7C75" w:rsidRPr="00B43CC5">
              <w:rPr>
                <w:bCs/>
                <w:sz w:val="23"/>
                <w:szCs w:val="23"/>
              </w:rPr>
              <w:br/>
            </w:r>
            <w:r w:rsidR="00FD7C75" w:rsidRPr="00B43CC5">
              <w:rPr>
                <w:bCs/>
                <w:sz w:val="23"/>
                <w:szCs w:val="23"/>
              </w:rPr>
              <w:br/>
            </w:r>
            <w:r w:rsidR="00B8524E" w:rsidRPr="00B43CC5">
              <w:rPr>
                <w:bCs/>
                <w:sz w:val="23"/>
                <w:szCs w:val="23"/>
              </w:rPr>
              <w:br/>
            </w:r>
            <w:r w:rsidR="00FD7C75" w:rsidRPr="00B43CC5">
              <w:rPr>
                <w:bCs/>
                <w:sz w:val="23"/>
                <w:szCs w:val="23"/>
              </w:rPr>
              <w:br/>
            </w:r>
            <w:r w:rsidR="00FD7C75" w:rsidRPr="00B43CC5">
              <w:rPr>
                <w:bCs/>
                <w:sz w:val="23"/>
                <w:szCs w:val="23"/>
              </w:rPr>
              <w:br/>
            </w:r>
            <w:r w:rsidR="00FD7C75" w:rsidRPr="00B43CC5">
              <w:rPr>
                <w:bCs/>
                <w:sz w:val="23"/>
                <w:szCs w:val="23"/>
              </w:rPr>
              <w:br/>
            </w:r>
          </w:p>
        </w:tc>
        <w:tc>
          <w:tcPr>
            <w:tcW w:w="5760" w:type="dxa"/>
            <w:tcBorders>
              <w:bottom w:val="nil"/>
            </w:tcBorders>
          </w:tcPr>
          <w:p w:rsidR="00B579E2" w:rsidRPr="00664B7F" w:rsidRDefault="009811A1" w:rsidP="009811A1">
            <w:pPr>
              <w:pStyle w:val="ListParagraph"/>
              <w:numPr>
                <w:ilvl w:val="0"/>
                <w:numId w:val="17"/>
              </w:numPr>
              <w:spacing w:after="120"/>
              <w:ind w:left="346"/>
              <w:contextualSpacing w:val="0"/>
              <w:rPr>
                <w:bCs/>
                <w:sz w:val="23"/>
                <w:szCs w:val="23"/>
              </w:rPr>
            </w:pPr>
            <w:r w:rsidRPr="00B43CC5">
              <w:rPr>
                <w:bCs/>
                <w:sz w:val="23"/>
                <w:szCs w:val="23"/>
              </w:rPr>
              <w:t xml:space="preserve">A case-by-case analysis was performed, and it was determined that there were no technically and economically feasible controls for </w:t>
            </w:r>
            <w:r w:rsidRPr="00664B7F">
              <w:rPr>
                <w:bCs/>
                <w:sz w:val="23"/>
                <w:szCs w:val="23"/>
              </w:rPr>
              <w:t xml:space="preserve">this source.  </w:t>
            </w:r>
            <w:r w:rsidR="00FD7C75" w:rsidRPr="00664B7F">
              <w:rPr>
                <w:bCs/>
                <w:sz w:val="23"/>
                <w:szCs w:val="23"/>
              </w:rPr>
              <w:t>The following emission limits have been determined to meet RACT II, which were derived from stack testing</w:t>
            </w:r>
            <w:r w:rsidR="00224550" w:rsidRPr="00664B7F">
              <w:rPr>
                <w:bCs/>
                <w:sz w:val="23"/>
                <w:szCs w:val="23"/>
              </w:rPr>
              <w:t xml:space="preserve"> (refer to Table 5</w:t>
            </w:r>
            <w:r w:rsidR="00AB6C8E">
              <w:rPr>
                <w:bCs/>
                <w:sz w:val="23"/>
                <w:szCs w:val="23"/>
              </w:rPr>
              <w:t>b</w:t>
            </w:r>
            <w:r w:rsidR="00224550" w:rsidRPr="00664B7F">
              <w:rPr>
                <w:bCs/>
                <w:sz w:val="23"/>
                <w:szCs w:val="23"/>
              </w:rPr>
              <w:t xml:space="preserve"> for supporting calculations)</w:t>
            </w:r>
            <w:r w:rsidR="00FD7C75" w:rsidRPr="00664B7F">
              <w:rPr>
                <w:bCs/>
                <w:sz w:val="23"/>
                <w:szCs w:val="23"/>
              </w:rPr>
              <w:t>:</w:t>
            </w:r>
          </w:p>
          <w:p w:rsidR="00B8524E" w:rsidRPr="00B43CC5" w:rsidRDefault="00B8524E" w:rsidP="00B8524E">
            <w:pPr>
              <w:pStyle w:val="ListParagraph"/>
              <w:spacing w:after="120"/>
              <w:ind w:left="346"/>
              <w:contextualSpacing w:val="0"/>
              <w:rPr>
                <w:bCs/>
                <w:sz w:val="23"/>
                <w:szCs w:val="23"/>
              </w:rPr>
            </w:pPr>
            <w:r w:rsidRPr="00B43CC5">
              <w:rPr>
                <w:bCs/>
                <w:sz w:val="23"/>
                <w:szCs w:val="23"/>
              </w:rPr>
              <w:t xml:space="preserve">  </w:t>
            </w:r>
            <w:r w:rsidR="00FD7C75" w:rsidRPr="00B43CC5">
              <w:rPr>
                <w:bCs/>
                <w:sz w:val="23"/>
                <w:szCs w:val="23"/>
              </w:rPr>
              <w:t xml:space="preserve">0.44 </w:t>
            </w:r>
            <w:proofErr w:type="spellStart"/>
            <w:r w:rsidR="00FD7C75" w:rsidRPr="00B43CC5">
              <w:rPr>
                <w:bCs/>
                <w:sz w:val="23"/>
                <w:szCs w:val="23"/>
              </w:rPr>
              <w:t>lb</w:t>
            </w:r>
            <w:proofErr w:type="spellEnd"/>
            <w:r w:rsidR="00FD7C75" w:rsidRPr="00B43CC5">
              <w:rPr>
                <w:bCs/>
                <w:sz w:val="23"/>
                <w:szCs w:val="23"/>
              </w:rPr>
              <w:t xml:space="preserve"> NOx/ton of steel produced</w:t>
            </w:r>
            <w:r w:rsidR="00FD7C75" w:rsidRPr="00B43CC5">
              <w:rPr>
                <w:bCs/>
                <w:sz w:val="23"/>
                <w:szCs w:val="23"/>
              </w:rPr>
              <w:br/>
            </w:r>
            <w:r w:rsidRPr="00B43CC5">
              <w:rPr>
                <w:bCs/>
                <w:sz w:val="23"/>
                <w:szCs w:val="23"/>
              </w:rPr>
              <w:t xml:space="preserve">  </w:t>
            </w:r>
            <w:r w:rsidR="00FD7C75" w:rsidRPr="00B43CC5">
              <w:rPr>
                <w:bCs/>
                <w:sz w:val="23"/>
                <w:szCs w:val="23"/>
              </w:rPr>
              <w:t>340.6 tons NOx per 12-month rolling period</w:t>
            </w:r>
            <w:r w:rsidR="00FD7C75" w:rsidRPr="00B43CC5">
              <w:rPr>
                <w:bCs/>
                <w:sz w:val="23"/>
                <w:szCs w:val="23"/>
              </w:rPr>
              <w:br/>
            </w:r>
            <w:r w:rsidRPr="00B43CC5">
              <w:rPr>
                <w:bCs/>
                <w:sz w:val="23"/>
                <w:szCs w:val="23"/>
              </w:rPr>
              <w:t xml:space="preserve">  </w:t>
            </w:r>
            <w:r w:rsidR="00FD7C75" w:rsidRPr="00B43CC5">
              <w:rPr>
                <w:bCs/>
                <w:sz w:val="23"/>
                <w:szCs w:val="23"/>
              </w:rPr>
              <w:t xml:space="preserve">0.636 </w:t>
            </w:r>
            <w:proofErr w:type="spellStart"/>
            <w:r w:rsidR="00FD7C75" w:rsidRPr="00B43CC5">
              <w:rPr>
                <w:bCs/>
                <w:sz w:val="23"/>
                <w:szCs w:val="23"/>
              </w:rPr>
              <w:t>lb</w:t>
            </w:r>
            <w:proofErr w:type="spellEnd"/>
            <w:r w:rsidR="00FD7C75" w:rsidRPr="00B43CC5">
              <w:rPr>
                <w:bCs/>
                <w:sz w:val="23"/>
                <w:szCs w:val="23"/>
              </w:rPr>
              <w:t xml:space="preserve"> VOC/ton of steel produced</w:t>
            </w:r>
            <w:r w:rsidR="00FD7C75" w:rsidRPr="00B43CC5">
              <w:rPr>
                <w:bCs/>
                <w:sz w:val="23"/>
                <w:szCs w:val="23"/>
              </w:rPr>
              <w:br/>
            </w:r>
            <w:r w:rsidRPr="00B43CC5">
              <w:rPr>
                <w:bCs/>
                <w:sz w:val="23"/>
                <w:szCs w:val="23"/>
              </w:rPr>
              <w:t xml:space="preserve">  </w:t>
            </w:r>
            <w:r w:rsidR="00FD7C75" w:rsidRPr="00B43CC5">
              <w:rPr>
                <w:bCs/>
                <w:sz w:val="23"/>
                <w:szCs w:val="23"/>
              </w:rPr>
              <w:t>492.9 tons per 12-month rolling period</w:t>
            </w:r>
          </w:p>
          <w:p w:rsidR="00B579E2" w:rsidRPr="00452E6A" w:rsidRDefault="00FD7C75" w:rsidP="002411BC">
            <w:pPr>
              <w:pStyle w:val="ListParagraph"/>
              <w:spacing w:after="120"/>
              <w:ind w:left="346"/>
              <w:contextualSpacing w:val="0"/>
              <w:rPr>
                <w:bCs/>
                <w:sz w:val="23"/>
                <w:szCs w:val="23"/>
              </w:rPr>
            </w:pPr>
            <w:r w:rsidRPr="00B43CC5">
              <w:rPr>
                <w:sz w:val="23"/>
                <w:szCs w:val="23"/>
              </w:rPr>
              <w:t>Testing shall be performed every 5 years to demonstrate compliance to the short-term limit</w:t>
            </w:r>
            <w:r w:rsidR="00B8524E" w:rsidRPr="00B43CC5">
              <w:rPr>
                <w:sz w:val="23"/>
                <w:szCs w:val="23"/>
              </w:rPr>
              <w:t>s</w:t>
            </w:r>
            <w:r w:rsidRPr="00B43CC5">
              <w:rPr>
                <w:sz w:val="23"/>
                <w:szCs w:val="23"/>
              </w:rPr>
              <w:t xml:space="preserve">.  </w:t>
            </w:r>
            <w:r w:rsidR="005176F0">
              <w:rPr>
                <w:sz w:val="23"/>
                <w:szCs w:val="23"/>
              </w:rPr>
              <w:t>Additionally, this source is subject to a throughput restriction of 1.55 million tons of steel per year.</w:t>
            </w:r>
            <w:r w:rsidR="002411BC">
              <w:rPr>
                <w:sz w:val="23"/>
                <w:szCs w:val="23"/>
              </w:rPr>
              <w:t xml:space="preserve">  </w:t>
            </w:r>
            <w:r w:rsidRPr="00B43CC5">
              <w:rPr>
                <w:sz w:val="23"/>
                <w:szCs w:val="23"/>
              </w:rPr>
              <w:t xml:space="preserve">Records shall be maintained to demonstrate compliance with the long-term </w:t>
            </w:r>
            <w:r w:rsidR="002411BC">
              <w:rPr>
                <w:sz w:val="23"/>
                <w:szCs w:val="23"/>
              </w:rPr>
              <w:t xml:space="preserve">emission </w:t>
            </w:r>
            <w:r w:rsidRPr="00B43CC5">
              <w:rPr>
                <w:sz w:val="23"/>
                <w:szCs w:val="23"/>
              </w:rPr>
              <w:t>limit</w:t>
            </w:r>
            <w:r w:rsidR="00B8524E" w:rsidRPr="00B43CC5">
              <w:rPr>
                <w:sz w:val="23"/>
                <w:szCs w:val="23"/>
              </w:rPr>
              <w:t>s</w:t>
            </w:r>
            <w:r w:rsidR="002411BC">
              <w:rPr>
                <w:sz w:val="23"/>
                <w:szCs w:val="23"/>
              </w:rPr>
              <w:t xml:space="preserve"> and throughput restriction</w:t>
            </w:r>
            <w:r w:rsidRPr="00B43CC5">
              <w:rPr>
                <w:sz w:val="23"/>
                <w:szCs w:val="23"/>
              </w:rPr>
              <w:t xml:space="preserve">.  </w:t>
            </w:r>
          </w:p>
        </w:tc>
      </w:tr>
      <w:tr w:rsidR="00452E6A" w:rsidRPr="00733FEA" w:rsidTr="002411BC">
        <w:tc>
          <w:tcPr>
            <w:tcW w:w="1188" w:type="dxa"/>
            <w:tcBorders>
              <w:top w:val="nil"/>
            </w:tcBorders>
          </w:tcPr>
          <w:p w:rsidR="00452E6A" w:rsidRPr="00B43CC5" w:rsidRDefault="00452E6A" w:rsidP="00452E6A">
            <w:pPr>
              <w:jc w:val="center"/>
              <w:rPr>
                <w:b/>
                <w:bCs/>
                <w:sz w:val="23"/>
                <w:szCs w:val="23"/>
              </w:rPr>
            </w:pPr>
          </w:p>
        </w:tc>
        <w:tc>
          <w:tcPr>
            <w:tcW w:w="3690" w:type="dxa"/>
            <w:tcBorders>
              <w:top w:val="nil"/>
            </w:tcBorders>
          </w:tcPr>
          <w:p w:rsidR="00452E6A" w:rsidRPr="00B43CC5" w:rsidRDefault="002411BC" w:rsidP="00452E6A">
            <w:pPr>
              <w:pStyle w:val="ListParagraph"/>
              <w:numPr>
                <w:ilvl w:val="0"/>
                <w:numId w:val="17"/>
              </w:numPr>
              <w:spacing w:after="120"/>
              <w:ind w:left="346" w:right="58"/>
              <w:contextualSpacing w:val="0"/>
              <w:rPr>
                <w:bCs/>
                <w:sz w:val="23"/>
                <w:szCs w:val="23"/>
              </w:rPr>
            </w:pPr>
            <w:r w:rsidRPr="002411BC">
              <w:rPr>
                <w:bCs/>
                <w:sz w:val="23"/>
                <w:szCs w:val="23"/>
              </w:rPr>
              <w:t>Per case-by-case RACT I, this source was subject to operating per the manufacturer’s specifications and good operating practices, but this requirement was omitted from the source under the TVOP.</w:t>
            </w:r>
          </w:p>
        </w:tc>
        <w:tc>
          <w:tcPr>
            <w:tcW w:w="5760" w:type="dxa"/>
            <w:tcBorders>
              <w:top w:val="nil"/>
            </w:tcBorders>
          </w:tcPr>
          <w:p w:rsidR="00452E6A" w:rsidRPr="00B43CC5" w:rsidRDefault="002411BC" w:rsidP="00452E6A">
            <w:pPr>
              <w:pStyle w:val="ListParagraph"/>
              <w:numPr>
                <w:ilvl w:val="0"/>
                <w:numId w:val="17"/>
              </w:numPr>
              <w:spacing w:after="120"/>
              <w:ind w:left="346"/>
              <w:contextualSpacing w:val="0"/>
              <w:rPr>
                <w:bCs/>
                <w:sz w:val="23"/>
                <w:szCs w:val="23"/>
              </w:rPr>
            </w:pPr>
            <w:r w:rsidRPr="002411BC">
              <w:rPr>
                <w:bCs/>
                <w:sz w:val="23"/>
                <w:szCs w:val="23"/>
              </w:rPr>
              <w:t>A requirement to operate the source in accordance with manufacturer’s specifications (if available) and good operating practices has been placed under the source in the TVOP.</w:t>
            </w:r>
          </w:p>
        </w:tc>
      </w:tr>
    </w:tbl>
    <w:p w:rsidR="005D37BA" w:rsidRDefault="005D37BA"/>
    <w:p w:rsidR="00EF0E5D" w:rsidRDefault="00EF0E5D"/>
    <w:p w:rsidR="00EF0E5D" w:rsidRDefault="00EF0E5D"/>
    <w:p w:rsidR="00EF0E5D" w:rsidRDefault="00EF0E5D"/>
    <w:p w:rsidR="00EF0E5D" w:rsidRDefault="00EF0E5D"/>
    <w:p w:rsidR="00EF0E5D" w:rsidRDefault="00EF0E5D"/>
    <w:p w:rsidR="0011725D" w:rsidRDefault="0011725D"/>
    <w:p w:rsidR="0011725D" w:rsidRDefault="0011725D"/>
    <w:p w:rsidR="0011725D" w:rsidRDefault="0011725D"/>
    <w:p w:rsidR="00EF0E5D" w:rsidRDefault="00EF0E5D"/>
    <w:p w:rsidR="00EF0E5D" w:rsidRDefault="00EF0E5D"/>
    <w:tbl>
      <w:tblPr>
        <w:tblStyle w:val="TableGrid"/>
        <w:tblW w:w="10638" w:type="dxa"/>
        <w:tblInd w:w="-522" w:type="dxa"/>
        <w:tblLook w:val="04A0" w:firstRow="1" w:lastRow="0" w:firstColumn="1" w:lastColumn="0" w:noHBand="0" w:noVBand="1"/>
      </w:tblPr>
      <w:tblGrid>
        <w:gridCol w:w="1188"/>
        <w:gridCol w:w="3690"/>
        <w:gridCol w:w="5760"/>
      </w:tblGrid>
      <w:tr w:rsidR="00EF0E5D" w:rsidRPr="00733FEA" w:rsidTr="009B13B8">
        <w:tc>
          <w:tcPr>
            <w:tcW w:w="1188" w:type="dxa"/>
            <w:shd w:val="clear" w:color="auto" w:fill="D9D9D9" w:themeFill="background1" w:themeFillShade="D9"/>
          </w:tcPr>
          <w:p w:rsidR="00EF0E5D" w:rsidRDefault="00EF0E5D" w:rsidP="00EF0E5D">
            <w:pPr>
              <w:jc w:val="center"/>
              <w:rPr>
                <w:b/>
                <w:bCs/>
              </w:rPr>
            </w:pPr>
            <w:r>
              <w:rPr>
                <w:b/>
                <w:bCs/>
              </w:rPr>
              <w:lastRenderedPageBreak/>
              <w:t>Source ID</w:t>
            </w:r>
          </w:p>
        </w:tc>
        <w:tc>
          <w:tcPr>
            <w:tcW w:w="3690" w:type="dxa"/>
            <w:shd w:val="clear" w:color="auto" w:fill="D9D9D9" w:themeFill="background1" w:themeFillShade="D9"/>
            <w:vAlign w:val="center"/>
          </w:tcPr>
          <w:p w:rsidR="00EF0E5D" w:rsidRDefault="00EF0E5D" w:rsidP="00EF0E5D">
            <w:pPr>
              <w:jc w:val="center"/>
              <w:rPr>
                <w:b/>
                <w:bCs/>
              </w:rPr>
            </w:pPr>
            <w:r>
              <w:rPr>
                <w:b/>
                <w:bCs/>
              </w:rPr>
              <w:t>Under RACT I</w:t>
            </w:r>
          </w:p>
        </w:tc>
        <w:tc>
          <w:tcPr>
            <w:tcW w:w="5760" w:type="dxa"/>
            <w:shd w:val="clear" w:color="auto" w:fill="D9D9D9" w:themeFill="background1" w:themeFillShade="D9"/>
            <w:vAlign w:val="center"/>
          </w:tcPr>
          <w:p w:rsidR="00EF0E5D" w:rsidRDefault="00EF0E5D" w:rsidP="00EF0E5D">
            <w:pPr>
              <w:jc w:val="center"/>
              <w:rPr>
                <w:b/>
                <w:bCs/>
              </w:rPr>
            </w:pPr>
            <w:r>
              <w:rPr>
                <w:b/>
                <w:bCs/>
              </w:rPr>
              <w:t>Under RACT II</w:t>
            </w:r>
          </w:p>
        </w:tc>
      </w:tr>
      <w:tr w:rsidR="00307B1D" w:rsidRPr="00733FEA" w:rsidTr="00ED34F6">
        <w:tc>
          <w:tcPr>
            <w:tcW w:w="1188" w:type="dxa"/>
          </w:tcPr>
          <w:p w:rsidR="00307B1D" w:rsidRPr="00B43CC5" w:rsidRDefault="00307B1D" w:rsidP="0026577C">
            <w:pPr>
              <w:jc w:val="center"/>
              <w:rPr>
                <w:b/>
                <w:bCs/>
                <w:sz w:val="23"/>
                <w:szCs w:val="23"/>
                <w:highlight w:val="yellow"/>
              </w:rPr>
            </w:pPr>
            <w:r w:rsidRPr="00B43CC5">
              <w:rPr>
                <w:b/>
                <w:bCs/>
                <w:sz w:val="23"/>
                <w:szCs w:val="23"/>
              </w:rPr>
              <w:t>136</w:t>
            </w:r>
          </w:p>
        </w:tc>
        <w:tc>
          <w:tcPr>
            <w:tcW w:w="3690" w:type="dxa"/>
          </w:tcPr>
          <w:p w:rsidR="00083076" w:rsidRPr="006C6A71" w:rsidRDefault="00083076" w:rsidP="006C6A71">
            <w:pPr>
              <w:pStyle w:val="ListParagraph"/>
              <w:numPr>
                <w:ilvl w:val="0"/>
                <w:numId w:val="17"/>
              </w:numPr>
              <w:spacing w:after="120"/>
              <w:ind w:left="346" w:right="58"/>
              <w:contextualSpacing w:val="0"/>
              <w:rPr>
                <w:bCs/>
                <w:sz w:val="23"/>
                <w:szCs w:val="23"/>
              </w:rPr>
            </w:pPr>
            <w:r w:rsidRPr="005356BA">
              <w:rPr>
                <w:bCs/>
                <w:sz w:val="23"/>
                <w:szCs w:val="23"/>
              </w:rPr>
              <w:t>A case-by-case analysis was performed for NOx, and it was determined that there were no technically and economically feasible controls for this source</w:t>
            </w:r>
            <w:r w:rsidR="00E61DE8" w:rsidRPr="005356BA">
              <w:rPr>
                <w:bCs/>
                <w:sz w:val="23"/>
                <w:szCs w:val="23"/>
              </w:rPr>
              <w:t xml:space="preserve"> group</w:t>
            </w:r>
            <w:r w:rsidRPr="005356BA">
              <w:rPr>
                <w:bCs/>
                <w:sz w:val="23"/>
                <w:szCs w:val="23"/>
              </w:rPr>
              <w:t>.  There were no NOx limits.</w:t>
            </w:r>
            <w:r w:rsidR="006C6A71">
              <w:rPr>
                <w:bCs/>
                <w:sz w:val="23"/>
                <w:szCs w:val="23"/>
              </w:rPr>
              <w:br/>
            </w:r>
            <w:r w:rsidR="006C6A71">
              <w:rPr>
                <w:bCs/>
                <w:sz w:val="23"/>
                <w:szCs w:val="23"/>
              </w:rPr>
              <w:br/>
            </w:r>
            <w:r w:rsidR="00C54D90">
              <w:rPr>
                <w:bCs/>
                <w:sz w:val="23"/>
                <w:szCs w:val="23"/>
              </w:rPr>
              <w:br/>
            </w:r>
            <w:r w:rsidR="00C54D90" w:rsidRPr="006C6A71">
              <w:rPr>
                <w:bCs/>
                <w:sz w:val="23"/>
                <w:szCs w:val="23"/>
              </w:rPr>
              <w:br/>
            </w:r>
            <w:r w:rsidR="00CC001A" w:rsidRPr="006C6A71">
              <w:rPr>
                <w:bCs/>
                <w:sz w:val="23"/>
                <w:szCs w:val="23"/>
              </w:rPr>
              <w:br/>
            </w:r>
          </w:p>
          <w:p w:rsidR="002411BC" w:rsidRPr="002411BC" w:rsidRDefault="002411BC" w:rsidP="002411BC">
            <w:pPr>
              <w:pStyle w:val="ListParagraph"/>
              <w:numPr>
                <w:ilvl w:val="0"/>
                <w:numId w:val="17"/>
              </w:numPr>
              <w:spacing w:after="120"/>
              <w:ind w:left="346" w:right="58"/>
              <w:contextualSpacing w:val="0"/>
              <w:rPr>
                <w:bCs/>
                <w:sz w:val="23"/>
                <w:szCs w:val="23"/>
              </w:rPr>
            </w:pPr>
            <w:r w:rsidRPr="002411BC">
              <w:rPr>
                <w:bCs/>
                <w:sz w:val="23"/>
                <w:szCs w:val="23"/>
              </w:rPr>
              <w:t>Per case-by-case RACT I, this source</w:t>
            </w:r>
            <w:r w:rsidR="00EF0E5D">
              <w:rPr>
                <w:bCs/>
                <w:sz w:val="23"/>
                <w:szCs w:val="23"/>
              </w:rPr>
              <w:t xml:space="preserve"> group</w:t>
            </w:r>
            <w:r w:rsidRPr="002411BC">
              <w:rPr>
                <w:bCs/>
                <w:sz w:val="23"/>
                <w:szCs w:val="23"/>
              </w:rPr>
              <w:t xml:space="preserve"> was subject to operating per the manufacturer’s specifications and good operating practices, but this requirement was omitted from the source </w:t>
            </w:r>
            <w:r w:rsidR="00EF0E5D">
              <w:rPr>
                <w:bCs/>
                <w:sz w:val="23"/>
                <w:szCs w:val="23"/>
              </w:rPr>
              <w:t xml:space="preserve">group </w:t>
            </w:r>
            <w:r w:rsidRPr="002411BC">
              <w:rPr>
                <w:bCs/>
                <w:sz w:val="23"/>
                <w:szCs w:val="23"/>
              </w:rPr>
              <w:t>under the TVOP.</w:t>
            </w:r>
          </w:p>
        </w:tc>
        <w:tc>
          <w:tcPr>
            <w:tcW w:w="5760" w:type="dxa"/>
          </w:tcPr>
          <w:p w:rsidR="006C6A71" w:rsidRDefault="00D26B7A" w:rsidP="009811A1">
            <w:pPr>
              <w:pStyle w:val="ListParagraph"/>
              <w:numPr>
                <w:ilvl w:val="0"/>
                <w:numId w:val="17"/>
              </w:numPr>
              <w:spacing w:after="120"/>
              <w:ind w:left="346"/>
              <w:contextualSpacing w:val="0"/>
              <w:rPr>
                <w:bCs/>
                <w:sz w:val="23"/>
                <w:szCs w:val="23"/>
              </w:rPr>
            </w:pPr>
            <w:r w:rsidRPr="00832CC2">
              <w:rPr>
                <w:bCs/>
                <w:sz w:val="23"/>
                <w:szCs w:val="23"/>
              </w:rPr>
              <w:t>A case-by-case analysis was performed, and it was determined that there were no technically and economically feasible controls for this source</w:t>
            </w:r>
            <w:r w:rsidR="00155580" w:rsidRPr="00832CC2">
              <w:rPr>
                <w:bCs/>
                <w:sz w:val="23"/>
                <w:szCs w:val="23"/>
              </w:rPr>
              <w:t xml:space="preserve"> group</w:t>
            </w:r>
            <w:r w:rsidRPr="00832CC2">
              <w:rPr>
                <w:bCs/>
                <w:sz w:val="23"/>
                <w:szCs w:val="23"/>
              </w:rPr>
              <w:t xml:space="preserve">.  </w:t>
            </w:r>
            <w:r w:rsidR="005467FC">
              <w:rPr>
                <w:bCs/>
                <w:sz w:val="23"/>
                <w:szCs w:val="23"/>
              </w:rPr>
              <w:t xml:space="preserve">This source group shall comply with 12-month limit of </w:t>
            </w:r>
            <w:r w:rsidR="002411BC">
              <w:rPr>
                <w:bCs/>
                <w:sz w:val="23"/>
                <w:szCs w:val="23"/>
              </w:rPr>
              <w:t>173.6</w:t>
            </w:r>
            <w:r w:rsidR="005467FC">
              <w:rPr>
                <w:bCs/>
                <w:sz w:val="23"/>
                <w:szCs w:val="23"/>
              </w:rPr>
              <w:t xml:space="preserve"> tons for NOx by complying with a combined fuel restriction of 2,495.7 million cubic feet of natural gas per 12-month rolling period.  </w:t>
            </w:r>
            <w:r w:rsidR="006C6A71">
              <w:rPr>
                <w:bCs/>
                <w:sz w:val="23"/>
                <w:szCs w:val="23"/>
              </w:rPr>
              <w:t xml:space="preserve">The combined fuel rate under RACT I of 3,039.28 million cubic of natural gas per 12-month rolling period was reduced due to two units being shut down and decommissioned.  The revised fuel rate was calculated using the total </w:t>
            </w:r>
            <w:r w:rsidR="006C6A71" w:rsidRPr="006C6A71">
              <w:rPr>
                <w:bCs/>
                <w:sz w:val="23"/>
                <w:szCs w:val="23"/>
              </w:rPr>
              <w:t>rated capacity, 1,000 Btu/</w:t>
            </w:r>
            <w:proofErr w:type="spellStart"/>
            <w:r w:rsidR="006C6A71" w:rsidRPr="006C6A71">
              <w:rPr>
                <w:bCs/>
                <w:sz w:val="23"/>
                <w:szCs w:val="23"/>
              </w:rPr>
              <w:t>cf</w:t>
            </w:r>
            <w:proofErr w:type="spellEnd"/>
            <w:r w:rsidR="006C6A71" w:rsidRPr="006C6A71">
              <w:rPr>
                <w:bCs/>
                <w:sz w:val="23"/>
                <w:szCs w:val="23"/>
              </w:rPr>
              <w:t>, and 8,760 hours per year</w:t>
            </w:r>
          </w:p>
          <w:p w:rsidR="002411BC" w:rsidRPr="002411BC" w:rsidRDefault="002411BC" w:rsidP="00EF0E5D">
            <w:pPr>
              <w:pStyle w:val="ListParagraph"/>
              <w:numPr>
                <w:ilvl w:val="0"/>
                <w:numId w:val="17"/>
              </w:numPr>
              <w:spacing w:after="120"/>
              <w:ind w:left="346"/>
              <w:contextualSpacing w:val="0"/>
              <w:rPr>
                <w:bCs/>
                <w:sz w:val="23"/>
                <w:szCs w:val="23"/>
              </w:rPr>
            </w:pPr>
            <w:r w:rsidRPr="002411BC">
              <w:rPr>
                <w:bCs/>
                <w:sz w:val="23"/>
                <w:szCs w:val="23"/>
              </w:rPr>
              <w:t>A requirement to operate the source in accordance with manufacturer’s specifications (if available) and good operating practices has been placed under th</w:t>
            </w:r>
            <w:r w:rsidR="00EF0E5D">
              <w:rPr>
                <w:bCs/>
                <w:sz w:val="23"/>
                <w:szCs w:val="23"/>
              </w:rPr>
              <w:t>is</w:t>
            </w:r>
            <w:r w:rsidRPr="002411BC">
              <w:rPr>
                <w:bCs/>
                <w:sz w:val="23"/>
                <w:szCs w:val="23"/>
              </w:rPr>
              <w:t xml:space="preserve"> source </w:t>
            </w:r>
            <w:r w:rsidR="00EF0E5D">
              <w:rPr>
                <w:bCs/>
                <w:sz w:val="23"/>
                <w:szCs w:val="23"/>
              </w:rPr>
              <w:t xml:space="preserve">group </w:t>
            </w:r>
            <w:r w:rsidRPr="002411BC">
              <w:rPr>
                <w:bCs/>
                <w:sz w:val="23"/>
                <w:szCs w:val="23"/>
              </w:rPr>
              <w:t>in the TVOP.</w:t>
            </w:r>
          </w:p>
        </w:tc>
      </w:tr>
      <w:tr w:rsidR="00781597" w:rsidRPr="00733FEA" w:rsidTr="00ED34F6">
        <w:tc>
          <w:tcPr>
            <w:tcW w:w="1188" w:type="dxa"/>
          </w:tcPr>
          <w:p w:rsidR="00781597" w:rsidRPr="00494C34" w:rsidRDefault="00781597" w:rsidP="0026577C">
            <w:pPr>
              <w:jc w:val="center"/>
              <w:rPr>
                <w:b/>
                <w:bCs/>
                <w:sz w:val="23"/>
                <w:szCs w:val="23"/>
              </w:rPr>
            </w:pPr>
            <w:r w:rsidRPr="00494C34">
              <w:rPr>
                <w:b/>
                <w:bCs/>
                <w:sz w:val="23"/>
                <w:szCs w:val="23"/>
              </w:rPr>
              <w:t>146A</w:t>
            </w:r>
          </w:p>
        </w:tc>
        <w:tc>
          <w:tcPr>
            <w:tcW w:w="3690" w:type="dxa"/>
          </w:tcPr>
          <w:p w:rsidR="00F73FE8" w:rsidRDefault="00B47E59" w:rsidP="00EE1249">
            <w:pPr>
              <w:pStyle w:val="ListParagraph"/>
              <w:numPr>
                <w:ilvl w:val="0"/>
                <w:numId w:val="17"/>
              </w:numPr>
              <w:spacing w:after="120"/>
              <w:ind w:left="346" w:right="58"/>
              <w:contextualSpacing w:val="0"/>
              <w:rPr>
                <w:bCs/>
                <w:sz w:val="23"/>
                <w:szCs w:val="23"/>
              </w:rPr>
            </w:pPr>
            <w:r w:rsidRPr="00EE1249">
              <w:rPr>
                <w:bCs/>
                <w:sz w:val="23"/>
                <w:szCs w:val="23"/>
              </w:rPr>
              <w:t>A case-by-case analysis was performed</w:t>
            </w:r>
            <w:r w:rsidR="002F2102" w:rsidRPr="00EE1249">
              <w:rPr>
                <w:bCs/>
                <w:sz w:val="23"/>
                <w:szCs w:val="23"/>
              </w:rPr>
              <w:t xml:space="preserve"> for NOx</w:t>
            </w:r>
            <w:r w:rsidRPr="00EE1249">
              <w:rPr>
                <w:bCs/>
                <w:sz w:val="23"/>
                <w:szCs w:val="23"/>
              </w:rPr>
              <w:t>, and it was determined that there were no technically and economically feasible controls for this source.  No emission limits were incorporated into the RACT Operating Permit.</w:t>
            </w:r>
            <w:r w:rsidR="00B33F7F">
              <w:rPr>
                <w:bCs/>
                <w:sz w:val="23"/>
                <w:szCs w:val="23"/>
              </w:rPr>
              <w:br/>
            </w:r>
            <w:r w:rsidR="00B33F7F">
              <w:rPr>
                <w:bCs/>
                <w:sz w:val="23"/>
                <w:szCs w:val="23"/>
              </w:rPr>
              <w:br/>
            </w:r>
            <w:r w:rsidR="00B33F7F">
              <w:rPr>
                <w:bCs/>
                <w:sz w:val="23"/>
                <w:szCs w:val="23"/>
              </w:rPr>
              <w:br/>
            </w:r>
          </w:p>
          <w:p w:rsidR="00B33F7F" w:rsidRPr="00EE1249" w:rsidRDefault="00B33F7F" w:rsidP="00EE1249">
            <w:pPr>
              <w:pStyle w:val="ListParagraph"/>
              <w:numPr>
                <w:ilvl w:val="0"/>
                <w:numId w:val="17"/>
              </w:numPr>
              <w:spacing w:after="120"/>
              <w:ind w:left="346" w:right="58"/>
              <w:contextualSpacing w:val="0"/>
              <w:rPr>
                <w:bCs/>
                <w:sz w:val="23"/>
                <w:szCs w:val="23"/>
              </w:rPr>
            </w:pPr>
            <w:r w:rsidRPr="00B33F7F">
              <w:rPr>
                <w:bCs/>
                <w:sz w:val="23"/>
                <w:szCs w:val="23"/>
              </w:rPr>
              <w:t>Per case-by-case RACT I, this source was subject to operating per the manufacturer’s specifications and good operating practices, but this requirement was omitted from the source under the TVOP.</w:t>
            </w:r>
          </w:p>
        </w:tc>
        <w:tc>
          <w:tcPr>
            <w:tcW w:w="5760" w:type="dxa"/>
          </w:tcPr>
          <w:p w:rsidR="00F80288" w:rsidRPr="00B33F7F" w:rsidRDefault="00B47E59" w:rsidP="00EE1249">
            <w:pPr>
              <w:pStyle w:val="ListParagraph"/>
              <w:numPr>
                <w:ilvl w:val="0"/>
                <w:numId w:val="17"/>
              </w:numPr>
              <w:spacing w:after="120"/>
              <w:ind w:left="346"/>
              <w:contextualSpacing w:val="0"/>
              <w:rPr>
                <w:sz w:val="23"/>
                <w:szCs w:val="23"/>
              </w:rPr>
            </w:pPr>
            <w:r w:rsidRPr="00EE1249">
              <w:rPr>
                <w:bCs/>
                <w:sz w:val="23"/>
                <w:szCs w:val="23"/>
              </w:rPr>
              <w:t xml:space="preserve">A case-by-case analysis was performed, and it was determined that there were no technically and economically feasible controls for this source.  </w:t>
            </w:r>
            <w:r w:rsidR="00EB7500" w:rsidRPr="00EE1249">
              <w:rPr>
                <w:bCs/>
                <w:sz w:val="23"/>
                <w:szCs w:val="23"/>
              </w:rPr>
              <w:t xml:space="preserve">RACT II for this source is complying with a NOx limit of </w:t>
            </w:r>
            <w:r w:rsidR="00642BCB" w:rsidRPr="00EE1249">
              <w:rPr>
                <w:bCs/>
                <w:sz w:val="23"/>
                <w:szCs w:val="23"/>
              </w:rPr>
              <w:t>33.7 tons per 12-month rolling period along with a 12-month fuel restriction.</w:t>
            </w:r>
            <w:r w:rsidR="00B33F7F">
              <w:rPr>
                <w:bCs/>
                <w:sz w:val="23"/>
                <w:szCs w:val="23"/>
              </w:rPr>
              <w:t xml:space="preserve">  </w:t>
            </w:r>
            <w:r w:rsidR="00B33F7F" w:rsidRPr="00B33F7F">
              <w:rPr>
                <w:bCs/>
                <w:sz w:val="23"/>
                <w:szCs w:val="23"/>
              </w:rPr>
              <w:t>Due to a modification made to Source ID 146B</w:t>
            </w:r>
            <w:r w:rsidR="00B33F7F">
              <w:rPr>
                <w:bCs/>
                <w:sz w:val="23"/>
                <w:szCs w:val="23"/>
              </w:rPr>
              <w:t xml:space="preserve"> after RACT I</w:t>
            </w:r>
            <w:r w:rsidR="00B33F7F" w:rsidRPr="00B33F7F">
              <w:rPr>
                <w:bCs/>
                <w:sz w:val="23"/>
                <w:szCs w:val="23"/>
              </w:rPr>
              <w:t>, Source ID 146A was given an individual fuel restriction under Plan Approval No. 15-0010A, which is based on the rated capacity, 1,000 Btu/</w:t>
            </w:r>
            <w:proofErr w:type="spellStart"/>
            <w:r w:rsidR="00B33F7F" w:rsidRPr="00B33F7F">
              <w:rPr>
                <w:bCs/>
                <w:sz w:val="23"/>
                <w:szCs w:val="23"/>
              </w:rPr>
              <w:t>cf</w:t>
            </w:r>
            <w:proofErr w:type="spellEnd"/>
            <w:r w:rsidR="00B33F7F" w:rsidRPr="00B33F7F">
              <w:rPr>
                <w:bCs/>
                <w:sz w:val="23"/>
                <w:szCs w:val="23"/>
              </w:rPr>
              <w:t>, and 8,760 hours per year, which is consistent with how the original fuel restriction was determined.</w:t>
            </w:r>
          </w:p>
          <w:p w:rsidR="00B33F7F" w:rsidRPr="00EE1249" w:rsidRDefault="00B33F7F" w:rsidP="00EE1249">
            <w:pPr>
              <w:pStyle w:val="ListParagraph"/>
              <w:numPr>
                <w:ilvl w:val="0"/>
                <w:numId w:val="17"/>
              </w:numPr>
              <w:spacing w:after="120"/>
              <w:ind w:left="346"/>
              <w:contextualSpacing w:val="0"/>
              <w:rPr>
                <w:sz w:val="23"/>
                <w:szCs w:val="23"/>
              </w:rPr>
            </w:pPr>
            <w:r w:rsidRPr="00B33F7F">
              <w:rPr>
                <w:sz w:val="23"/>
                <w:szCs w:val="23"/>
              </w:rPr>
              <w:t xml:space="preserve">A requirement to operate the source in accordance with manufacturer’s specifications (if available) and good operating practices has been placed under the source in the TVOP.  </w:t>
            </w:r>
          </w:p>
        </w:tc>
      </w:tr>
    </w:tbl>
    <w:p w:rsidR="00EE1249" w:rsidRDefault="00EE1249"/>
    <w:p w:rsidR="00EE1249" w:rsidRDefault="00EE1249">
      <w:r>
        <w:br w:type="page"/>
      </w:r>
    </w:p>
    <w:tbl>
      <w:tblPr>
        <w:tblStyle w:val="TableGrid"/>
        <w:tblW w:w="10638" w:type="dxa"/>
        <w:tblInd w:w="-522" w:type="dxa"/>
        <w:tblLook w:val="04A0" w:firstRow="1" w:lastRow="0" w:firstColumn="1" w:lastColumn="0" w:noHBand="0" w:noVBand="1"/>
      </w:tblPr>
      <w:tblGrid>
        <w:gridCol w:w="1164"/>
        <w:gridCol w:w="3690"/>
        <w:gridCol w:w="24"/>
        <w:gridCol w:w="5736"/>
        <w:gridCol w:w="24"/>
      </w:tblGrid>
      <w:tr w:rsidR="000E381D" w:rsidRPr="00733FEA" w:rsidTr="00A56C85">
        <w:trPr>
          <w:gridAfter w:val="1"/>
          <w:wAfter w:w="24" w:type="dxa"/>
        </w:trPr>
        <w:tc>
          <w:tcPr>
            <w:tcW w:w="1164" w:type="dxa"/>
            <w:shd w:val="clear" w:color="auto" w:fill="D9D9D9" w:themeFill="background1" w:themeFillShade="D9"/>
          </w:tcPr>
          <w:p w:rsidR="000E381D" w:rsidRDefault="000E381D" w:rsidP="000E381D">
            <w:pPr>
              <w:jc w:val="center"/>
              <w:rPr>
                <w:b/>
                <w:bCs/>
              </w:rPr>
            </w:pPr>
            <w:r>
              <w:rPr>
                <w:b/>
                <w:bCs/>
              </w:rPr>
              <w:lastRenderedPageBreak/>
              <w:t>Source ID</w:t>
            </w:r>
          </w:p>
        </w:tc>
        <w:tc>
          <w:tcPr>
            <w:tcW w:w="3690" w:type="dxa"/>
            <w:tcBorders>
              <w:bottom w:val="single" w:sz="4" w:space="0" w:color="auto"/>
            </w:tcBorders>
            <w:shd w:val="clear" w:color="auto" w:fill="D9D9D9" w:themeFill="background1" w:themeFillShade="D9"/>
            <w:vAlign w:val="center"/>
          </w:tcPr>
          <w:p w:rsidR="000E381D" w:rsidRPr="00EE1249" w:rsidRDefault="000E381D" w:rsidP="000E381D">
            <w:pPr>
              <w:jc w:val="center"/>
              <w:rPr>
                <w:b/>
                <w:bCs/>
              </w:rPr>
            </w:pPr>
            <w:r w:rsidRPr="00EE1249">
              <w:rPr>
                <w:b/>
                <w:bCs/>
              </w:rPr>
              <w:t>Under RACT I</w:t>
            </w:r>
          </w:p>
        </w:tc>
        <w:tc>
          <w:tcPr>
            <w:tcW w:w="5760" w:type="dxa"/>
            <w:gridSpan w:val="2"/>
            <w:tcBorders>
              <w:bottom w:val="single" w:sz="4" w:space="0" w:color="auto"/>
            </w:tcBorders>
            <w:shd w:val="clear" w:color="auto" w:fill="D9D9D9" w:themeFill="background1" w:themeFillShade="D9"/>
            <w:vAlign w:val="center"/>
          </w:tcPr>
          <w:p w:rsidR="000E381D" w:rsidRPr="00EE1249" w:rsidRDefault="000E381D" w:rsidP="000E381D">
            <w:pPr>
              <w:jc w:val="center"/>
              <w:rPr>
                <w:b/>
                <w:bCs/>
              </w:rPr>
            </w:pPr>
            <w:r w:rsidRPr="00EE1249">
              <w:rPr>
                <w:b/>
                <w:bCs/>
              </w:rPr>
              <w:t>Under RACT II</w:t>
            </w:r>
          </w:p>
        </w:tc>
      </w:tr>
      <w:tr w:rsidR="004431CC" w:rsidRPr="00733FEA" w:rsidTr="00CD1B0C">
        <w:trPr>
          <w:gridAfter w:val="1"/>
          <w:wAfter w:w="24" w:type="dxa"/>
        </w:trPr>
        <w:tc>
          <w:tcPr>
            <w:tcW w:w="1164" w:type="dxa"/>
            <w:tcBorders>
              <w:bottom w:val="nil"/>
            </w:tcBorders>
          </w:tcPr>
          <w:p w:rsidR="004431CC" w:rsidRPr="00494C34" w:rsidRDefault="004431CC" w:rsidP="004431CC">
            <w:pPr>
              <w:jc w:val="center"/>
              <w:rPr>
                <w:b/>
                <w:bCs/>
                <w:sz w:val="23"/>
                <w:szCs w:val="23"/>
              </w:rPr>
            </w:pPr>
            <w:r w:rsidRPr="00494C34">
              <w:rPr>
                <w:b/>
                <w:bCs/>
                <w:sz w:val="23"/>
                <w:szCs w:val="23"/>
              </w:rPr>
              <w:t>146B</w:t>
            </w:r>
          </w:p>
          <w:p w:rsidR="004431CC" w:rsidRPr="00B43CC5" w:rsidRDefault="004431CC" w:rsidP="004431CC">
            <w:pPr>
              <w:jc w:val="center"/>
              <w:rPr>
                <w:b/>
                <w:bCs/>
                <w:sz w:val="23"/>
                <w:szCs w:val="23"/>
                <w:highlight w:val="yellow"/>
              </w:rPr>
            </w:pPr>
          </w:p>
          <w:p w:rsidR="004431CC" w:rsidRPr="00B43CC5" w:rsidRDefault="004431CC" w:rsidP="004431CC">
            <w:pPr>
              <w:jc w:val="center"/>
              <w:rPr>
                <w:b/>
                <w:bCs/>
                <w:sz w:val="23"/>
                <w:szCs w:val="23"/>
                <w:highlight w:val="yellow"/>
              </w:rPr>
            </w:pPr>
          </w:p>
          <w:p w:rsidR="004431CC" w:rsidRPr="00B43CC5" w:rsidRDefault="004431CC" w:rsidP="004431CC">
            <w:pPr>
              <w:jc w:val="center"/>
              <w:rPr>
                <w:b/>
                <w:bCs/>
                <w:sz w:val="23"/>
                <w:szCs w:val="23"/>
                <w:highlight w:val="yellow"/>
              </w:rPr>
            </w:pPr>
          </w:p>
          <w:p w:rsidR="004431CC" w:rsidRPr="00B43CC5" w:rsidRDefault="004431CC" w:rsidP="004431CC">
            <w:pPr>
              <w:jc w:val="center"/>
              <w:rPr>
                <w:b/>
                <w:bCs/>
                <w:sz w:val="23"/>
                <w:szCs w:val="23"/>
                <w:highlight w:val="yellow"/>
              </w:rPr>
            </w:pPr>
          </w:p>
          <w:p w:rsidR="004431CC" w:rsidRPr="00B43CC5" w:rsidRDefault="004431CC" w:rsidP="004431CC">
            <w:pPr>
              <w:jc w:val="center"/>
              <w:rPr>
                <w:b/>
                <w:bCs/>
                <w:sz w:val="23"/>
                <w:szCs w:val="23"/>
                <w:highlight w:val="yellow"/>
              </w:rPr>
            </w:pPr>
          </w:p>
          <w:p w:rsidR="004431CC" w:rsidRPr="00B43CC5" w:rsidRDefault="004431CC" w:rsidP="004431CC">
            <w:pPr>
              <w:rPr>
                <w:b/>
                <w:bCs/>
                <w:sz w:val="23"/>
                <w:szCs w:val="23"/>
                <w:highlight w:val="yellow"/>
              </w:rPr>
            </w:pPr>
          </w:p>
        </w:tc>
        <w:tc>
          <w:tcPr>
            <w:tcW w:w="3690" w:type="dxa"/>
            <w:tcBorders>
              <w:bottom w:val="nil"/>
            </w:tcBorders>
          </w:tcPr>
          <w:p w:rsidR="004431CC" w:rsidRPr="004431CC" w:rsidRDefault="004431CC" w:rsidP="004431CC">
            <w:pPr>
              <w:pStyle w:val="ListParagraph"/>
              <w:numPr>
                <w:ilvl w:val="0"/>
                <w:numId w:val="23"/>
              </w:numPr>
              <w:spacing w:after="120"/>
              <w:ind w:left="346" w:right="58"/>
              <w:contextualSpacing w:val="0"/>
              <w:rPr>
                <w:bCs/>
                <w:sz w:val="23"/>
                <w:szCs w:val="23"/>
              </w:rPr>
            </w:pPr>
            <w:r w:rsidRPr="004431CC">
              <w:rPr>
                <w:bCs/>
                <w:sz w:val="23"/>
                <w:szCs w:val="23"/>
              </w:rPr>
              <w:t>A case-by-case analysis was performed for NOx</w:t>
            </w:r>
            <w:r>
              <w:rPr>
                <w:bCs/>
                <w:sz w:val="23"/>
                <w:szCs w:val="23"/>
              </w:rPr>
              <w:t>.  I</w:t>
            </w:r>
            <w:r w:rsidRPr="004431CC">
              <w:rPr>
                <w:bCs/>
                <w:sz w:val="23"/>
                <w:szCs w:val="23"/>
              </w:rPr>
              <w:t>t was determined that there were no technically and economically feasible controls for this source.  No emission limits were incorporated into the RACT Operating Permit.</w:t>
            </w:r>
          </w:p>
          <w:p w:rsidR="004431CC" w:rsidRPr="00ED34F6" w:rsidRDefault="004431CC" w:rsidP="00A56C85">
            <w:pPr>
              <w:pStyle w:val="ListParagraph"/>
              <w:spacing w:after="120"/>
              <w:ind w:left="346" w:right="58"/>
              <w:contextualSpacing w:val="0"/>
              <w:rPr>
                <w:bCs/>
                <w:sz w:val="23"/>
                <w:szCs w:val="23"/>
              </w:rPr>
            </w:pPr>
            <w:r w:rsidRPr="004431CC">
              <w:rPr>
                <w:bCs/>
                <w:sz w:val="23"/>
                <w:szCs w:val="23"/>
              </w:rPr>
              <w:br/>
            </w:r>
          </w:p>
        </w:tc>
        <w:tc>
          <w:tcPr>
            <w:tcW w:w="5760" w:type="dxa"/>
            <w:gridSpan w:val="2"/>
            <w:tcBorders>
              <w:bottom w:val="nil"/>
            </w:tcBorders>
          </w:tcPr>
          <w:p w:rsidR="004431CC" w:rsidRPr="00CD1B0C" w:rsidRDefault="004431CC" w:rsidP="00CD1B0C">
            <w:pPr>
              <w:pStyle w:val="ListParagraph"/>
              <w:numPr>
                <w:ilvl w:val="0"/>
                <w:numId w:val="17"/>
              </w:numPr>
              <w:spacing w:after="120"/>
              <w:ind w:left="346"/>
              <w:contextualSpacing w:val="0"/>
              <w:rPr>
                <w:sz w:val="23"/>
                <w:szCs w:val="23"/>
              </w:rPr>
            </w:pPr>
            <w:r w:rsidRPr="00CB245F">
              <w:rPr>
                <w:bCs/>
                <w:sz w:val="23"/>
                <w:szCs w:val="23"/>
              </w:rPr>
              <w:t>A case-by-case analysis was performed, and it was determined that there were no technically and economically feasible controls for this source.  RACT II for this source is complying with a NOx limit of 30.6 tons per 12-month rolling period along with a 12-month fuel restriction.</w:t>
            </w:r>
            <w:r w:rsidR="00CD1B0C">
              <w:rPr>
                <w:bCs/>
                <w:sz w:val="23"/>
                <w:szCs w:val="23"/>
              </w:rPr>
              <w:t xml:space="preserve">  </w:t>
            </w:r>
            <w:r w:rsidR="00CD1B0C" w:rsidRPr="002703D7">
              <w:rPr>
                <w:iCs/>
                <w:sz w:val="23"/>
                <w:szCs w:val="23"/>
              </w:rPr>
              <w:t>The fuel restriction for Source ID 146B is an existing limit that was back calculated from the NOx emission limit accepted by ArcelorMittal under Plan Approval #15-0010A, to avoid PSD.  1,000 Btu/</w:t>
            </w:r>
            <w:proofErr w:type="spellStart"/>
            <w:r w:rsidR="00CD1B0C" w:rsidRPr="002703D7">
              <w:rPr>
                <w:iCs/>
                <w:sz w:val="23"/>
                <w:szCs w:val="23"/>
              </w:rPr>
              <w:t>cf</w:t>
            </w:r>
            <w:proofErr w:type="spellEnd"/>
            <w:r w:rsidR="00CD1B0C" w:rsidRPr="002703D7">
              <w:rPr>
                <w:iCs/>
                <w:sz w:val="23"/>
                <w:szCs w:val="23"/>
              </w:rPr>
              <w:t xml:space="preserve"> and an emission factor of 120 </w:t>
            </w:r>
            <w:proofErr w:type="spellStart"/>
            <w:r w:rsidR="00CD1B0C" w:rsidRPr="002703D7">
              <w:rPr>
                <w:iCs/>
                <w:sz w:val="23"/>
                <w:szCs w:val="23"/>
              </w:rPr>
              <w:t>lb</w:t>
            </w:r>
            <w:proofErr w:type="spellEnd"/>
            <w:r w:rsidR="00CD1B0C" w:rsidRPr="002703D7">
              <w:rPr>
                <w:iCs/>
                <w:sz w:val="23"/>
                <w:szCs w:val="23"/>
              </w:rPr>
              <w:t>/</w:t>
            </w:r>
            <w:proofErr w:type="spellStart"/>
            <w:r w:rsidR="00CD1B0C" w:rsidRPr="002703D7">
              <w:rPr>
                <w:iCs/>
                <w:sz w:val="23"/>
                <w:szCs w:val="23"/>
              </w:rPr>
              <w:t>MMcf</w:t>
            </w:r>
            <w:proofErr w:type="spellEnd"/>
            <w:r w:rsidR="00CD1B0C" w:rsidRPr="002703D7">
              <w:rPr>
                <w:iCs/>
                <w:sz w:val="23"/>
                <w:szCs w:val="23"/>
              </w:rPr>
              <w:t xml:space="preserve"> were used to back calculate the fuel usage.  </w:t>
            </w:r>
            <w:r w:rsidR="00CD1B0C" w:rsidRPr="002703D7">
              <w:rPr>
                <w:sz w:val="23"/>
                <w:szCs w:val="23"/>
              </w:rPr>
              <w:t>C</w:t>
            </w:r>
            <w:r w:rsidR="00CD1B0C" w:rsidRPr="00CB245F">
              <w:rPr>
                <w:sz w:val="23"/>
                <w:szCs w:val="23"/>
              </w:rPr>
              <w:t>ontinuing to comply with this limit has been deemed to meet RACT II.</w:t>
            </w:r>
          </w:p>
        </w:tc>
      </w:tr>
      <w:tr w:rsidR="004431CC" w:rsidRPr="00733FEA" w:rsidTr="00CD1B0C">
        <w:tc>
          <w:tcPr>
            <w:tcW w:w="1164" w:type="dxa"/>
            <w:tcBorders>
              <w:top w:val="nil"/>
            </w:tcBorders>
          </w:tcPr>
          <w:p w:rsidR="004431CC" w:rsidRPr="00AA652E" w:rsidRDefault="004431CC" w:rsidP="0026577C">
            <w:pPr>
              <w:jc w:val="center"/>
              <w:rPr>
                <w:b/>
                <w:bCs/>
                <w:sz w:val="23"/>
                <w:szCs w:val="23"/>
              </w:rPr>
            </w:pPr>
          </w:p>
        </w:tc>
        <w:tc>
          <w:tcPr>
            <w:tcW w:w="3714" w:type="dxa"/>
            <w:gridSpan w:val="2"/>
            <w:tcBorders>
              <w:top w:val="nil"/>
              <w:bottom w:val="single" w:sz="4" w:space="0" w:color="auto"/>
            </w:tcBorders>
          </w:tcPr>
          <w:p w:rsidR="004431CC" w:rsidRPr="00AA652E" w:rsidRDefault="00CD1B0C" w:rsidP="002B0B3F">
            <w:pPr>
              <w:pStyle w:val="ListParagraph"/>
              <w:numPr>
                <w:ilvl w:val="0"/>
                <w:numId w:val="17"/>
              </w:numPr>
              <w:spacing w:after="120"/>
              <w:ind w:left="346" w:right="58"/>
              <w:contextualSpacing w:val="0"/>
              <w:rPr>
                <w:bCs/>
                <w:sz w:val="23"/>
                <w:szCs w:val="23"/>
              </w:rPr>
            </w:pPr>
            <w:r w:rsidRPr="00CD1B0C">
              <w:rPr>
                <w:bCs/>
                <w:sz w:val="23"/>
                <w:szCs w:val="23"/>
              </w:rPr>
              <w:t>Per case-by-case RACT I, this source was subject to operating per the manufacturer’s specifications and good operating practices, but this requirement was omitted from the source under the TVOP.</w:t>
            </w:r>
          </w:p>
        </w:tc>
        <w:tc>
          <w:tcPr>
            <w:tcW w:w="5760" w:type="dxa"/>
            <w:gridSpan w:val="2"/>
            <w:tcBorders>
              <w:top w:val="nil"/>
              <w:bottom w:val="single" w:sz="4" w:space="0" w:color="auto"/>
            </w:tcBorders>
          </w:tcPr>
          <w:p w:rsidR="004431CC" w:rsidRPr="00CB245F" w:rsidRDefault="00ED34F6" w:rsidP="002B0B3F">
            <w:pPr>
              <w:pStyle w:val="ListParagraph"/>
              <w:numPr>
                <w:ilvl w:val="0"/>
                <w:numId w:val="17"/>
              </w:numPr>
              <w:spacing w:after="120"/>
              <w:ind w:left="346"/>
              <w:contextualSpacing w:val="0"/>
              <w:rPr>
                <w:bCs/>
                <w:sz w:val="23"/>
                <w:szCs w:val="23"/>
              </w:rPr>
            </w:pPr>
            <w:r w:rsidRPr="00CB245F">
              <w:rPr>
                <w:bCs/>
                <w:sz w:val="23"/>
                <w:szCs w:val="23"/>
              </w:rPr>
              <w:t xml:space="preserve">A requirement to operate the source in accordance with manufacturer’s specifications (if available) and good operating practices has been placed </w:t>
            </w:r>
            <w:r w:rsidR="00CD1B0C">
              <w:rPr>
                <w:bCs/>
                <w:sz w:val="23"/>
                <w:szCs w:val="23"/>
              </w:rPr>
              <w:t xml:space="preserve">under the source </w:t>
            </w:r>
            <w:r w:rsidRPr="00CB245F">
              <w:rPr>
                <w:bCs/>
                <w:sz w:val="23"/>
                <w:szCs w:val="23"/>
              </w:rPr>
              <w:t xml:space="preserve">in the TVOP.  </w:t>
            </w:r>
          </w:p>
        </w:tc>
      </w:tr>
      <w:tr w:rsidR="00CD1B0C" w:rsidRPr="004431CC" w:rsidTr="009B13B8">
        <w:trPr>
          <w:trHeight w:val="4387"/>
        </w:trPr>
        <w:tc>
          <w:tcPr>
            <w:tcW w:w="1164" w:type="dxa"/>
          </w:tcPr>
          <w:p w:rsidR="00CD1B0C" w:rsidRPr="00AA652E" w:rsidRDefault="00CD1B0C" w:rsidP="004431CC">
            <w:pPr>
              <w:jc w:val="center"/>
              <w:rPr>
                <w:b/>
                <w:bCs/>
                <w:sz w:val="23"/>
                <w:szCs w:val="23"/>
              </w:rPr>
            </w:pPr>
            <w:r w:rsidRPr="00AA652E">
              <w:rPr>
                <w:b/>
                <w:bCs/>
                <w:sz w:val="23"/>
                <w:szCs w:val="23"/>
              </w:rPr>
              <w:t>151</w:t>
            </w:r>
          </w:p>
        </w:tc>
        <w:tc>
          <w:tcPr>
            <w:tcW w:w="3714" w:type="dxa"/>
            <w:gridSpan w:val="2"/>
          </w:tcPr>
          <w:p w:rsidR="007E2D9F" w:rsidRDefault="00CD1B0C" w:rsidP="007E2D9F">
            <w:pPr>
              <w:pStyle w:val="ListParagraph"/>
              <w:numPr>
                <w:ilvl w:val="0"/>
                <w:numId w:val="17"/>
              </w:numPr>
              <w:spacing w:after="120"/>
              <w:ind w:left="346" w:right="58"/>
              <w:contextualSpacing w:val="0"/>
              <w:rPr>
                <w:bCs/>
                <w:sz w:val="23"/>
                <w:szCs w:val="23"/>
              </w:rPr>
            </w:pPr>
            <w:r w:rsidRPr="00AA652E">
              <w:rPr>
                <w:bCs/>
                <w:sz w:val="23"/>
                <w:szCs w:val="23"/>
              </w:rPr>
              <w:t>A case-by-case analysis was performed for NOx, and it was determined that there were no technically and economically feasible controls for this source</w:t>
            </w:r>
            <w:r w:rsidR="003943C1">
              <w:rPr>
                <w:bCs/>
                <w:sz w:val="23"/>
                <w:szCs w:val="23"/>
              </w:rPr>
              <w:t xml:space="preserve"> group</w:t>
            </w:r>
            <w:r w:rsidRPr="00AA652E">
              <w:rPr>
                <w:bCs/>
                <w:sz w:val="23"/>
                <w:szCs w:val="23"/>
              </w:rPr>
              <w:t>.  No emission limits were incorporated into the RACT Operating Permit.</w:t>
            </w:r>
            <w:r w:rsidR="007E2D9F">
              <w:rPr>
                <w:bCs/>
                <w:sz w:val="23"/>
                <w:szCs w:val="23"/>
              </w:rPr>
              <w:br/>
            </w:r>
          </w:p>
          <w:p w:rsidR="003943C1" w:rsidRPr="003943C1" w:rsidRDefault="003943C1" w:rsidP="007E2D9F">
            <w:pPr>
              <w:pStyle w:val="ListParagraph"/>
              <w:numPr>
                <w:ilvl w:val="0"/>
                <w:numId w:val="17"/>
              </w:numPr>
              <w:spacing w:after="120"/>
              <w:ind w:left="346" w:right="58"/>
              <w:contextualSpacing w:val="0"/>
              <w:rPr>
                <w:bCs/>
                <w:sz w:val="23"/>
                <w:szCs w:val="23"/>
              </w:rPr>
            </w:pPr>
            <w:r w:rsidRPr="003943C1">
              <w:rPr>
                <w:bCs/>
                <w:sz w:val="23"/>
                <w:szCs w:val="23"/>
              </w:rPr>
              <w:t>Per case-by-case RACT I, this source group was subject to operating per the manufacturer’s specifications and good operating practices, but this requirement was omitted from the source group under the TVOP.</w:t>
            </w:r>
          </w:p>
        </w:tc>
        <w:tc>
          <w:tcPr>
            <w:tcW w:w="5760" w:type="dxa"/>
            <w:gridSpan w:val="2"/>
          </w:tcPr>
          <w:p w:rsidR="003943C1" w:rsidRDefault="00CD1B0C" w:rsidP="003943C1">
            <w:pPr>
              <w:pStyle w:val="ListParagraph"/>
              <w:numPr>
                <w:ilvl w:val="0"/>
                <w:numId w:val="17"/>
              </w:numPr>
              <w:spacing w:after="120"/>
              <w:ind w:left="346"/>
              <w:contextualSpacing w:val="0"/>
              <w:rPr>
                <w:bCs/>
                <w:sz w:val="23"/>
                <w:szCs w:val="23"/>
              </w:rPr>
            </w:pPr>
            <w:r w:rsidRPr="00AA652E">
              <w:rPr>
                <w:bCs/>
                <w:sz w:val="23"/>
                <w:szCs w:val="23"/>
              </w:rPr>
              <w:t xml:space="preserve">A case-by-case analysis was performed, and it was determined that there were no technically and economically feasible controls for this source group.  This source group shall comply with 12-month limit of </w:t>
            </w:r>
            <w:r w:rsidR="003943C1">
              <w:rPr>
                <w:bCs/>
                <w:sz w:val="23"/>
                <w:szCs w:val="23"/>
              </w:rPr>
              <w:t>5</w:t>
            </w:r>
            <w:r w:rsidRPr="00AA652E">
              <w:rPr>
                <w:bCs/>
                <w:sz w:val="23"/>
                <w:szCs w:val="23"/>
              </w:rPr>
              <w:t>02.</w:t>
            </w:r>
            <w:r w:rsidR="003943C1">
              <w:rPr>
                <w:bCs/>
                <w:sz w:val="23"/>
                <w:szCs w:val="23"/>
              </w:rPr>
              <w:t>8</w:t>
            </w:r>
            <w:r w:rsidRPr="00AA652E">
              <w:rPr>
                <w:bCs/>
                <w:sz w:val="23"/>
                <w:szCs w:val="23"/>
              </w:rPr>
              <w:t xml:space="preserve"> tons for NOx by complying with the combined fuel restriction of 3,942 million cubic feet of natural gas per 12-month rolling period.  The </w:t>
            </w:r>
            <w:r w:rsidR="007E2D9F">
              <w:rPr>
                <w:bCs/>
                <w:sz w:val="23"/>
                <w:szCs w:val="23"/>
              </w:rPr>
              <w:t>fuel</w:t>
            </w:r>
            <w:r w:rsidRPr="00AA652E">
              <w:rPr>
                <w:bCs/>
                <w:sz w:val="23"/>
                <w:szCs w:val="23"/>
              </w:rPr>
              <w:t xml:space="preserve"> limit </w:t>
            </w:r>
            <w:r w:rsidR="007E2D9F">
              <w:rPr>
                <w:bCs/>
                <w:sz w:val="23"/>
                <w:szCs w:val="23"/>
              </w:rPr>
              <w:t>is</w:t>
            </w:r>
            <w:r w:rsidRPr="00AA652E">
              <w:rPr>
                <w:bCs/>
                <w:sz w:val="23"/>
                <w:szCs w:val="23"/>
              </w:rPr>
              <w:t xml:space="preserve"> based on the total rated capacit</w:t>
            </w:r>
            <w:r w:rsidR="007E2D9F">
              <w:rPr>
                <w:bCs/>
                <w:sz w:val="23"/>
                <w:szCs w:val="23"/>
              </w:rPr>
              <w:t>y</w:t>
            </w:r>
            <w:r w:rsidRPr="00AA652E">
              <w:rPr>
                <w:bCs/>
                <w:sz w:val="23"/>
                <w:szCs w:val="23"/>
              </w:rPr>
              <w:t>, 1,000 Btu/</w:t>
            </w:r>
            <w:proofErr w:type="spellStart"/>
            <w:r w:rsidRPr="00AA652E">
              <w:rPr>
                <w:bCs/>
                <w:sz w:val="23"/>
                <w:szCs w:val="23"/>
              </w:rPr>
              <w:t>cf</w:t>
            </w:r>
            <w:proofErr w:type="spellEnd"/>
            <w:r w:rsidRPr="00AA652E">
              <w:rPr>
                <w:bCs/>
                <w:sz w:val="23"/>
                <w:szCs w:val="23"/>
              </w:rPr>
              <w:t>, and 8,760 hours per year.</w:t>
            </w:r>
          </w:p>
          <w:p w:rsidR="003943C1" w:rsidRPr="003943C1" w:rsidRDefault="003943C1" w:rsidP="003943C1">
            <w:pPr>
              <w:pStyle w:val="ListParagraph"/>
              <w:numPr>
                <w:ilvl w:val="0"/>
                <w:numId w:val="17"/>
              </w:numPr>
              <w:ind w:left="328"/>
              <w:rPr>
                <w:bCs/>
                <w:sz w:val="23"/>
                <w:szCs w:val="23"/>
              </w:rPr>
            </w:pPr>
            <w:r w:rsidRPr="003943C1">
              <w:rPr>
                <w:bCs/>
                <w:sz w:val="23"/>
                <w:szCs w:val="23"/>
              </w:rPr>
              <w:t xml:space="preserve">A requirement to operate this source group in accordance with manufacturer’s specifications (if available) and good operating practices has been placed </w:t>
            </w:r>
            <w:r>
              <w:rPr>
                <w:bCs/>
                <w:sz w:val="23"/>
                <w:szCs w:val="23"/>
              </w:rPr>
              <w:t xml:space="preserve">under the source group </w:t>
            </w:r>
            <w:r w:rsidRPr="003943C1">
              <w:rPr>
                <w:bCs/>
                <w:sz w:val="23"/>
                <w:szCs w:val="23"/>
              </w:rPr>
              <w:t>in the TVOP.</w:t>
            </w:r>
          </w:p>
          <w:p w:rsidR="00CD1B0C" w:rsidRPr="00AA652E" w:rsidRDefault="00CD1B0C" w:rsidP="003943C1">
            <w:pPr>
              <w:pStyle w:val="ListParagraph"/>
              <w:spacing w:after="120"/>
              <w:ind w:left="346"/>
              <w:contextualSpacing w:val="0"/>
              <w:rPr>
                <w:bCs/>
                <w:sz w:val="23"/>
                <w:szCs w:val="23"/>
              </w:rPr>
            </w:pPr>
            <w:r w:rsidRPr="00AA652E">
              <w:rPr>
                <w:bCs/>
                <w:sz w:val="23"/>
                <w:szCs w:val="23"/>
              </w:rPr>
              <w:br/>
            </w:r>
          </w:p>
        </w:tc>
      </w:tr>
      <w:tr w:rsidR="00FA5DA0" w:rsidRPr="004431CC" w:rsidTr="00A56C85">
        <w:tc>
          <w:tcPr>
            <w:tcW w:w="1164" w:type="dxa"/>
          </w:tcPr>
          <w:p w:rsidR="00FA5DA0" w:rsidRPr="00AA652E" w:rsidRDefault="00FA5DA0" w:rsidP="00F640EF">
            <w:pPr>
              <w:jc w:val="center"/>
              <w:rPr>
                <w:b/>
                <w:bCs/>
                <w:sz w:val="23"/>
                <w:szCs w:val="23"/>
              </w:rPr>
            </w:pPr>
            <w:r w:rsidRPr="00AA652E">
              <w:rPr>
                <w:b/>
                <w:bCs/>
                <w:sz w:val="23"/>
                <w:szCs w:val="23"/>
              </w:rPr>
              <w:t>183</w:t>
            </w:r>
          </w:p>
        </w:tc>
        <w:tc>
          <w:tcPr>
            <w:tcW w:w="3714" w:type="dxa"/>
            <w:gridSpan w:val="2"/>
          </w:tcPr>
          <w:p w:rsidR="00FA5DA0" w:rsidRPr="00AA652E" w:rsidRDefault="00F640EF" w:rsidP="00ED18AC">
            <w:pPr>
              <w:pStyle w:val="ListParagraph"/>
              <w:numPr>
                <w:ilvl w:val="0"/>
                <w:numId w:val="17"/>
              </w:numPr>
              <w:spacing w:after="120"/>
              <w:ind w:left="346" w:right="58"/>
              <w:contextualSpacing w:val="0"/>
              <w:rPr>
                <w:bCs/>
                <w:sz w:val="23"/>
                <w:szCs w:val="23"/>
              </w:rPr>
            </w:pPr>
            <w:r w:rsidRPr="00AA652E">
              <w:rPr>
                <w:bCs/>
                <w:sz w:val="23"/>
                <w:szCs w:val="23"/>
              </w:rPr>
              <w:t>It is uncertain if the ICA Ladle Preheater (Lg) and the ICA Ladle Preheater (Sm) were evaluated under RACT I</w:t>
            </w:r>
            <w:r w:rsidR="00FA5DA0" w:rsidRPr="00AA652E">
              <w:rPr>
                <w:bCs/>
                <w:sz w:val="23"/>
                <w:szCs w:val="23"/>
              </w:rPr>
              <w:t>.</w:t>
            </w:r>
            <w:r w:rsidRPr="00AA652E">
              <w:rPr>
                <w:bCs/>
                <w:sz w:val="23"/>
                <w:szCs w:val="23"/>
              </w:rPr>
              <w:t xml:space="preserve">  They do not appear in OP-15-0010.</w:t>
            </w:r>
          </w:p>
        </w:tc>
        <w:tc>
          <w:tcPr>
            <w:tcW w:w="5760" w:type="dxa"/>
            <w:gridSpan w:val="2"/>
            <w:shd w:val="clear" w:color="auto" w:fill="auto"/>
          </w:tcPr>
          <w:p w:rsidR="00FA5DA0" w:rsidRPr="00AA652E" w:rsidRDefault="00ED18AC" w:rsidP="00ED18AC">
            <w:pPr>
              <w:pStyle w:val="ListParagraph"/>
              <w:numPr>
                <w:ilvl w:val="0"/>
                <w:numId w:val="17"/>
              </w:numPr>
              <w:spacing w:after="120"/>
              <w:ind w:left="346"/>
              <w:contextualSpacing w:val="0"/>
              <w:rPr>
                <w:bCs/>
                <w:sz w:val="23"/>
                <w:szCs w:val="23"/>
              </w:rPr>
            </w:pPr>
            <w:r w:rsidRPr="00AA652E">
              <w:rPr>
                <w:bCs/>
                <w:sz w:val="23"/>
                <w:szCs w:val="23"/>
              </w:rPr>
              <w:t xml:space="preserve">The ICA Ladle Preheater (Lg) and the ICA Ladle Preheater (Sm) are subject to presumptive RACT.  </w:t>
            </w:r>
            <w:r w:rsidR="00A04852" w:rsidRPr="00AA652E">
              <w:rPr>
                <w:bCs/>
                <w:sz w:val="23"/>
                <w:szCs w:val="23"/>
              </w:rPr>
              <w:t>A requirement to operate these sources in accordance with manufacturer’s specifications (if available) and good operating practices has been placed in the TVOP</w:t>
            </w:r>
            <w:r w:rsidR="007522B3">
              <w:rPr>
                <w:bCs/>
                <w:sz w:val="23"/>
                <w:szCs w:val="23"/>
              </w:rPr>
              <w:t xml:space="preserve"> for these two sources</w:t>
            </w:r>
            <w:r w:rsidR="00A04852" w:rsidRPr="00AA652E">
              <w:rPr>
                <w:bCs/>
                <w:sz w:val="23"/>
                <w:szCs w:val="23"/>
              </w:rPr>
              <w:t>.</w:t>
            </w:r>
          </w:p>
        </w:tc>
      </w:tr>
    </w:tbl>
    <w:p w:rsidR="007522B3" w:rsidRDefault="007522B3"/>
    <w:p w:rsidR="007522B3" w:rsidRDefault="007522B3"/>
    <w:tbl>
      <w:tblPr>
        <w:tblStyle w:val="TableGrid"/>
        <w:tblW w:w="10638" w:type="dxa"/>
        <w:tblInd w:w="-522" w:type="dxa"/>
        <w:tblLook w:val="04A0" w:firstRow="1" w:lastRow="0" w:firstColumn="1" w:lastColumn="0" w:noHBand="0" w:noVBand="1"/>
      </w:tblPr>
      <w:tblGrid>
        <w:gridCol w:w="1164"/>
        <w:gridCol w:w="24"/>
        <w:gridCol w:w="3690"/>
        <w:gridCol w:w="5760"/>
      </w:tblGrid>
      <w:tr w:rsidR="007522B3" w:rsidRPr="004431CC" w:rsidTr="009B13B8">
        <w:tc>
          <w:tcPr>
            <w:tcW w:w="1164" w:type="dxa"/>
            <w:shd w:val="clear" w:color="auto" w:fill="D9D9D9" w:themeFill="background1" w:themeFillShade="D9"/>
          </w:tcPr>
          <w:p w:rsidR="007522B3" w:rsidRPr="00AA652E" w:rsidRDefault="007522B3" w:rsidP="007522B3">
            <w:pPr>
              <w:jc w:val="center"/>
              <w:rPr>
                <w:b/>
                <w:bCs/>
              </w:rPr>
            </w:pPr>
            <w:r w:rsidRPr="00AA652E">
              <w:rPr>
                <w:b/>
                <w:bCs/>
              </w:rPr>
              <w:t>Source ID</w:t>
            </w:r>
          </w:p>
        </w:tc>
        <w:tc>
          <w:tcPr>
            <w:tcW w:w="3714" w:type="dxa"/>
            <w:gridSpan w:val="2"/>
            <w:shd w:val="clear" w:color="auto" w:fill="D9D9D9" w:themeFill="background1" w:themeFillShade="D9"/>
            <w:vAlign w:val="center"/>
          </w:tcPr>
          <w:p w:rsidR="007522B3" w:rsidRPr="00AA652E" w:rsidRDefault="007522B3" w:rsidP="007522B3">
            <w:pPr>
              <w:jc w:val="center"/>
              <w:rPr>
                <w:b/>
                <w:bCs/>
              </w:rPr>
            </w:pPr>
            <w:r w:rsidRPr="00AA652E">
              <w:rPr>
                <w:b/>
                <w:bCs/>
              </w:rPr>
              <w:t>Under RACT I</w:t>
            </w:r>
          </w:p>
        </w:tc>
        <w:tc>
          <w:tcPr>
            <w:tcW w:w="5760" w:type="dxa"/>
            <w:shd w:val="clear" w:color="auto" w:fill="D9D9D9" w:themeFill="background1" w:themeFillShade="D9"/>
            <w:vAlign w:val="center"/>
          </w:tcPr>
          <w:p w:rsidR="007522B3" w:rsidRPr="00AA652E" w:rsidRDefault="007522B3" w:rsidP="007522B3">
            <w:pPr>
              <w:jc w:val="center"/>
              <w:rPr>
                <w:b/>
                <w:bCs/>
              </w:rPr>
            </w:pPr>
            <w:r w:rsidRPr="00AA652E">
              <w:rPr>
                <w:b/>
                <w:bCs/>
              </w:rPr>
              <w:t>Under RACT II</w:t>
            </w:r>
          </w:p>
        </w:tc>
      </w:tr>
      <w:tr w:rsidR="00FA5DA0" w:rsidRPr="004431CC" w:rsidTr="00A56C85">
        <w:tc>
          <w:tcPr>
            <w:tcW w:w="1164" w:type="dxa"/>
          </w:tcPr>
          <w:p w:rsidR="00FA5DA0" w:rsidRPr="00AA652E" w:rsidRDefault="00FA5DA0" w:rsidP="00F640EF">
            <w:pPr>
              <w:jc w:val="center"/>
              <w:rPr>
                <w:b/>
                <w:bCs/>
                <w:sz w:val="23"/>
                <w:szCs w:val="23"/>
              </w:rPr>
            </w:pPr>
            <w:r w:rsidRPr="00AA652E">
              <w:rPr>
                <w:b/>
                <w:bCs/>
                <w:sz w:val="23"/>
                <w:szCs w:val="23"/>
              </w:rPr>
              <w:t>190</w:t>
            </w:r>
          </w:p>
        </w:tc>
        <w:tc>
          <w:tcPr>
            <w:tcW w:w="3714" w:type="dxa"/>
            <w:gridSpan w:val="2"/>
          </w:tcPr>
          <w:p w:rsidR="0087474E" w:rsidRPr="00AA652E" w:rsidRDefault="009579B9" w:rsidP="009579B9">
            <w:pPr>
              <w:pStyle w:val="ListParagraph"/>
              <w:numPr>
                <w:ilvl w:val="0"/>
                <w:numId w:val="27"/>
              </w:numPr>
              <w:spacing w:after="120"/>
              <w:ind w:left="437" w:right="58"/>
              <w:contextualSpacing w:val="0"/>
              <w:rPr>
                <w:bCs/>
                <w:sz w:val="23"/>
                <w:szCs w:val="23"/>
              </w:rPr>
            </w:pPr>
            <w:r w:rsidRPr="009579B9">
              <w:rPr>
                <w:bCs/>
                <w:sz w:val="23"/>
                <w:szCs w:val="23"/>
              </w:rPr>
              <w:t>This source was subject to presumptive RACT, operating per the manufacturer’s specifications and good operating practices, but this requirement was omitted from the source under the TVOP.</w:t>
            </w:r>
          </w:p>
        </w:tc>
        <w:tc>
          <w:tcPr>
            <w:tcW w:w="5760" w:type="dxa"/>
          </w:tcPr>
          <w:p w:rsidR="00711146" w:rsidRPr="009579B9" w:rsidRDefault="00EF62B0" w:rsidP="009579B9">
            <w:pPr>
              <w:pStyle w:val="ListParagraph"/>
              <w:numPr>
                <w:ilvl w:val="0"/>
                <w:numId w:val="17"/>
              </w:numPr>
              <w:spacing w:after="120"/>
              <w:ind w:left="346"/>
              <w:contextualSpacing w:val="0"/>
              <w:rPr>
                <w:bCs/>
                <w:sz w:val="23"/>
                <w:szCs w:val="23"/>
              </w:rPr>
            </w:pPr>
            <w:r w:rsidRPr="00AA652E">
              <w:rPr>
                <w:bCs/>
                <w:sz w:val="23"/>
                <w:szCs w:val="23"/>
              </w:rPr>
              <w:t xml:space="preserve">A requirement to operate the source in accordance with manufacturer’s specifications (if available) and good operating practices has been placed </w:t>
            </w:r>
            <w:r w:rsidR="009579B9">
              <w:rPr>
                <w:bCs/>
                <w:sz w:val="23"/>
                <w:szCs w:val="23"/>
              </w:rPr>
              <w:t xml:space="preserve">under this source </w:t>
            </w:r>
            <w:r w:rsidRPr="00AA652E">
              <w:rPr>
                <w:bCs/>
                <w:sz w:val="23"/>
                <w:szCs w:val="23"/>
              </w:rPr>
              <w:t>in the TVOP</w:t>
            </w:r>
            <w:r w:rsidR="00FA5DA0" w:rsidRPr="00AA652E">
              <w:rPr>
                <w:bCs/>
                <w:sz w:val="23"/>
                <w:szCs w:val="23"/>
              </w:rPr>
              <w:t>.</w:t>
            </w:r>
            <w:r w:rsidRPr="00AA652E">
              <w:rPr>
                <w:bCs/>
                <w:sz w:val="23"/>
                <w:szCs w:val="23"/>
              </w:rPr>
              <w:br/>
            </w:r>
            <w:r w:rsidRPr="00AA652E">
              <w:rPr>
                <w:bCs/>
                <w:sz w:val="23"/>
                <w:szCs w:val="23"/>
              </w:rPr>
              <w:br/>
            </w:r>
            <w:r w:rsidR="00AA652E">
              <w:rPr>
                <w:bCs/>
                <w:sz w:val="23"/>
                <w:szCs w:val="23"/>
              </w:rPr>
              <w:br/>
            </w:r>
          </w:p>
        </w:tc>
      </w:tr>
      <w:tr w:rsidR="00AA652E" w:rsidRPr="004431CC" w:rsidTr="004D097D">
        <w:tc>
          <w:tcPr>
            <w:tcW w:w="1188" w:type="dxa"/>
            <w:gridSpan w:val="2"/>
          </w:tcPr>
          <w:p w:rsidR="00AA652E" w:rsidRPr="00AA652E" w:rsidRDefault="00AA652E" w:rsidP="00AA652E">
            <w:pPr>
              <w:jc w:val="center"/>
              <w:rPr>
                <w:b/>
                <w:bCs/>
                <w:sz w:val="23"/>
                <w:szCs w:val="23"/>
              </w:rPr>
            </w:pPr>
            <w:r w:rsidRPr="00AA652E">
              <w:rPr>
                <w:b/>
                <w:bCs/>
                <w:sz w:val="23"/>
                <w:szCs w:val="23"/>
              </w:rPr>
              <w:t>192</w:t>
            </w:r>
          </w:p>
          <w:p w:rsidR="00AA652E" w:rsidRPr="00AA652E" w:rsidRDefault="00AA652E" w:rsidP="00AA652E">
            <w:pPr>
              <w:jc w:val="center"/>
              <w:rPr>
                <w:b/>
                <w:bCs/>
                <w:sz w:val="23"/>
                <w:szCs w:val="23"/>
              </w:rPr>
            </w:pPr>
          </w:p>
        </w:tc>
        <w:tc>
          <w:tcPr>
            <w:tcW w:w="3690" w:type="dxa"/>
          </w:tcPr>
          <w:p w:rsidR="00AA652E" w:rsidRPr="00E10374" w:rsidRDefault="00AA652E" w:rsidP="00E10374">
            <w:pPr>
              <w:pStyle w:val="ListParagraph"/>
              <w:numPr>
                <w:ilvl w:val="0"/>
                <w:numId w:val="17"/>
              </w:numPr>
              <w:spacing w:after="120"/>
              <w:ind w:left="346" w:right="58"/>
              <w:contextualSpacing w:val="0"/>
              <w:rPr>
                <w:bCs/>
                <w:sz w:val="23"/>
                <w:szCs w:val="23"/>
              </w:rPr>
            </w:pPr>
            <w:r w:rsidRPr="00AA652E">
              <w:rPr>
                <w:bCs/>
                <w:sz w:val="23"/>
                <w:szCs w:val="23"/>
              </w:rPr>
              <w:t xml:space="preserve">This source was subject to </w:t>
            </w:r>
            <w:r w:rsidR="00E10374">
              <w:rPr>
                <w:bCs/>
                <w:sz w:val="23"/>
                <w:szCs w:val="23"/>
              </w:rPr>
              <w:t xml:space="preserve">presumptive RACT, </w:t>
            </w:r>
            <w:r w:rsidRPr="00AA652E">
              <w:rPr>
                <w:bCs/>
                <w:sz w:val="23"/>
                <w:szCs w:val="23"/>
              </w:rPr>
              <w:t>operating per the manufacturer’s specifications and good operating practices</w:t>
            </w:r>
            <w:r w:rsidR="00E10374">
              <w:rPr>
                <w:bCs/>
                <w:sz w:val="23"/>
                <w:szCs w:val="23"/>
              </w:rPr>
              <w:t>,</w:t>
            </w:r>
            <w:r w:rsidRPr="00AA652E">
              <w:rPr>
                <w:bCs/>
                <w:sz w:val="23"/>
                <w:szCs w:val="23"/>
              </w:rPr>
              <w:t xml:space="preserve"> but </w:t>
            </w:r>
            <w:r w:rsidR="00E10374">
              <w:rPr>
                <w:bCs/>
                <w:sz w:val="23"/>
                <w:szCs w:val="23"/>
              </w:rPr>
              <w:t>this requirement</w:t>
            </w:r>
            <w:r w:rsidRPr="00AA652E">
              <w:rPr>
                <w:bCs/>
                <w:sz w:val="23"/>
                <w:szCs w:val="23"/>
              </w:rPr>
              <w:t xml:space="preserve"> w</w:t>
            </w:r>
            <w:r w:rsidR="00E10374">
              <w:rPr>
                <w:bCs/>
                <w:sz w:val="23"/>
                <w:szCs w:val="23"/>
              </w:rPr>
              <w:t>as</w:t>
            </w:r>
            <w:r w:rsidRPr="00AA652E">
              <w:rPr>
                <w:bCs/>
                <w:sz w:val="23"/>
                <w:szCs w:val="23"/>
              </w:rPr>
              <w:t xml:space="preserve"> omitted from the TVOP.</w:t>
            </w:r>
          </w:p>
        </w:tc>
        <w:tc>
          <w:tcPr>
            <w:tcW w:w="5760" w:type="dxa"/>
          </w:tcPr>
          <w:p w:rsidR="00AA652E" w:rsidRPr="00E10374" w:rsidRDefault="00AA652E" w:rsidP="00E10374">
            <w:pPr>
              <w:pStyle w:val="ListParagraph"/>
              <w:numPr>
                <w:ilvl w:val="0"/>
                <w:numId w:val="17"/>
              </w:numPr>
              <w:spacing w:after="120"/>
              <w:ind w:left="346"/>
              <w:contextualSpacing w:val="0"/>
              <w:rPr>
                <w:bCs/>
                <w:sz w:val="23"/>
                <w:szCs w:val="23"/>
              </w:rPr>
            </w:pPr>
            <w:r w:rsidRPr="00AA652E">
              <w:rPr>
                <w:bCs/>
                <w:sz w:val="23"/>
                <w:szCs w:val="23"/>
              </w:rPr>
              <w:t xml:space="preserve">A requirement to operate the source in accordance with manufacturer’s specifications (if available) and good operating practices has been placed </w:t>
            </w:r>
            <w:r w:rsidR="00E10374">
              <w:rPr>
                <w:bCs/>
                <w:sz w:val="23"/>
                <w:szCs w:val="23"/>
              </w:rPr>
              <w:t xml:space="preserve">under this source </w:t>
            </w:r>
            <w:r w:rsidRPr="00AA652E">
              <w:rPr>
                <w:bCs/>
                <w:sz w:val="23"/>
                <w:szCs w:val="23"/>
              </w:rPr>
              <w:t>in the TVOP.</w:t>
            </w:r>
            <w:r w:rsidRPr="00AA652E">
              <w:rPr>
                <w:bCs/>
                <w:sz w:val="23"/>
                <w:szCs w:val="23"/>
              </w:rPr>
              <w:br/>
            </w:r>
          </w:p>
        </w:tc>
      </w:tr>
      <w:tr w:rsidR="001F5579" w:rsidRPr="004431CC" w:rsidTr="00ED34F6">
        <w:tc>
          <w:tcPr>
            <w:tcW w:w="1188" w:type="dxa"/>
            <w:gridSpan w:val="2"/>
            <w:shd w:val="clear" w:color="auto" w:fill="auto"/>
          </w:tcPr>
          <w:p w:rsidR="001F5579" w:rsidRPr="00AA652E" w:rsidRDefault="001F5579" w:rsidP="001F5579">
            <w:pPr>
              <w:jc w:val="center"/>
              <w:rPr>
                <w:b/>
                <w:bCs/>
                <w:sz w:val="23"/>
                <w:szCs w:val="23"/>
              </w:rPr>
            </w:pPr>
            <w:r w:rsidRPr="00AA652E">
              <w:rPr>
                <w:b/>
                <w:bCs/>
                <w:sz w:val="23"/>
                <w:szCs w:val="23"/>
              </w:rPr>
              <w:t>211</w:t>
            </w:r>
          </w:p>
        </w:tc>
        <w:tc>
          <w:tcPr>
            <w:tcW w:w="3690" w:type="dxa"/>
            <w:shd w:val="clear" w:color="auto" w:fill="auto"/>
          </w:tcPr>
          <w:p w:rsidR="001F5579" w:rsidRPr="00AA652E" w:rsidRDefault="001F5579" w:rsidP="001F5579">
            <w:pPr>
              <w:pStyle w:val="ListParagraph"/>
              <w:numPr>
                <w:ilvl w:val="0"/>
                <w:numId w:val="17"/>
              </w:numPr>
              <w:spacing w:after="120"/>
              <w:ind w:left="346" w:right="58"/>
              <w:contextualSpacing w:val="0"/>
              <w:rPr>
                <w:bCs/>
                <w:sz w:val="23"/>
                <w:szCs w:val="23"/>
              </w:rPr>
            </w:pPr>
            <w:r w:rsidRPr="00AA652E">
              <w:rPr>
                <w:bCs/>
                <w:sz w:val="23"/>
                <w:szCs w:val="23"/>
              </w:rPr>
              <w:t>This source was subject to 25 Pa. Code § 129.63</w:t>
            </w:r>
            <w:r w:rsidR="004D4C94">
              <w:rPr>
                <w:bCs/>
                <w:sz w:val="23"/>
                <w:szCs w:val="23"/>
              </w:rPr>
              <w:t xml:space="preserve"> as presumptive RACT</w:t>
            </w:r>
            <w:r w:rsidRPr="00AA652E">
              <w:rPr>
                <w:bCs/>
                <w:sz w:val="23"/>
                <w:szCs w:val="23"/>
              </w:rPr>
              <w:t xml:space="preserve">. </w:t>
            </w:r>
          </w:p>
        </w:tc>
        <w:tc>
          <w:tcPr>
            <w:tcW w:w="5760" w:type="dxa"/>
            <w:shd w:val="clear" w:color="auto" w:fill="auto"/>
          </w:tcPr>
          <w:p w:rsidR="001F5579" w:rsidRPr="00AA652E" w:rsidRDefault="001F5579" w:rsidP="001F5579">
            <w:pPr>
              <w:pStyle w:val="ListParagraph"/>
              <w:numPr>
                <w:ilvl w:val="0"/>
                <w:numId w:val="17"/>
              </w:numPr>
              <w:spacing w:after="120"/>
              <w:ind w:left="346"/>
              <w:contextualSpacing w:val="0"/>
              <w:rPr>
                <w:bCs/>
                <w:sz w:val="23"/>
                <w:szCs w:val="23"/>
              </w:rPr>
            </w:pPr>
            <w:r w:rsidRPr="00AA652E">
              <w:rPr>
                <w:bCs/>
                <w:sz w:val="23"/>
                <w:szCs w:val="23"/>
              </w:rPr>
              <w:t>This source will continue to be subject to 25 Pa. Code § 129.63.</w:t>
            </w:r>
          </w:p>
        </w:tc>
      </w:tr>
      <w:tr w:rsidR="008D1629" w:rsidRPr="004431CC" w:rsidTr="00ED34F6">
        <w:tc>
          <w:tcPr>
            <w:tcW w:w="1188" w:type="dxa"/>
            <w:gridSpan w:val="2"/>
          </w:tcPr>
          <w:p w:rsidR="008D1629" w:rsidRPr="00AA652E" w:rsidRDefault="008D1629" w:rsidP="00D56355">
            <w:pPr>
              <w:jc w:val="center"/>
              <w:rPr>
                <w:b/>
                <w:bCs/>
                <w:sz w:val="23"/>
                <w:szCs w:val="23"/>
              </w:rPr>
            </w:pPr>
            <w:r w:rsidRPr="00AA652E">
              <w:rPr>
                <w:b/>
                <w:bCs/>
                <w:sz w:val="23"/>
                <w:szCs w:val="23"/>
              </w:rPr>
              <w:t>229</w:t>
            </w:r>
          </w:p>
        </w:tc>
        <w:tc>
          <w:tcPr>
            <w:tcW w:w="3690" w:type="dxa"/>
          </w:tcPr>
          <w:p w:rsidR="008D1629" w:rsidRPr="00AA652E" w:rsidRDefault="00E10374" w:rsidP="008D1629">
            <w:pPr>
              <w:pStyle w:val="ListParagraph"/>
              <w:numPr>
                <w:ilvl w:val="0"/>
                <w:numId w:val="17"/>
              </w:numPr>
              <w:spacing w:after="120"/>
              <w:ind w:left="346" w:right="58"/>
              <w:contextualSpacing w:val="0"/>
              <w:rPr>
                <w:bCs/>
                <w:sz w:val="23"/>
                <w:szCs w:val="23"/>
              </w:rPr>
            </w:pPr>
            <w:r w:rsidRPr="00E10374">
              <w:rPr>
                <w:bCs/>
                <w:sz w:val="23"/>
                <w:szCs w:val="23"/>
              </w:rPr>
              <w:t>This source was subject to presumptive RACT, operating per the manufacturer’s specifications and good operating practices, but this requirement was omitted from the TVOP.</w:t>
            </w:r>
          </w:p>
        </w:tc>
        <w:tc>
          <w:tcPr>
            <w:tcW w:w="5760" w:type="dxa"/>
          </w:tcPr>
          <w:p w:rsidR="008D1629" w:rsidRPr="00AA652E" w:rsidRDefault="00EF62B0" w:rsidP="008D1629">
            <w:pPr>
              <w:pStyle w:val="ListParagraph"/>
              <w:numPr>
                <w:ilvl w:val="0"/>
                <w:numId w:val="17"/>
              </w:numPr>
              <w:spacing w:after="120"/>
              <w:ind w:left="346"/>
              <w:contextualSpacing w:val="0"/>
              <w:rPr>
                <w:bCs/>
                <w:sz w:val="23"/>
                <w:szCs w:val="23"/>
              </w:rPr>
            </w:pPr>
            <w:r w:rsidRPr="00AA652E">
              <w:rPr>
                <w:bCs/>
                <w:sz w:val="23"/>
                <w:szCs w:val="23"/>
              </w:rPr>
              <w:t>A requirement to operate the source in accordance with manufacturer’s specifications (if available) and good operating practices has been placed</w:t>
            </w:r>
            <w:r w:rsidR="00E10374">
              <w:rPr>
                <w:bCs/>
                <w:sz w:val="23"/>
                <w:szCs w:val="23"/>
              </w:rPr>
              <w:t xml:space="preserve"> under this source</w:t>
            </w:r>
            <w:r w:rsidRPr="00AA652E">
              <w:rPr>
                <w:bCs/>
                <w:sz w:val="23"/>
                <w:szCs w:val="23"/>
              </w:rPr>
              <w:t xml:space="preserve"> in the TVOP</w:t>
            </w:r>
            <w:r w:rsidR="0012010E" w:rsidRPr="00AA652E">
              <w:rPr>
                <w:bCs/>
                <w:sz w:val="23"/>
                <w:szCs w:val="23"/>
              </w:rPr>
              <w:t>.</w:t>
            </w:r>
          </w:p>
        </w:tc>
      </w:tr>
      <w:tr w:rsidR="0012010E" w:rsidRPr="004431CC" w:rsidTr="00ED34F6">
        <w:tc>
          <w:tcPr>
            <w:tcW w:w="1188" w:type="dxa"/>
            <w:gridSpan w:val="2"/>
          </w:tcPr>
          <w:p w:rsidR="0012010E" w:rsidRPr="00AA652E" w:rsidRDefault="0012010E" w:rsidP="0012010E">
            <w:pPr>
              <w:jc w:val="center"/>
              <w:rPr>
                <w:b/>
                <w:bCs/>
                <w:sz w:val="23"/>
                <w:szCs w:val="23"/>
              </w:rPr>
            </w:pPr>
            <w:r w:rsidRPr="00AA652E">
              <w:rPr>
                <w:b/>
                <w:bCs/>
                <w:sz w:val="23"/>
                <w:szCs w:val="23"/>
              </w:rPr>
              <w:t>229A</w:t>
            </w:r>
          </w:p>
        </w:tc>
        <w:tc>
          <w:tcPr>
            <w:tcW w:w="3690" w:type="dxa"/>
          </w:tcPr>
          <w:p w:rsidR="0012010E" w:rsidRPr="00AA652E" w:rsidRDefault="00E10374" w:rsidP="0012010E">
            <w:pPr>
              <w:pStyle w:val="ListParagraph"/>
              <w:numPr>
                <w:ilvl w:val="0"/>
                <w:numId w:val="17"/>
              </w:numPr>
              <w:spacing w:after="120"/>
              <w:ind w:left="346" w:right="58"/>
              <w:contextualSpacing w:val="0"/>
              <w:rPr>
                <w:bCs/>
                <w:sz w:val="23"/>
                <w:szCs w:val="23"/>
              </w:rPr>
            </w:pPr>
            <w:r w:rsidRPr="00E10374">
              <w:rPr>
                <w:bCs/>
                <w:sz w:val="23"/>
                <w:szCs w:val="23"/>
              </w:rPr>
              <w:t>This source was subject to presumptive RACT, operating per the manufacturer’s specifications and good operating practices, but this requirement was omitted from the TVOP.</w:t>
            </w:r>
          </w:p>
        </w:tc>
        <w:tc>
          <w:tcPr>
            <w:tcW w:w="5760" w:type="dxa"/>
          </w:tcPr>
          <w:p w:rsidR="0012010E" w:rsidRPr="00AA652E" w:rsidRDefault="00073536" w:rsidP="0012010E">
            <w:pPr>
              <w:pStyle w:val="ListParagraph"/>
              <w:numPr>
                <w:ilvl w:val="0"/>
                <w:numId w:val="17"/>
              </w:numPr>
              <w:spacing w:after="120"/>
              <w:ind w:left="346"/>
              <w:contextualSpacing w:val="0"/>
              <w:rPr>
                <w:bCs/>
                <w:sz w:val="23"/>
                <w:szCs w:val="23"/>
              </w:rPr>
            </w:pPr>
            <w:r w:rsidRPr="00AA652E">
              <w:rPr>
                <w:bCs/>
                <w:sz w:val="23"/>
                <w:szCs w:val="23"/>
              </w:rPr>
              <w:t xml:space="preserve">Under Plan Approval </w:t>
            </w:r>
            <w:r w:rsidR="00CE0929" w:rsidRPr="00AA652E">
              <w:rPr>
                <w:bCs/>
                <w:sz w:val="23"/>
                <w:szCs w:val="23"/>
              </w:rPr>
              <w:t xml:space="preserve">No. 15-0010D, this source </w:t>
            </w:r>
            <w:r w:rsidR="00CE0929" w:rsidRPr="00BA5C98">
              <w:rPr>
                <w:bCs/>
                <w:sz w:val="23"/>
                <w:szCs w:val="23"/>
              </w:rPr>
              <w:t>became subject to BAT, which included annual tune-ups</w:t>
            </w:r>
            <w:r w:rsidR="0012010E" w:rsidRPr="00BA5C98">
              <w:rPr>
                <w:bCs/>
                <w:sz w:val="23"/>
                <w:szCs w:val="23"/>
              </w:rPr>
              <w:t>.</w:t>
            </w:r>
            <w:r w:rsidR="00CE0929" w:rsidRPr="00BA5C98">
              <w:rPr>
                <w:bCs/>
                <w:sz w:val="23"/>
                <w:szCs w:val="23"/>
              </w:rPr>
              <w:t xml:space="preserve">  This is more stringent than presumptive RACT II.  The annual tune-ups shall be deemed as a streamlined condition</w:t>
            </w:r>
            <w:r w:rsidR="00A515F6" w:rsidRPr="00BA5C98">
              <w:rPr>
                <w:bCs/>
                <w:sz w:val="23"/>
                <w:szCs w:val="23"/>
              </w:rPr>
              <w:t xml:space="preserve"> assuring compliance with presumptive RACT II.</w:t>
            </w:r>
          </w:p>
        </w:tc>
      </w:tr>
      <w:tr w:rsidR="005860E3" w:rsidRPr="004431CC" w:rsidTr="00ED34F6">
        <w:tc>
          <w:tcPr>
            <w:tcW w:w="1188" w:type="dxa"/>
            <w:gridSpan w:val="2"/>
          </w:tcPr>
          <w:p w:rsidR="005860E3" w:rsidRPr="00AA652E" w:rsidRDefault="005860E3" w:rsidP="005860E3">
            <w:pPr>
              <w:jc w:val="center"/>
              <w:rPr>
                <w:b/>
                <w:bCs/>
                <w:sz w:val="23"/>
                <w:szCs w:val="23"/>
              </w:rPr>
            </w:pPr>
            <w:r w:rsidRPr="00AA652E">
              <w:rPr>
                <w:b/>
                <w:bCs/>
                <w:sz w:val="23"/>
                <w:szCs w:val="23"/>
              </w:rPr>
              <w:t>229</w:t>
            </w:r>
            <w:r>
              <w:rPr>
                <w:b/>
                <w:bCs/>
                <w:sz w:val="23"/>
                <w:szCs w:val="23"/>
              </w:rPr>
              <w:t>B</w:t>
            </w:r>
          </w:p>
        </w:tc>
        <w:tc>
          <w:tcPr>
            <w:tcW w:w="3690" w:type="dxa"/>
          </w:tcPr>
          <w:p w:rsidR="005860E3" w:rsidRPr="00AA652E" w:rsidRDefault="005860E3" w:rsidP="005860E3">
            <w:pPr>
              <w:pStyle w:val="ListParagraph"/>
              <w:numPr>
                <w:ilvl w:val="0"/>
                <w:numId w:val="17"/>
              </w:numPr>
              <w:spacing w:after="120"/>
              <w:ind w:left="346" w:right="58"/>
              <w:contextualSpacing w:val="0"/>
              <w:rPr>
                <w:bCs/>
                <w:sz w:val="23"/>
                <w:szCs w:val="23"/>
              </w:rPr>
            </w:pPr>
            <w:r w:rsidRPr="00E10374">
              <w:rPr>
                <w:bCs/>
                <w:sz w:val="23"/>
                <w:szCs w:val="23"/>
              </w:rPr>
              <w:t>This source was subject to presumptive RACT, operating per the manufacturer’s specifications and good operating practices, but this requirement was omitted from the TVOP.</w:t>
            </w:r>
          </w:p>
        </w:tc>
        <w:tc>
          <w:tcPr>
            <w:tcW w:w="5760" w:type="dxa"/>
          </w:tcPr>
          <w:p w:rsidR="005860E3" w:rsidRPr="00AA652E" w:rsidRDefault="005860E3" w:rsidP="005860E3">
            <w:pPr>
              <w:pStyle w:val="ListParagraph"/>
              <w:numPr>
                <w:ilvl w:val="0"/>
                <w:numId w:val="17"/>
              </w:numPr>
              <w:spacing w:after="120"/>
              <w:ind w:left="346"/>
              <w:contextualSpacing w:val="0"/>
              <w:rPr>
                <w:bCs/>
                <w:sz w:val="23"/>
                <w:szCs w:val="23"/>
              </w:rPr>
            </w:pPr>
            <w:r w:rsidRPr="00AA652E">
              <w:rPr>
                <w:bCs/>
                <w:sz w:val="23"/>
                <w:szCs w:val="23"/>
              </w:rPr>
              <w:t>Under Plan Approval No. 15-0010</w:t>
            </w:r>
            <w:r>
              <w:rPr>
                <w:bCs/>
                <w:sz w:val="23"/>
                <w:szCs w:val="23"/>
              </w:rPr>
              <w:t>E</w:t>
            </w:r>
            <w:r w:rsidRPr="00AA652E">
              <w:rPr>
                <w:bCs/>
                <w:sz w:val="23"/>
                <w:szCs w:val="23"/>
              </w:rPr>
              <w:t xml:space="preserve">, this source </w:t>
            </w:r>
            <w:r w:rsidRPr="00BA5C98">
              <w:rPr>
                <w:bCs/>
                <w:sz w:val="23"/>
                <w:szCs w:val="23"/>
              </w:rPr>
              <w:t>became subject to BAT, which included annual tune-ups.  This is more stringent than presumptive RACT II.  The annual tune-ups shall be deemed as a streamlined condition assuring compliance with presumptive RACT II.</w:t>
            </w:r>
          </w:p>
        </w:tc>
      </w:tr>
    </w:tbl>
    <w:p w:rsidR="00A152FF" w:rsidRDefault="00A152FF"/>
    <w:p w:rsidR="00A152FF" w:rsidRDefault="00A152FF"/>
    <w:p w:rsidR="00A152FF" w:rsidRDefault="00A152FF"/>
    <w:tbl>
      <w:tblPr>
        <w:tblStyle w:val="TableGrid"/>
        <w:tblW w:w="10638" w:type="dxa"/>
        <w:tblInd w:w="-522" w:type="dxa"/>
        <w:tblLook w:val="04A0" w:firstRow="1" w:lastRow="0" w:firstColumn="1" w:lastColumn="0" w:noHBand="0" w:noVBand="1"/>
      </w:tblPr>
      <w:tblGrid>
        <w:gridCol w:w="1188"/>
        <w:gridCol w:w="3690"/>
        <w:gridCol w:w="5760"/>
      </w:tblGrid>
      <w:tr w:rsidR="00A152FF" w:rsidRPr="00AA652E" w:rsidTr="00D0104A">
        <w:tc>
          <w:tcPr>
            <w:tcW w:w="1188" w:type="dxa"/>
            <w:shd w:val="clear" w:color="auto" w:fill="D9D9D9" w:themeFill="background1" w:themeFillShade="D9"/>
          </w:tcPr>
          <w:p w:rsidR="00A152FF" w:rsidRPr="00AA652E" w:rsidRDefault="00A152FF" w:rsidP="00D0104A">
            <w:pPr>
              <w:jc w:val="center"/>
              <w:rPr>
                <w:b/>
                <w:bCs/>
              </w:rPr>
            </w:pPr>
            <w:r w:rsidRPr="00AA652E">
              <w:rPr>
                <w:b/>
                <w:bCs/>
              </w:rPr>
              <w:lastRenderedPageBreak/>
              <w:t>Source ID</w:t>
            </w:r>
          </w:p>
        </w:tc>
        <w:tc>
          <w:tcPr>
            <w:tcW w:w="3690" w:type="dxa"/>
            <w:shd w:val="clear" w:color="auto" w:fill="D9D9D9" w:themeFill="background1" w:themeFillShade="D9"/>
            <w:vAlign w:val="center"/>
          </w:tcPr>
          <w:p w:rsidR="00A152FF" w:rsidRPr="00AA652E" w:rsidRDefault="00A152FF" w:rsidP="00D0104A">
            <w:pPr>
              <w:jc w:val="center"/>
              <w:rPr>
                <w:b/>
                <w:bCs/>
              </w:rPr>
            </w:pPr>
            <w:r w:rsidRPr="00AA652E">
              <w:rPr>
                <w:b/>
                <w:bCs/>
              </w:rPr>
              <w:t>Under RACT I</w:t>
            </w:r>
          </w:p>
        </w:tc>
        <w:tc>
          <w:tcPr>
            <w:tcW w:w="5760" w:type="dxa"/>
            <w:shd w:val="clear" w:color="auto" w:fill="D9D9D9" w:themeFill="background1" w:themeFillShade="D9"/>
            <w:vAlign w:val="center"/>
          </w:tcPr>
          <w:p w:rsidR="00A152FF" w:rsidRPr="00AA652E" w:rsidRDefault="00A152FF" w:rsidP="00D0104A">
            <w:pPr>
              <w:jc w:val="center"/>
              <w:rPr>
                <w:b/>
                <w:bCs/>
              </w:rPr>
            </w:pPr>
            <w:r w:rsidRPr="00AA652E">
              <w:rPr>
                <w:b/>
                <w:bCs/>
              </w:rPr>
              <w:t>Under RACT II</w:t>
            </w:r>
          </w:p>
        </w:tc>
      </w:tr>
      <w:tr w:rsidR="0024452F" w:rsidRPr="004431CC" w:rsidTr="00ED34F6">
        <w:tc>
          <w:tcPr>
            <w:tcW w:w="1188" w:type="dxa"/>
          </w:tcPr>
          <w:p w:rsidR="0024452F" w:rsidRPr="00AA652E" w:rsidRDefault="0024452F" w:rsidP="0024452F">
            <w:pPr>
              <w:jc w:val="center"/>
              <w:rPr>
                <w:b/>
                <w:bCs/>
                <w:sz w:val="23"/>
                <w:szCs w:val="23"/>
              </w:rPr>
            </w:pPr>
            <w:r w:rsidRPr="00AA652E">
              <w:rPr>
                <w:b/>
                <w:bCs/>
                <w:sz w:val="23"/>
                <w:szCs w:val="23"/>
              </w:rPr>
              <w:t>230</w:t>
            </w:r>
          </w:p>
        </w:tc>
        <w:tc>
          <w:tcPr>
            <w:tcW w:w="3690" w:type="dxa"/>
          </w:tcPr>
          <w:p w:rsidR="0024452F" w:rsidRPr="00AA652E" w:rsidRDefault="0054084A" w:rsidP="0024452F">
            <w:pPr>
              <w:pStyle w:val="ListParagraph"/>
              <w:numPr>
                <w:ilvl w:val="0"/>
                <w:numId w:val="17"/>
              </w:numPr>
              <w:spacing w:after="120"/>
              <w:ind w:left="346" w:right="58"/>
              <w:contextualSpacing w:val="0"/>
              <w:rPr>
                <w:bCs/>
                <w:sz w:val="23"/>
                <w:szCs w:val="23"/>
              </w:rPr>
            </w:pPr>
            <w:r w:rsidRPr="0054084A">
              <w:rPr>
                <w:bCs/>
                <w:sz w:val="23"/>
                <w:szCs w:val="23"/>
              </w:rPr>
              <w:t>This source was subject to presumptive RACT, operating per the manufacturer’s specifications and good operating practices, but this requirement was omitted from the TVOP.</w:t>
            </w:r>
          </w:p>
        </w:tc>
        <w:tc>
          <w:tcPr>
            <w:tcW w:w="5760" w:type="dxa"/>
          </w:tcPr>
          <w:p w:rsidR="0024452F" w:rsidRPr="00AA652E" w:rsidRDefault="00EF62B0" w:rsidP="0024452F">
            <w:pPr>
              <w:pStyle w:val="ListParagraph"/>
              <w:numPr>
                <w:ilvl w:val="0"/>
                <w:numId w:val="17"/>
              </w:numPr>
              <w:spacing w:after="120"/>
              <w:ind w:left="346"/>
              <w:contextualSpacing w:val="0"/>
              <w:rPr>
                <w:bCs/>
                <w:sz w:val="23"/>
                <w:szCs w:val="23"/>
              </w:rPr>
            </w:pPr>
            <w:r w:rsidRPr="00AA652E">
              <w:rPr>
                <w:bCs/>
                <w:sz w:val="23"/>
                <w:szCs w:val="23"/>
              </w:rPr>
              <w:t xml:space="preserve">A requirement to operate the source in accordance with manufacturer’s specifications (if available) and good operating practices has been placed </w:t>
            </w:r>
            <w:r w:rsidR="004D4C94">
              <w:rPr>
                <w:bCs/>
                <w:sz w:val="23"/>
                <w:szCs w:val="23"/>
              </w:rPr>
              <w:t xml:space="preserve">under the source </w:t>
            </w:r>
            <w:r w:rsidRPr="00AA652E">
              <w:rPr>
                <w:bCs/>
                <w:sz w:val="23"/>
                <w:szCs w:val="23"/>
              </w:rPr>
              <w:t>in the TVOP</w:t>
            </w:r>
            <w:r w:rsidR="0024452F" w:rsidRPr="00AA652E">
              <w:rPr>
                <w:bCs/>
                <w:sz w:val="23"/>
                <w:szCs w:val="23"/>
              </w:rPr>
              <w:t>.</w:t>
            </w:r>
          </w:p>
        </w:tc>
      </w:tr>
      <w:tr w:rsidR="004D4C94" w:rsidRPr="00AA652E" w:rsidTr="009B13B8">
        <w:tc>
          <w:tcPr>
            <w:tcW w:w="1188" w:type="dxa"/>
          </w:tcPr>
          <w:p w:rsidR="004D4C94" w:rsidRPr="00AA652E" w:rsidRDefault="004D4C94" w:rsidP="004D4C94">
            <w:pPr>
              <w:jc w:val="center"/>
              <w:rPr>
                <w:b/>
                <w:bCs/>
              </w:rPr>
            </w:pPr>
            <w:r w:rsidRPr="00AA652E">
              <w:rPr>
                <w:b/>
                <w:bCs/>
              </w:rPr>
              <w:t>231</w:t>
            </w:r>
          </w:p>
        </w:tc>
        <w:tc>
          <w:tcPr>
            <w:tcW w:w="3690" w:type="dxa"/>
          </w:tcPr>
          <w:p w:rsidR="004D4C94" w:rsidRPr="00AA652E" w:rsidRDefault="004D4C94" w:rsidP="004D4C94">
            <w:pPr>
              <w:pStyle w:val="ListParagraph"/>
              <w:numPr>
                <w:ilvl w:val="0"/>
                <w:numId w:val="17"/>
              </w:numPr>
              <w:spacing w:after="120"/>
              <w:ind w:left="346" w:right="58"/>
              <w:contextualSpacing w:val="0"/>
              <w:rPr>
                <w:bCs/>
                <w:szCs w:val="24"/>
              </w:rPr>
            </w:pPr>
            <w:r w:rsidRPr="004D4C94">
              <w:rPr>
                <w:bCs/>
              </w:rPr>
              <w:t>This source was subject to presumptive RACT, operating per the manufacturer’s specifications and good operating practices, but this requirement was omitted from the TVOP.</w:t>
            </w:r>
          </w:p>
        </w:tc>
        <w:tc>
          <w:tcPr>
            <w:tcW w:w="5760" w:type="dxa"/>
          </w:tcPr>
          <w:p w:rsidR="004D4C94" w:rsidRPr="00AA652E" w:rsidRDefault="004D4C94" w:rsidP="004D4C94">
            <w:pPr>
              <w:pStyle w:val="ListParagraph"/>
              <w:numPr>
                <w:ilvl w:val="0"/>
                <w:numId w:val="17"/>
              </w:numPr>
              <w:spacing w:after="120"/>
              <w:ind w:left="346"/>
              <w:contextualSpacing w:val="0"/>
              <w:rPr>
                <w:bCs/>
                <w:szCs w:val="24"/>
              </w:rPr>
            </w:pPr>
            <w:r w:rsidRPr="00AA652E">
              <w:rPr>
                <w:bCs/>
                <w:sz w:val="23"/>
                <w:szCs w:val="23"/>
              </w:rPr>
              <w:t xml:space="preserve">A requirement to operate the source in accordance with manufacturer’s specifications (if available) and good operating practices has been placed </w:t>
            </w:r>
            <w:r>
              <w:rPr>
                <w:bCs/>
                <w:sz w:val="23"/>
                <w:szCs w:val="23"/>
              </w:rPr>
              <w:t xml:space="preserve">under the source </w:t>
            </w:r>
            <w:r w:rsidRPr="00AA652E">
              <w:rPr>
                <w:bCs/>
                <w:sz w:val="23"/>
                <w:szCs w:val="23"/>
              </w:rPr>
              <w:t>in the TVOP</w:t>
            </w:r>
            <w:r w:rsidRPr="00AA652E">
              <w:rPr>
                <w:bCs/>
              </w:rPr>
              <w:t>.</w:t>
            </w:r>
          </w:p>
        </w:tc>
      </w:tr>
      <w:tr w:rsidR="00AA652E" w:rsidRPr="00AA652E" w:rsidTr="00ED34F6">
        <w:tc>
          <w:tcPr>
            <w:tcW w:w="1188" w:type="dxa"/>
          </w:tcPr>
          <w:p w:rsidR="00AA652E" w:rsidRPr="00AA652E" w:rsidRDefault="00AA652E" w:rsidP="00AA652E">
            <w:pPr>
              <w:jc w:val="center"/>
              <w:rPr>
                <w:b/>
                <w:bCs/>
              </w:rPr>
            </w:pPr>
            <w:r w:rsidRPr="00AA652E">
              <w:rPr>
                <w:b/>
                <w:bCs/>
              </w:rPr>
              <w:t>249</w:t>
            </w:r>
          </w:p>
        </w:tc>
        <w:tc>
          <w:tcPr>
            <w:tcW w:w="3690" w:type="dxa"/>
          </w:tcPr>
          <w:p w:rsidR="00AA652E" w:rsidRPr="00AA652E" w:rsidRDefault="00AA652E" w:rsidP="00AA652E">
            <w:pPr>
              <w:pStyle w:val="ListParagraph"/>
              <w:numPr>
                <w:ilvl w:val="0"/>
                <w:numId w:val="17"/>
              </w:numPr>
              <w:spacing w:after="120"/>
              <w:ind w:left="346" w:right="58"/>
              <w:contextualSpacing w:val="0"/>
              <w:rPr>
                <w:bCs/>
              </w:rPr>
            </w:pPr>
            <w:r w:rsidRPr="00AA652E">
              <w:rPr>
                <w:bCs/>
              </w:rPr>
              <w:t xml:space="preserve">This source was subject to </w:t>
            </w:r>
            <w:r w:rsidR="004D4C94" w:rsidRPr="004D4C94">
              <w:rPr>
                <w:bCs/>
              </w:rPr>
              <w:t>25 Pa. Code §</w:t>
            </w:r>
            <w:r w:rsidR="004D4C94">
              <w:rPr>
                <w:bCs/>
              </w:rPr>
              <w:t xml:space="preserve"> </w:t>
            </w:r>
            <w:r w:rsidRPr="00AA652E">
              <w:rPr>
                <w:bCs/>
              </w:rPr>
              <w:t>129.52 as presumptive RACT.</w:t>
            </w:r>
          </w:p>
          <w:p w:rsidR="00AA652E" w:rsidRPr="00AA652E" w:rsidRDefault="00AA652E" w:rsidP="00AA652E">
            <w:pPr>
              <w:pStyle w:val="ListParagraph"/>
              <w:numPr>
                <w:ilvl w:val="0"/>
                <w:numId w:val="17"/>
              </w:numPr>
              <w:spacing w:after="120"/>
              <w:ind w:left="346" w:right="58"/>
              <w:contextualSpacing w:val="0"/>
              <w:rPr>
                <w:bCs/>
              </w:rPr>
            </w:pPr>
            <w:r w:rsidRPr="00AA652E">
              <w:rPr>
                <w:bCs/>
              </w:rPr>
              <w:t xml:space="preserve">This source was subject to operating per the manufacturer’s specifications and good operating practices under RACT </w:t>
            </w:r>
            <w:proofErr w:type="gramStart"/>
            <w:r w:rsidRPr="00AA652E">
              <w:rPr>
                <w:bCs/>
              </w:rPr>
              <w:t>I</w:t>
            </w:r>
            <w:proofErr w:type="gramEnd"/>
            <w:r w:rsidRPr="00AA652E">
              <w:rPr>
                <w:bCs/>
              </w:rPr>
              <w:t xml:space="preserve"> but this was not a regulatory requirement.</w:t>
            </w:r>
          </w:p>
        </w:tc>
        <w:tc>
          <w:tcPr>
            <w:tcW w:w="5760" w:type="dxa"/>
          </w:tcPr>
          <w:p w:rsidR="00AA652E" w:rsidRPr="00AA652E" w:rsidRDefault="00AA652E" w:rsidP="00AA652E">
            <w:pPr>
              <w:pStyle w:val="ListParagraph"/>
              <w:numPr>
                <w:ilvl w:val="0"/>
                <w:numId w:val="17"/>
              </w:numPr>
              <w:spacing w:after="120"/>
              <w:ind w:left="346"/>
              <w:contextualSpacing w:val="0"/>
              <w:rPr>
                <w:bCs/>
              </w:rPr>
            </w:pPr>
            <w:r w:rsidRPr="00AA652E">
              <w:rPr>
                <w:bCs/>
              </w:rPr>
              <w:t>This source continues to be subject to 129.52.</w:t>
            </w:r>
            <w:r w:rsidR="004D4C94">
              <w:rPr>
                <w:bCs/>
              </w:rPr>
              <w:br/>
            </w:r>
            <w:r w:rsidRPr="00AA652E">
              <w:rPr>
                <w:bCs/>
              </w:rPr>
              <w:br/>
            </w:r>
          </w:p>
          <w:p w:rsidR="00AA652E" w:rsidRPr="00AA652E" w:rsidRDefault="00AA652E" w:rsidP="00AA652E">
            <w:pPr>
              <w:pStyle w:val="ListParagraph"/>
              <w:numPr>
                <w:ilvl w:val="0"/>
                <w:numId w:val="17"/>
              </w:numPr>
              <w:spacing w:after="120"/>
              <w:ind w:left="346"/>
              <w:contextualSpacing w:val="0"/>
              <w:rPr>
                <w:bCs/>
              </w:rPr>
            </w:pPr>
            <w:r w:rsidRPr="00AA652E">
              <w:rPr>
                <w:bCs/>
              </w:rPr>
              <w:t>As this source is subject to 129.52, the requirement to operate the source per the manufacturer’s specifications is not a regulatory requirement and has therefore not been included in RACT II.</w:t>
            </w:r>
          </w:p>
        </w:tc>
      </w:tr>
      <w:tr w:rsidR="00071AC7" w:rsidRPr="00AA652E" w:rsidTr="00ED34F6">
        <w:tc>
          <w:tcPr>
            <w:tcW w:w="1188" w:type="dxa"/>
          </w:tcPr>
          <w:p w:rsidR="00071AC7" w:rsidRPr="00AA652E" w:rsidRDefault="00071AC7" w:rsidP="00651A4B">
            <w:pPr>
              <w:jc w:val="center"/>
              <w:rPr>
                <w:b/>
                <w:bCs/>
              </w:rPr>
            </w:pPr>
            <w:r w:rsidRPr="00AA652E">
              <w:rPr>
                <w:b/>
                <w:bCs/>
              </w:rPr>
              <w:t>250</w:t>
            </w:r>
          </w:p>
        </w:tc>
        <w:tc>
          <w:tcPr>
            <w:tcW w:w="3690" w:type="dxa"/>
          </w:tcPr>
          <w:p w:rsidR="004D4C94" w:rsidRPr="004D4C94" w:rsidRDefault="008E7217" w:rsidP="004D4C94">
            <w:pPr>
              <w:pStyle w:val="ListParagraph"/>
              <w:numPr>
                <w:ilvl w:val="0"/>
                <w:numId w:val="17"/>
              </w:numPr>
              <w:spacing w:after="120"/>
              <w:ind w:left="346" w:right="58"/>
              <w:contextualSpacing w:val="0"/>
              <w:rPr>
                <w:bCs/>
                <w:szCs w:val="24"/>
              </w:rPr>
            </w:pPr>
            <w:r w:rsidRPr="008E7217">
              <w:rPr>
                <w:bCs/>
                <w:szCs w:val="24"/>
              </w:rPr>
              <w:t xml:space="preserve">A case-by-case analysis was performed for </w:t>
            </w:r>
            <w:r>
              <w:rPr>
                <w:bCs/>
                <w:szCs w:val="24"/>
              </w:rPr>
              <w:t>VOC</w:t>
            </w:r>
            <w:r w:rsidRPr="008E7217">
              <w:rPr>
                <w:bCs/>
                <w:szCs w:val="24"/>
              </w:rPr>
              <w:t>.  It was determined that there were no technically and economically feasible controls for this source.  No emission limits were incorporated into the RACT Operating Permit.</w:t>
            </w:r>
          </w:p>
          <w:p w:rsidR="00E76AA8" w:rsidRPr="004D4C94" w:rsidRDefault="004D4C94" w:rsidP="004D4C94">
            <w:pPr>
              <w:pStyle w:val="ListParagraph"/>
              <w:numPr>
                <w:ilvl w:val="0"/>
                <w:numId w:val="17"/>
              </w:numPr>
              <w:spacing w:after="120"/>
              <w:ind w:left="346" w:right="58"/>
              <w:contextualSpacing w:val="0"/>
              <w:rPr>
                <w:bCs/>
                <w:szCs w:val="24"/>
              </w:rPr>
            </w:pPr>
            <w:r w:rsidRPr="004D4C94">
              <w:rPr>
                <w:bCs/>
              </w:rPr>
              <w:t>Per case-by-case RACT I, this source was subject to operating per the manufacturer’s specifications and good operating practices, but this requirement was omitted from the source under the TVOP.</w:t>
            </w:r>
          </w:p>
        </w:tc>
        <w:tc>
          <w:tcPr>
            <w:tcW w:w="5760" w:type="dxa"/>
          </w:tcPr>
          <w:p w:rsidR="004905EC" w:rsidRDefault="004905EC" w:rsidP="004905EC">
            <w:pPr>
              <w:pStyle w:val="ListParagraph"/>
              <w:numPr>
                <w:ilvl w:val="0"/>
                <w:numId w:val="17"/>
              </w:numPr>
              <w:spacing w:after="120"/>
              <w:ind w:left="331"/>
              <w:contextualSpacing w:val="0"/>
              <w:rPr>
                <w:bCs/>
                <w:szCs w:val="24"/>
              </w:rPr>
            </w:pPr>
            <w:r w:rsidRPr="004905EC">
              <w:rPr>
                <w:bCs/>
                <w:szCs w:val="24"/>
              </w:rPr>
              <w:t xml:space="preserve">A case-by-case analysis was performed, and it was determined that there were no technically and economically feasible controls for this source.  This source shall comply with 12-month limit of </w:t>
            </w:r>
            <w:r>
              <w:rPr>
                <w:bCs/>
                <w:szCs w:val="24"/>
              </w:rPr>
              <w:t>5</w:t>
            </w:r>
            <w:r w:rsidRPr="004905EC">
              <w:rPr>
                <w:bCs/>
                <w:szCs w:val="24"/>
              </w:rPr>
              <w:t>.</w:t>
            </w:r>
            <w:r>
              <w:rPr>
                <w:bCs/>
                <w:szCs w:val="24"/>
              </w:rPr>
              <w:t>4</w:t>
            </w:r>
            <w:r w:rsidRPr="004905EC">
              <w:rPr>
                <w:bCs/>
                <w:szCs w:val="24"/>
              </w:rPr>
              <w:t xml:space="preserve"> tons for </w:t>
            </w:r>
            <w:r>
              <w:rPr>
                <w:bCs/>
                <w:szCs w:val="24"/>
              </w:rPr>
              <w:t xml:space="preserve">VOC.  The permittee shall </w:t>
            </w:r>
            <w:proofErr w:type="gramStart"/>
            <w:r>
              <w:rPr>
                <w:bCs/>
                <w:szCs w:val="24"/>
              </w:rPr>
              <w:t>monitor</w:t>
            </w:r>
            <w:proofErr w:type="gramEnd"/>
            <w:r>
              <w:rPr>
                <w:bCs/>
                <w:szCs w:val="24"/>
              </w:rPr>
              <w:t xml:space="preserve"> and record spray can usage and determine compliance with the limit through mass balancing</w:t>
            </w:r>
            <w:r w:rsidRPr="004905EC">
              <w:rPr>
                <w:bCs/>
                <w:szCs w:val="24"/>
              </w:rPr>
              <w:t>.</w:t>
            </w:r>
            <w:r>
              <w:rPr>
                <w:bCs/>
                <w:szCs w:val="24"/>
              </w:rPr>
              <w:br/>
            </w:r>
          </w:p>
          <w:p w:rsidR="00071AC7" w:rsidRPr="00AA652E" w:rsidRDefault="007D35EE" w:rsidP="00FA375D">
            <w:pPr>
              <w:pStyle w:val="ListParagraph"/>
              <w:numPr>
                <w:ilvl w:val="0"/>
                <w:numId w:val="17"/>
              </w:numPr>
              <w:spacing w:after="120"/>
              <w:ind w:left="346"/>
              <w:contextualSpacing w:val="0"/>
              <w:rPr>
                <w:bCs/>
                <w:szCs w:val="24"/>
              </w:rPr>
            </w:pPr>
            <w:r w:rsidRPr="00AA652E">
              <w:rPr>
                <w:bCs/>
                <w:sz w:val="23"/>
                <w:szCs w:val="23"/>
              </w:rPr>
              <w:t>A requirement to operate the source in accordance with manufacturer’s specifications (if available) and good operating practices has been placed</w:t>
            </w:r>
            <w:r w:rsidR="004905EC">
              <w:rPr>
                <w:bCs/>
                <w:sz w:val="23"/>
                <w:szCs w:val="23"/>
              </w:rPr>
              <w:t xml:space="preserve"> under the source</w:t>
            </w:r>
            <w:r w:rsidRPr="00AA652E">
              <w:rPr>
                <w:bCs/>
                <w:sz w:val="23"/>
                <w:szCs w:val="23"/>
              </w:rPr>
              <w:t xml:space="preserve"> in the TVOP</w:t>
            </w:r>
            <w:r w:rsidR="00071AC7" w:rsidRPr="00AA652E">
              <w:rPr>
                <w:bCs/>
              </w:rPr>
              <w:t>.</w:t>
            </w:r>
            <w:r w:rsidR="001F5579" w:rsidRPr="00AA652E">
              <w:rPr>
                <w:bCs/>
              </w:rPr>
              <w:br/>
            </w:r>
          </w:p>
          <w:p w:rsidR="00E76AA8" w:rsidRPr="00AA652E" w:rsidRDefault="00E76AA8" w:rsidP="004D4C94">
            <w:pPr>
              <w:pStyle w:val="ListParagraph"/>
              <w:spacing w:after="120"/>
              <w:ind w:left="346"/>
              <w:contextualSpacing w:val="0"/>
              <w:rPr>
                <w:bCs/>
                <w:szCs w:val="24"/>
              </w:rPr>
            </w:pPr>
          </w:p>
        </w:tc>
      </w:tr>
    </w:tbl>
    <w:p w:rsidR="004905EC" w:rsidRDefault="004905EC"/>
    <w:p w:rsidR="004905EC" w:rsidRDefault="004905EC"/>
    <w:p w:rsidR="004905EC" w:rsidRDefault="004905EC"/>
    <w:p w:rsidR="004905EC" w:rsidRDefault="004905EC"/>
    <w:p w:rsidR="004905EC" w:rsidRDefault="004905EC"/>
    <w:p w:rsidR="004905EC" w:rsidRDefault="004905EC"/>
    <w:tbl>
      <w:tblPr>
        <w:tblStyle w:val="TableGrid"/>
        <w:tblW w:w="10638" w:type="dxa"/>
        <w:tblInd w:w="-522" w:type="dxa"/>
        <w:tblLook w:val="04A0" w:firstRow="1" w:lastRow="0" w:firstColumn="1" w:lastColumn="0" w:noHBand="0" w:noVBand="1"/>
      </w:tblPr>
      <w:tblGrid>
        <w:gridCol w:w="1188"/>
        <w:gridCol w:w="3690"/>
        <w:gridCol w:w="5760"/>
      </w:tblGrid>
      <w:tr w:rsidR="004905EC" w:rsidRPr="00AA652E" w:rsidTr="004905EC">
        <w:trPr>
          <w:trHeight w:val="125"/>
        </w:trPr>
        <w:tc>
          <w:tcPr>
            <w:tcW w:w="1188" w:type="dxa"/>
            <w:shd w:val="clear" w:color="auto" w:fill="D9D9D9" w:themeFill="background1" w:themeFillShade="D9"/>
          </w:tcPr>
          <w:p w:rsidR="004905EC" w:rsidRPr="00AA652E" w:rsidRDefault="004905EC" w:rsidP="004905EC">
            <w:pPr>
              <w:jc w:val="center"/>
              <w:rPr>
                <w:b/>
                <w:bCs/>
              </w:rPr>
            </w:pPr>
            <w:bookmarkStart w:id="20" w:name="_Hlk16170559"/>
            <w:r w:rsidRPr="00AA652E">
              <w:rPr>
                <w:b/>
                <w:bCs/>
              </w:rPr>
              <w:t>Source ID</w:t>
            </w:r>
          </w:p>
        </w:tc>
        <w:tc>
          <w:tcPr>
            <w:tcW w:w="3690" w:type="dxa"/>
            <w:shd w:val="clear" w:color="auto" w:fill="D9D9D9" w:themeFill="background1" w:themeFillShade="D9"/>
            <w:vAlign w:val="center"/>
          </w:tcPr>
          <w:p w:rsidR="004905EC" w:rsidRPr="00AA652E" w:rsidRDefault="004905EC" w:rsidP="004905EC">
            <w:pPr>
              <w:jc w:val="center"/>
              <w:rPr>
                <w:b/>
                <w:bCs/>
              </w:rPr>
            </w:pPr>
            <w:r w:rsidRPr="00AA652E">
              <w:rPr>
                <w:b/>
                <w:bCs/>
              </w:rPr>
              <w:t>Under RACT I</w:t>
            </w:r>
          </w:p>
        </w:tc>
        <w:tc>
          <w:tcPr>
            <w:tcW w:w="5760" w:type="dxa"/>
            <w:shd w:val="clear" w:color="auto" w:fill="D9D9D9" w:themeFill="background1" w:themeFillShade="D9"/>
            <w:vAlign w:val="center"/>
          </w:tcPr>
          <w:p w:rsidR="004905EC" w:rsidRPr="00AA652E" w:rsidRDefault="004905EC" w:rsidP="004905EC">
            <w:pPr>
              <w:jc w:val="center"/>
              <w:rPr>
                <w:b/>
                <w:bCs/>
              </w:rPr>
            </w:pPr>
            <w:r w:rsidRPr="00AA652E">
              <w:rPr>
                <w:b/>
                <w:bCs/>
              </w:rPr>
              <w:t>Under RACT II</w:t>
            </w:r>
          </w:p>
        </w:tc>
      </w:tr>
      <w:bookmarkEnd w:id="20"/>
      <w:tr w:rsidR="00957DE1" w:rsidRPr="00AA652E" w:rsidTr="00ED34F6">
        <w:trPr>
          <w:trHeight w:val="5210"/>
        </w:trPr>
        <w:tc>
          <w:tcPr>
            <w:tcW w:w="1188" w:type="dxa"/>
          </w:tcPr>
          <w:p w:rsidR="00957DE1" w:rsidRPr="00AA652E" w:rsidRDefault="00957DE1" w:rsidP="00651A4B">
            <w:pPr>
              <w:jc w:val="center"/>
              <w:rPr>
                <w:b/>
                <w:bCs/>
              </w:rPr>
            </w:pPr>
            <w:r w:rsidRPr="00AA652E">
              <w:rPr>
                <w:b/>
                <w:bCs/>
              </w:rPr>
              <w:t>270</w:t>
            </w:r>
          </w:p>
        </w:tc>
        <w:tc>
          <w:tcPr>
            <w:tcW w:w="3690" w:type="dxa"/>
          </w:tcPr>
          <w:p w:rsidR="00F10F0F" w:rsidRPr="00AA652E" w:rsidRDefault="00957DE1" w:rsidP="00F10F0F">
            <w:pPr>
              <w:pStyle w:val="ListParagraph"/>
              <w:numPr>
                <w:ilvl w:val="0"/>
                <w:numId w:val="17"/>
              </w:numPr>
              <w:ind w:left="346" w:right="58"/>
              <w:contextualSpacing w:val="0"/>
              <w:rPr>
                <w:bCs/>
                <w:szCs w:val="24"/>
              </w:rPr>
            </w:pPr>
            <w:r w:rsidRPr="00AA652E">
              <w:rPr>
                <w:bCs/>
                <w:szCs w:val="24"/>
              </w:rPr>
              <w:t>A case-by-case analysis was performed for VOC, and it was determined that there were no technically and economically feasible controls for this source.  No emission limits were incorporated into the RACT Operating Permit.</w:t>
            </w:r>
            <w:r w:rsidRPr="00AA652E">
              <w:rPr>
                <w:bCs/>
                <w:szCs w:val="24"/>
              </w:rPr>
              <w:br/>
            </w:r>
          </w:p>
          <w:p w:rsidR="00957DE1" w:rsidRPr="00AA652E" w:rsidRDefault="00957DE1" w:rsidP="001F5579">
            <w:pPr>
              <w:pStyle w:val="ListParagraph"/>
              <w:ind w:left="346" w:right="58"/>
              <w:contextualSpacing w:val="0"/>
              <w:rPr>
                <w:bCs/>
                <w:szCs w:val="24"/>
              </w:rPr>
            </w:pPr>
            <w:r w:rsidRPr="00AA652E">
              <w:rPr>
                <w:bCs/>
                <w:szCs w:val="24"/>
              </w:rPr>
              <w:br/>
            </w:r>
            <w:r w:rsidRPr="00AA652E">
              <w:rPr>
                <w:bCs/>
                <w:szCs w:val="24"/>
              </w:rPr>
              <w:br/>
            </w:r>
          </w:p>
          <w:p w:rsidR="00957DE1" w:rsidRPr="00AA652E" w:rsidRDefault="004905EC" w:rsidP="00957DE1">
            <w:pPr>
              <w:pStyle w:val="ListParagraph"/>
              <w:numPr>
                <w:ilvl w:val="0"/>
                <w:numId w:val="17"/>
              </w:numPr>
              <w:spacing w:after="120"/>
              <w:ind w:left="342" w:right="58"/>
              <w:contextualSpacing w:val="0"/>
              <w:rPr>
                <w:bCs/>
                <w:szCs w:val="24"/>
              </w:rPr>
            </w:pPr>
            <w:r w:rsidRPr="004905EC">
              <w:rPr>
                <w:bCs/>
              </w:rPr>
              <w:t>Per case-by-case RACT I, this source was subject to operating per the manufacturer’s specifications and good operating practices, but this requirement was omitted from the source under the TVOP.</w:t>
            </w:r>
          </w:p>
        </w:tc>
        <w:tc>
          <w:tcPr>
            <w:tcW w:w="5760" w:type="dxa"/>
          </w:tcPr>
          <w:p w:rsidR="00957DE1" w:rsidRPr="00AA652E" w:rsidRDefault="00957DE1" w:rsidP="00767A96">
            <w:pPr>
              <w:pStyle w:val="ListParagraph"/>
              <w:numPr>
                <w:ilvl w:val="0"/>
                <w:numId w:val="17"/>
              </w:numPr>
              <w:spacing w:after="120"/>
              <w:ind w:left="346"/>
              <w:contextualSpacing w:val="0"/>
              <w:rPr>
                <w:bCs/>
                <w:sz w:val="23"/>
                <w:szCs w:val="23"/>
              </w:rPr>
            </w:pPr>
            <w:r w:rsidRPr="00AA652E">
              <w:rPr>
                <w:bCs/>
                <w:sz w:val="23"/>
                <w:szCs w:val="23"/>
              </w:rPr>
              <w:t xml:space="preserve">A case-by-case analysis was performed, and it was determined that there were no technically and economically feasible controls for this source.  </w:t>
            </w:r>
            <w:r w:rsidR="00B4678D" w:rsidRPr="00AA652E">
              <w:rPr>
                <w:bCs/>
                <w:sz w:val="23"/>
                <w:szCs w:val="23"/>
              </w:rPr>
              <w:t xml:space="preserve">Based on stack testing performed in 1998, an emission factor of 0.011 </w:t>
            </w:r>
            <w:proofErr w:type="spellStart"/>
            <w:r w:rsidR="00B4678D" w:rsidRPr="00AA652E">
              <w:rPr>
                <w:bCs/>
                <w:sz w:val="23"/>
                <w:szCs w:val="23"/>
              </w:rPr>
              <w:t>lb</w:t>
            </w:r>
            <w:proofErr w:type="spellEnd"/>
            <w:r w:rsidR="00B4678D" w:rsidRPr="00AA652E">
              <w:rPr>
                <w:bCs/>
                <w:sz w:val="23"/>
                <w:szCs w:val="23"/>
              </w:rPr>
              <w:t>/ton of steel processed was developed.  Using the throughput of 93.6 tons per hour and a safety factor of 100%, a limit of 9.02 tons per 12-month rolling period has been established for this source.  A</w:t>
            </w:r>
            <w:r w:rsidR="00F83049" w:rsidRPr="00AA652E">
              <w:rPr>
                <w:bCs/>
                <w:sz w:val="23"/>
                <w:szCs w:val="23"/>
              </w:rPr>
              <w:t xml:space="preserve">rcelorMittal Plate </w:t>
            </w:r>
            <w:r w:rsidR="004905EC">
              <w:rPr>
                <w:bCs/>
                <w:sz w:val="23"/>
                <w:szCs w:val="23"/>
              </w:rPr>
              <w:t>will</w:t>
            </w:r>
            <w:r w:rsidR="00712E27" w:rsidRPr="00AA652E">
              <w:rPr>
                <w:bCs/>
                <w:sz w:val="23"/>
                <w:szCs w:val="23"/>
              </w:rPr>
              <w:t xml:space="preserve"> demonstrate compliance with </w:t>
            </w:r>
            <w:r w:rsidR="0036798E" w:rsidRPr="00AA652E">
              <w:rPr>
                <w:bCs/>
                <w:sz w:val="23"/>
                <w:szCs w:val="23"/>
              </w:rPr>
              <w:t xml:space="preserve">this limit by tracking </w:t>
            </w:r>
            <w:r w:rsidR="004905EC">
              <w:rPr>
                <w:bCs/>
                <w:sz w:val="23"/>
                <w:szCs w:val="23"/>
              </w:rPr>
              <w:t>the steel throughput on a monthly basis and complying with a 12-month steel throughput restriction of 820,000 tons.</w:t>
            </w:r>
          </w:p>
          <w:p w:rsidR="00957DE1" w:rsidRPr="00AA652E" w:rsidRDefault="007D35EE" w:rsidP="00957DE1">
            <w:pPr>
              <w:pStyle w:val="ListParagraph"/>
              <w:numPr>
                <w:ilvl w:val="0"/>
                <w:numId w:val="17"/>
              </w:numPr>
              <w:spacing w:after="120"/>
              <w:ind w:left="336"/>
              <w:contextualSpacing w:val="0"/>
              <w:rPr>
                <w:bCs/>
                <w:sz w:val="23"/>
                <w:szCs w:val="23"/>
              </w:rPr>
            </w:pPr>
            <w:r w:rsidRPr="00AA652E">
              <w:rPr>
                <w:bCs/>
                <w:sz w:val="23"/>
                <w:szCs w:val="23"/>
              </w:rPr>
              <w:t>A requirement to operate the source in accordance with manufacturer’s specifications (if available) and good operating practices has been placed in the TVOP</w:t>
            </w:r>
            <w:r w:rsidR="00957DE1" w:rsidRPr="00AA652E">
              <w:rPr>
                <w:bCs/>
              </w:rPr>
              <w:t>.</w:t>
            </w:r>
          </w:p>
        </w:tc>
      </w:tr>
      <w:tr w:rsidR="00376ABD" w:rsidRPr="00AA652E" w:rsidTr="00ED34F6">
        <w:tc>
          <w:tcPr>
            <w:tcW w:w="1188" w:type="dxa"/>
            <w:shd w:val="clear" w:color="auto" w:fill="auto"/>
          </w:tcPr>
          <w:p w:rsidR="00376ABD" w:rsidRPr="00AA652E" w:rsidRDefault="003553B5" w:rsidP="00376ABD">
            <w:pPr>
              <w:jc w:val="center"/>
              <w:rPr>
                <w:b/>
                <w:bCs/>
              </w:rPr>
            </w:pPr>
            <w:r w:rsidRPr="00AA652E">
              <w:rPr>
                <w:b/>
                <w:bCs/>
              </w:rPr>
              <w:t>768</w:t>
            </w:r>
          </w:p>
        </w:tc>
        <w:tc>
          <w:tcPr>
            <w:tcW w:w="3690" w:type="dxa"/>
            <w:shd w:val="clear" w:color="auto" w:fill="auto"/>
          </w:tcPr>
          <w:p w:rsidR="00376ABD" w:rsidRPr="00AA652E" w:rsidRDefault="0086080F" w:rsidP="005332CE">
            <w:pPr>
              <w:pStyle w:val="ListParagraph"/>
              <w:numPr>
                <w:ilvl w:val="0"/>
                <w:numId w:val="17"/>
              </w:numPr>
              <w:spacing w:after="120"/>
              <w:ind w:left="346"/>
              <w:contextualSpacing w:val="0"/>
              <w:rPr>
                <w:bCs/>
              </w:rPr>
            </w:pPr>
            <w:r w:rsidRPr="00AA652E">
              <w:rPr>
                <w:bCs/>
              </w:rPr>
              <w:t xml:space="preserve">This source was subject to </w:t>
            </w:r>
            <w:r w:rsidR="00B27C8F">
              <w:rPr>
                <w:bCs/>
              </w:rPr>
              <w:t xml:space="preserve">presumptive RACT, operating with a restriction of </w:t>
            </w:r>
            <w:r w:rsidRPr="00AA652E">
              <w:rPr>
                <w:bCs/>
              </w:rPr>
              <w:t>500 hour per year under OP-15-0010.</w:t>
            </w:r>
          </w:p>
          <w:p w:rsidR="00284146" w:rsidRPr="00AA652E" w:rsidRDefault="006F27B0" w:rsidP="00376ABD">
            <w:pPr>
              <w:pStyle w:val="ListParagraph"/>
              <w:numPr>
                <w:ilvl w:val="0"/>
                <w:numId w:val="17"/>
              </w:numPr>
              <w:ind w:left="346"/>
              <w:rPr>
                <w:bCs/>
              </w:rPr>
            </w:pPr>
            <w:r w:rsidRPr="006F27B0">
              <w:rPr>
                <w:bCs/>
              </w:rPr>
              <w:t>This source was subject to presumptive RACT, operating per the manufacturer’s specifications and good operating practices, but this requirement was omitted from the TVOP.</w:t>
            </w:r>
          </w:p>
        </w:tc>
        <w:tc>
          <w:tcPr>
            <w:tcW w:w="5760" w:type="dxa"/>
            <w:shd w:val="clear" w:color="auto" w:fill="auto"/>
          </w:tcPr>
          <w:p w:rsidR="0086080F" w:rsidRPr="00AA652E" w:rsidRDefault="0086080F" w:rsidP="003553B5">
            <w:pPr>
              <w:pStyle w:val="ListParagraph"/>
              <w:numPr>
                <w:ilvl w:val="0"/>
                <w:numId w:val="17"/>
              </w:numPr>
              <w:spacing w:after="120"/>
              <w:ind w:left="346"/>
              <w:contextualSpacing w:val="0"/>
              <w:rPr>
                <w:bCs/>
                <w:szCs w:val="24"/>
              </w:rPr>
            </w:pPr>
            <w:r w:rsidRPr="00AA652E">
              <w:rPr>
                <w:bCs/>
                <w:szCs w:val="24"/>
              </w:rPr>
              <w:t>This source continues to be subject to a 500 hour per year limit, in accordance with presumptive RACT.</w:t>
            </w:r>
            <w:r w:rsidR="006F27B0">
              <w:rPr>
                <w:bCs/>
                <w:szCs w:val="24"/>
              </w:rPr>
              <w:br/>
            </w:r>
            <w:r w:rsidR="00284146" w:rsidRPr="00AA652E">
              <w:rPr>
                <w:bCs/>
                <w:szCs w:val="24"/>
              </w:rPr>
              <w:br/>
            </w:r>
          </w:p>
          <w:p w:rsidR="00284146" w:rsidRPr="00AA652E" w:rsidRDefault="008B4F30" w:rsidP="003553B5">
            <w:pPr>
              <w:pStyle w:val="ListParagraph"/>
              <w:numPr>
                <w:ilvl w:val="0"/>
                <w:numId w:val="17"/>
              </w:numPr>
              <w:spacing w:after="120"/>
              <w:ind w:left="346"/>
              <w:contextualSpacing w:val="0"/>
              <w:rPr>
                <w:bCs/>
                <w:szCs w:val="24"/>
              </w:rPr>
            </w:pPr>
            <w:r w:rsidRPr="00AA652E">
              <w:rPr>
                <w:bCs/>
                <w:sz w:val="23"/>
                <w:szCs w:val="23"/>
              </w:rPr>
              <w:t>Per 40 C.F.R. § 63.6625, the operating permit already contains a</w:t>
            </w:r>
            <w:r w:rsidR="00B25932" w:rsidRPr="00AA652E">
              <w:rPr>
                <w:bCs/>
                <w:sz w:val="23"/>
                <w:szCs w:val="23"/>
              </w:rPr>
              <w:t xml:space="preserve"> requirement to operate the source</w:t>
            </w:r>
            <w:r w:rsidRPr="00AA652E">
              <w:rPr>
                <w:bCs/>
                <w:sz w:val="23"/>
                <w:szCs w:val="23"/>
              </w:rPr>
              <w:t>(s)</w:t>
            </w:r>
            <w:r w:rsidR="00B25932" w:rsidRPr="00AA652E">
              <w:rPr>
                <w:bCs/>
                <w:sz w:val="23"/>
                <w:szCs w:val="23"/>
              </w:rPr>
              <w:t xml:space="preserve"> in accordance with </w:t>
            </w:r>
            <w:r w:rsidR="00B25932" w:rsidRPr="00BA5C98">
              <w:rPr>
                <w:bCs/>
                <w:sz w:val="23"/>
                <w:szCs w:val="23"/>
              </w:rPr>
              <w:t>manufacturer’s specifications and good operating practices</w:t>
            </w:r>
            <w:r w:rsidR="005332CE" w:rsidRPr="00BA5C98">
              <w:rPr>
                <w:bCs/>
              </w:rPr>
              <w:t>.</w:t>
            </w:r>
            <w:r w:rsidRPr="00BA5C98">
              <w:rPr>
                <w:bCs/>
              </w:rPr>
              <w:t xml:space="preserve">  Compliance with this requirement ensures compliance with presumptive RACT.</w:t>
            </w:r>
          </w:p>
        </w:tc>
      </w:tr>
    </w:tbl>
    <w:p w:rsidR="00B27C8F" w:rsidRDefault="00B27C8F"/>
    <w:p w:rsidR="00B27C8F" w:rsidRDefault="00B27C8F"/>
    <w:p w:rsidR="00B27C8F" w:rsidRDefault="00B27C8F"/>
    <w:p w:rsidR="00B27C8F" w:rsidRDefault="00B27C8F"/>
    <w:p w:rsidR="00B27C8F" w:rsidRDefault="00B27C8F"/>
    <w:p w:rsidR="00B27C8F" w:rsidRDefault="00B27C8F"/>
    <w:p w:rsidR="00B27C8F" w:rsidRDefault="00B27C8F"/>
    <w:p w:rsidR="00B27C8F" w:rsidRDefault="00B27C8F"/>
    <w:p w:rsidR="00AB6C8E" w:rsidRDefault="00AB6C8E"/>
    <w:p w:rsidR="00AB6C8E" w:rsidRDefault="00AB6C8E"/>
    <w:p w:rsidR="00AB6C8E" w:rsidRDefault="00AB6C8E"/>
    <w:tbl>
      <w:tblPr>
        <w:tblStyle w:val="TableGrid"/>
        <w:tblW w:w="10638" w:type="dxa"/>
        <w:tblInd w:w="-522" w:type="dxa"/>
        <w:tblLook w:val="04A0" w:firstRow="1" w:lastRow="0" w:firstColumn="1" w:lastColumn="0" w:noHBand="0" w:noVBand="1"/>
      </w:tblPr>
      <w:tblGrid>
        <w:gridCol w:w="1188"/>
        <w:gridCol w:w="3690"/>
        <w:gridCol w:w="5760"/>
      </w:tblGrid>
      <w:tr w:rsidR="00B27C8F" w:rsidRPr="00AA652E" w:rsidTr="00B27C8F">
        <w:trPr>
          <w:trHeight w:val="125"/>
        </w:trPr>
        <w:tc>
          <w:tcPr>
            <w:tcW w:w="1188" w:type="dxa"/>
            <w:shd w:val="clear" w:color="auto" w:fill="D9D9D9" w:themeFill="background1" w:themeFillShade="D9"/>
          </w:tcPr>
          <w:p w:rsidR="00B27C8F" w:rsidRPr="00AA652E" w:rsidRDefault="00B27C8F" w:rsidP="009B13B8">
            <w:pPr>
              <w:jc w:val="center"/>
              <w:rPr>
                <w:b/>
                <w:bCs/>
              </w:rPr>
            </w:pPr>
            <w:r w:rsidRPr="00AA652E">
              <w:rPr>
                <w:b/>
                <w:bCs/>
              </w:rPr>
              <w:t>Source ID</w:t>
            </w:r>
          </w:p>
        </w:tc>
        <w:tc>
          <w:tcPr>
            <w:tcW w:w="3690" w:type="dxa"/>
            <w:shd w:val="clear" w:color="auto" w:fill="D9D9D9" w:themeFill="background1" w:themeFillShade="D9"/>
            <w:vAlign w:val="center"/>
          </w:tcPr>
          <w:p w:rsidR="00B27C8F" w:rsidRPr="00AA652E" w:rsidRDefault="00B27C8F" w:rsidP="009B13B8">
            <w:pPr>
              <w:jc w:val="center"/>
              <w:rPr>
                <w:b/>
                <w:bCs/>
              </w:rPr>
            </w:pPr>
            <w:r w:rsidRPr="00AA652E">
              <w:rPr>
                <w:b/>
                <w:bCs/>
              </w:rPr>
              <w:t>Under RACT I</w:t>
            </w:r>
          </w:p>
        </w:tc>
        <w:tc>
          <w:tcPr>
            <w:tcW w:w="5760" w:type="dxa"/>
            <w:shd w:val="clear" w:color="auto" w:fill="D9D9D9" w:themeFill="background1" w:themeFillShade="D9"/>
            <w:vAlign w:val="center"/>
          </w:tcPr>
          <w:p w:rsidR="00B27C8F" w:rsidRPr="00AA652E" w:rsidRDefault="00B27C8F" w:rsidP="009B13B8">
            <w:pPr>
              <w:jc w:val="center"/>
              <w:rPr>
                <w:b/>
                <w:bCs/>
              </w:rPr>
            </w:pPr>
            <w:r w:rsidRPr="00AA652E">
              <w:rPr>
                <w:b/>
                <w:bCs/>
              </w:rPr>
              <w:t>Under RACT II</w:t>
            </w:r>
          </w:p>
        </w:tc>
      </w:tr>
      <w:tr w:rsidR="0086080F" w:rsidRPr="00AA652E" w:rsidTr="00B27C8F">
        <w:tc>
          <w:tcPr>
            <w:tcW w:w="1188" w:type="dxa"/>
            <w:shd w:val="clear" w:color="auto" w:fill="auto"/>
          </w:tcPr>
          <w:p w:rsidR="0086080F" w:rsidRPr="00AA652E" w:rsidRDefault="005332CE" w:rsidP="00376ABD">
            <w:pPr>
              <w:jc w:val="center"/>
              <w:rPr>
                <w:b/>
                <w:bCs/>
              </w:rPr>
            </w:pPr>
            <w:r w:rsidRPr="00AA652E">
              <w:rPr>
                <w:b/>
                <w:bCs/>
              </w:rPr>
              <w:t>769</w:t>
            </w:r>
          </w:p>
        </w:tc>
        <w:tc>
          <w:tcPr>
            <w:tcW w:w="3690" w:type="dxa"/>
            <w:shd w:val="clear" w:color="auto" w:fill="auto"/>
          </w:tcPr>
          <w:p w:rsidR="0086080F" w:rsidRPr="00AA652E" w:rsidRDefault="007B4D8F" w:rsidP="003553B5">
            <w:pPr>
              <w:pStyle w:val="ListParagraph"/>
              <w:numPr>
                <w:ilvl w:val="0"/>
                <w:numId w:val="17"/>
              </w:numPr>
              <w:spacing w:after="120"/>
              <w:ind w:left="346" w:right="58"/>
              <w:contextualSpacing w:val="0"/>
              <w:rPr>
                <w:bCs/>
                <w:szCs w:val="24"/>
              </w:rPr>
            </w:pPr>
            <w:r w:rsidRPr="00AA652E">
              <w:rPr>
                <w:bCs/>
                <w:szCs w:val="24"/>
              </w:rPr>
              <w:t>This source was not installed until 2009 so it was not evaluated under RACT I.</w:t>
            </w:r>
          </w:p>
        </w:tc>
        <w:tc>
          <w:tcPr>
            <w:tcW w:w="5760" w:type="dxa"/>
            <w:shd w:val="clear" w:color="auto" w:fill="auto"/>
          </w:tcPr>
          <w:p w:rsidR="002059E3" w:rsidRPr="00AA652E" w:rsidRDefault="007B4D8F" w:rsidP="00176BF7">
            <w:pPr>
              <w:pStyle w:val="ListParagraph"/>
              <w:numPr>
                <w:ilvl w:val="0"/>
                <w:numId w:val="17"/>
              </w:numPr>
              <w:spacing w:after="120"/>
              <w:ind w:left="346"/>
              <w:contextualSpacing w:val="0"/>
              <w:rPr>
                <w:bCs/>
                <w:szCs w:val="24"/>
              </w:rPr>
            </w:pPr>
            <w:r w:rsidRPr="00AA652E">
              <w:rPr>
                <w:bCs/>
                <w:szCs w:val="24"/>
              </w:rPr>
              <w:t>This source is subject to presumptive RACT of 500 hours per year</w:t>
            </w:r>
            <w:r w:rsidR="00176BF7" w:rsidRPr="00AA652E">
              <w:rPr>
                <w:bCs/>
                <w:szCs w:val="24"/>
              </w:rPr>
              <w:t xml:space="preserve">, and </w:t>
            </w:r>
            <w:r w:rsidR="00176BF7" w:rsidRPr="00AA652E">
              <w:rPr>
                <w:bCs/>
              </w:rPr>
              <w:t>operating</w:t>
            </w:r>
            <w:r w:rsidR="002059E3" w:rsidRPr="00AA652E">
              <w:rPr>
                <w:bCs/>
              </w:rPr>
              <w:t xml:space="preserve"> the source per the </w:t>
            </w:r>
            <w:r w:rsidR="002059E3" w:rsidRPr="00BA5C98">
              <w:rPr>
                <w:bCs/>
              </w:rPr>
              <w:t>manufacturer’s specifications and good operating practices</w:t>
            </w:r>
            <w:r w:rsidR="00BC70F0" w:rsidRPr="00BA5C98">
              <w:rPr>
                <w:bCs/>
              </w:rPr>
              <w:t xml:space="preserve">. </w:t>
            </w:r>
            <w:r w:rsidR="00BF4F8C" w:rsidRPr="00BA5C98">
              <w:rPr>
                <w:bCs/>
              </w:rPr>
              <w:t xml:space="preserve"> </w:t>
            </w:r>
            <w:r w:rsidR="002649EF" w:rsidRPr="00BA5C98">
              <w:rPr>
                <w:bCs/>
              </w:rPr>
              <w:t xml:space="preserve">Per 40 C.F.R. § 60.4243, the operating permit already contains a requirement to operate </w:t>
            </w:r>
            <w:r w:rsidR="00683CAE" w:rsidRPr="00BA5C98">
              <w:rPr>
                <w:bCs/>
                <w:sz w:val="23"/>
                <w:szCs w:val="23"/>
              </w:rPr>
              <w:t>the source</w:t>
            </w:r>
            <w:r w:rsidR="002649EF" w:rsidRPr="00BA5C98">
              <w:rPr>
                <w:bCs/>
                <w:sz w:val="23"/>
                <w:szCs w:val="23"/>
              </w:rPr>
              <w:t>(s)</w:t>
            </w:r>
            <w:r w:rsidR="00683CAE" w:rsidRPr="00BA5C98">
              <w:rPr>
                <w:bCs/>
                <w:sz w:val="23"/>
                <w:szCs w:val="23"/>
              </w:rPr>
              <w:t xml:space="preserve"> in accordance with manufacturer’s specifications and good operating practices</w:t>
            </w:r>
            <w:r w:rsidR="002649EF" w:rsidRPr="00BA5C98">
              <w:rPr>
                <w:bCs/>
                <w:sz w:val="23"/>
                <w:szCs w:val="23"/>
              </w:rPr>
              <w:t>.  Compliance with this requirement ensures compliance with presumptive RACT.</w:t>
            </w:r>
          </w:p>
        </w:tc>
      </w:tr>
      <w:tr w:rsidR="00683CAE" w:rsidRPr="00781597" w:rsidTr="00474988">
        <w:trPr>
          <w:trHeight w:val="3734"/>
        </w:trPr>
        <w:tc>
          <w:tcPr>
            <w:tcW w:w="1188" w:type="dxa"/>
            <w:shd w:val="clear" w:color="auto" w:fill="auto"/>
          </w:tcPr>
          <w:p w:rsidR="00683CAE" w:rsidRPr="00AA652E" w:rsidRDefault="00683CAE" w:rsidP="00376ABD">
            <w:pPr>
              <w:jc w:val="center"/>
              <w:rPr>
                <w:b/>
                <w:bCs/>
              </w:rPr>
            </w:pPr>
            <w:r w:rsidRPr="00AA652E">
              <w:rPr>
                <w:b/>
                <w:bCs/>
              </w:rPr>
              <w:t>770</w:t>
            </w:r>
          </w:p>
        </w:tc>
        <w:tc>
          <w:tcPr>
            <w:tcW w:w="3690" w:type="dxa"/>
            <w:shd w:val="clear" w:color="auto" w:fill="auto"/>
          </w:tcPr>
          <w:p w:rsidR="00683CAE" w:rsidRPr="00474988" w:rsidRDefault="00474988" w:rsidP="00474988">
            <w:pPr>
              <w:pStyle w:val="ListParagraph"/>
              <w:numPr>
                <w:ilvl w:val="0"/>
                <w:numId w:val="17"/>
              </w:numPr>
              <w:spacing w:after="120"/>
              <w:ind w:left="416" w:hanging="430"/>
              <w:contextualSpacing w:val="0"/>
              <w:rPr>
                <w:bCs/>
              </w:rPr>
            </w:pPr>
            <w:r w:rsidRPr="00474988">
              <w:rPr>
                <w:bCs/>
              </w:rPr>
              <w:t xml:space="preserve">This source was subject to presumptive RACT, operating with a restriction of 500 hour per year under OP-15-0010, </w:t>
            </w:r>
            <w:r w:rsidR="00683CAE" w:rsidRPr="00474988">
              <w:rPr>
                <w:bCs/>
              </w:rPr>
              <w:t>but erroneously omitted from the TVOP.</w:t>
            </w:r>
          </w:p>
          <w:p w:rsidR="00683CAE" w:rsidRPr="00474988" w:rsidRDefault="00AB6C8E" w:rsidP="00474988">
            <w:pPr>
              <w:pStyle w:val="ListParagraph"/>
              <w:numPr>
                <w:ilvl w:val="0"/>
                <w:numId w:val="24"/>
              </w:numPr>
              <w:ind w:left="416"/>
              <w:rPr>
                <w:bCs/>
              </w:rPr>
            </w:pPr>
            <w:r w:rsidRPr="00474988">
              <w:rPr>
                <w:bCs/>
              </w:rPr>
              <w:t>This source was subject to presumptive RACT, operating per the manufacturer’s specifications and good operating practices, but this requirement was omitted from the TVOP.</w:t>
            </w:r>
          </w:p>
        </w:tc>
        <w:tc>
          <w:tcPr>
            <w:tcW w:w="5760" w:type="dxa"/>
            <w:shd w:val="clear" w:color="auto" w:fill="auto"/>
          </w:tcPr>
          <w:p w:rsidR="00683CAE" w:rsidRPr="00BA5C98" w:rsidRDefault="00474988" w:rsidP="009F4430">
            <w:pPr>
              <w:pStyle w:val="ListParagraph"/>
              <w:numPr>
                <w:ilvl w:val="0"/>
                <w:numId w:val="17"/>
              </w:numPr>
              <w:spacing w:after="120"/>
              <w:ind w:left="346"/>
              <w:contextualSpacing w:val="0"/>
              <w:rPr>
                <w:bCs/>
                <w:szCs w:val="24"/>
              </w:rPr>
            </w:pPr>
            <w:r w:rsidRPr="00BA5C98">
              <w:rPr>
                <w:bCs/>
                <w:szCs w:val="24"/>
              </w:rPr>
              <w:t xml:space="preserve">This source is subject to presumptive RACT of 500 hours per year.  </w:t>
            </w:r>
            <w:r w:rsidR="00683CAE" w:rsidRPr="00BA5C98">
              <w:rPr>
                <w:bCs/>
                <w:szCs w:val="24"/>
              </w:rPr>
              <w:t>Presumptive RACT of 500 hours per year has been placed in the RACT II operating permit.</w:t>
            </w:r>
            <w:r w:rsidR="00683CAE" w:rsidRPr="00BA5C98">
              <w:rPr>
                <w:bCs/>
                <w:szCs w:val="24"/>
              </w:rPr>
              <w:br/>
            </w:r>
            <w:r w:rsidR="00683CAE" w:rsidRPr="00BA5C98">
              <w:rPr>
                <w:bCs/>
                <w:szCs w:val="24"/>
              </w:rPr>
              <w:br/>
            </w:r>
          </w:p>
          <w:p w:rsidR="00683CAE" w:rsidRPr="00BA5C98" w:rsidRDefault="008B2FF6" w:rsidP="009F4430">
            <w:pPr>
              <w:pStyle w:val="ListParagraph"/>
              <w:numPr>
                <w:ilvl w:val="0"/>
                <w:numId w:val="24"/>
              </w:numPr>
              <w:ind w:left="336"/>
              <w:rPr>
                <w:bCs/>
                <w:szCs w:val="24"/>
              </w:rPr>
            </w:pPr>
            <w:r w:rsidRPr="00BA5C98">
              <w:rPr>
                <w:bCs/>
                <w:sz w:val="23"/>
                <w:szCs w:val="23"/>
              </w:rPr>
              <w:t>Per 40 C.F.R. § 63.6625, the operating permit already contains a requirement to operate the source(s) in accordance with manufacturer’s specifications and good operating practices.  Compliance with this requirement ensures compliance with presumptive RACT.</w:t>
            </w:r>
          </w:p>
        </w:tc>
      </w:tr>
    </w:tbl>
    <w:p w:rsidR="000A48E8" w:rsidRDefault="000A48E8" w:rsidP="000A48E8">
      <w:pPr>
        <w:jc w:val="center"/>
        <w:rPr>
          <w:b/>
          <w:sz w:val="28"/>
          <w:szCs w:val="24"/>
        </w:rPr>
      </w:pPr>
    </w:p>
    <w:p w:rsidR="000A48E8" w:rsidRDefault="000A48E8" w:rsidP="000A48E8">
      <w:pPr>
        <w:jc w:val="center"/>
        <w:rPr>
          <w:b/>
          <w:sz w:val="28"/>
          <w:szCs w:val="24"/>
        </w:rPr>
      </w:pPr>
    </w:p>
    <w:p w:rsidR="000A48E8" w:rsidRPr="00235AF6" w:rsidRDefault="000A48E8" w:rsidP="000A48E8">
      <w:pPr>
        <w:jc w:val="center"/>
        <w:rPr>
          <w:b/>
          <w:szCs w:val="24"/>
        </w:rPr>
      </w:pPr>
      <w:r w:rsidRPr="00235AF6">
        <w:rPr>
          <w:b/>
          <w:szCs w:val="24"/>
        </w:rPr>
        <w:t>Table 5</w:t>
      </w:r>
      <w:r w:rsidR="00AB6C8E">
        <w:rPr>
          <w:b/>
          <w:szCs w:val="24"/>
        </w:rPr>
        <w:t>b</w:t>
      </w:r>
    </w:p>
    <w:tbl>
      <w:tblPr>
        <w:tblStyle w:val="TableGrid"/>
        <w:tblW w:w="10278" w:type="dxa"/>
        <w:tblInd w:w="-522" w:type="dxa"/>
        <w:tblLook w:val="04A0" w:firstRow="1" w:lastRow="0" w:firstColumn="1" w:lastColumn="0" w:noHBand="0" w:noVBand="1"/>
      </w:tblPr>
      <w:tblGrid>
        <w:gridCol w:w="1188"/>
        <w:gridCol w:w="9090"/>
      </w:tblGrid>
      <w:tr w:rsidR="000A48E8" w:rsidTr="00474988">
        <w:tc>
          <w:tcPr>
            <w:tcW w:w="1188" w:type="dxa"/>
            <w:shd w:val="clear" w:color="auto" w:fill="D9D9D9" w:themeFill="background1" w:themeFillShade="D9"/>
          </w:tcPr>
          <w:p w:rsidR="000A48E8" w:rsidRDefault="000A48E8" w:rsidP="00224550">
            <w:pPr>
              <w:jc w:val="center"/>
              <w:rPr>
                <w:b/>
                <w:bCs/>
              </w:rPr>
            </w:pPr>
            <w:r>
              <w:rPr>
                <w:b/>
                <w:bCs/>
              </w:rPr>
              <w:t>Source ID</w:t>
            </w:r>
          </w:p>
        </w:tc>
        <w:tc>
          <w:tcPr>
            <w:tcW w:w="9090" w:type="dxa"/>
            <w:shd w:val="clear" w:color="auto" w:fill="D9D9D9" w:themeFill="background1" w:themeFillShade="D9"/>
            <w:vAlign w:val="center"/>
          </w:tcPr>
          <w:p w:rsidR="000A48E8" w:rsidRPr="00BB15AE" w:rsidRDefault="000A48E8" w:rsidP="00A9385F">
            <w:pPr>
              <w:jc w:val="center"/>
              <w:rPr>
                <w:b/>
                <w:bCs/>
                <w:highlight w:val="yellow"/>
              </w:rPr>
            </w:pPr>
            <w:r w:rsidRPr="00654199">
              <w:rPr>
                <w:b/>
                <w:bCs/>
              </w:rPr>
              <w:t xml:space="preserve">Supporting Calculations for </w:t>
            </w:r>
            <w:r w:rsidR="00A9385F" w:rsidRPr="00654199">
              <w:rPr>
                <w:b/>
                <w:bCs/>
              </w:rPr>
              <w:t xml:space="preserve">Source 104 </w:t>
            </w:r>
            <w:r w:rsidRPr="00654199">
              <w:rPr>
                <w:b/>
                <w:bCs/>
              </w:rPr>
              <w:t>Lim</w:t>
            </w:r>
            <w:r w:rsidR="009B7F58">
              <w:rPr>
                <w:b/>
                <w:bCs/>
              </w:rPr>
              <w:t>i</w:t>
            </w:r>
            <w:r w:rsidRPr="00654199">
              <w:rPr>
                <w:b/>
                <w:bCs/>
              </w:rPr>
              <w:t>ts</w:t>
            </w:r>
          </w:p>
        </w:tc>
      </w:tr>
      <w:tr w:rsidR="00E17981" w:rsidTr="00474988">
        <w:tc>
          <w:tcPr>
            <w:tcW w:w="1188" w:type="dxa"/>
            <w:shd w:val="clear" w:color="auto" w:fill="auto"/>
          </w:tcPr>
          <w:p w:rsidR="00E17981" w:rsidRDefault="00224550" w:rsidP="00224550">
            <w:pPr>
              <w:jc w:val="center"/>
              <w:rPr>
                <w:b/>
                <w:bCs/>
              </w:rPr>
            </w:pPr>
            <w:r>
              <w:rPr>
                <w:b/>
                <w:bCs/>
              </w:rPr>
              <w:t>104</w:t>
            </w:r>
          </w:p>
        </w:tc>
        <w:tc>
          <w:tcPr>
            <w:tcW w:w="9090" w:type="dxa"/>
            <w:shd w:val="clear" w:color="auto" w:fill="auto"/>
            <w:vAlign w:val="center"/>
          </w:tcPr>
          <w:p w:rsidR="00070A46" w:rsidRDefault="00A9385F" w:rsidP="00070A46">
            <w:pPr>
              <w:spacing w:after="120"/>
            </w:pPr>
            <w:r w:rsidRPr="00654199">
              <w:t xml:space="preserve">Emission factor for </w:t>
            </w:r>
            <w:r w:rsidR="00070A46" w:rsidRPr="00654199">
              <w:t>VOC</w:t>
            </w:r>
            <w:r w:rsidRPr="00654199">
              <w:t xml:space="preserve"> </w:t>
            </w:r>
            <w:r w:rsidR="00070A46" w:rsidRPr="00654199">
              <w:t>is derived from 2005 stack test</w:t>
            </w:r>
            <w:r w:rsidR="00654199" w:rsidRPr="00654199">
              <w:t>s on Control Devices C003 and C090</w:t>
            </w:r>
            <w:r w:rsidR="00566181">
              <w:t xml:space="preserve">.  The following reflect the </w:t>
            </w:r>
            <w:r w:rsidR="00775717">
              <w:t xml:space="preserve">highest </w:t>
            </w:r>
            <w:r w:rsidR="00566181">
              <w:t>result of 3 test runs:</w:t>
            </w:r>
          </w:p>
          <w:p w:rsidR="00566181" w:rsidRDefault="00775717" w:rsidP="00070A46">
            <w:pPr>
              <w:spacing w:after="120"/>
            </w:pPr>
            <w:r>
              <w:t xml:space="preserve">C003 – 0.075 </w:t>
            </w:r>
            <w:proofErr w:type="spellStart"/>
            <w:r>
              <w:t>lbs</w:t>
            </w:r>
            <w:proofErr w:type="spellEnd"/>
            <w:r>
              <w:t xml:space="preserve">/ton            C090 – 0.349 </w:t>
            </w:r>
            <w:proofErr w:type="spellStart"/>
            <w:r>
              <w:t>lbs</w:t>
            </w:r>
            <w:proofErr w:type="spellEnd"/>
            <w:r>
              <w:t>/ton</w:t>
            </w:r>
          </w:p>
          <w:tbl>
            <w:tblPr>
              <w:tblW w:w="7270" w:type="dxa"/>
              <w:tblInd w:w="228" w:type="dxa"/>
              <w:tblCellMar>
                <w:left w:w="0" w:type="dxa"/>
                <w:right w:w="0" w:type="dxa"/>
              </w:tblCellMar>
              <w:tblLook w:val="04A0" w:firstRow="1" w:lastRow="0" w:firstColumn="1" w:lastColumn="0" w:noHBand="0" w:noVBand="1"/>
            </w:tblPr>
            <w:tblGrid>
              <w:gridCol w:w="965"/>
              <w:gridCol w:w="1900"/>
              <w:gridCol w:w="1227"/>
              <w:gridCol w:w="806"/>
              <w:gridCol w:w="2372"/>
            </w:tblGrid>
            <w:tr w:rsidR="00BB15AE" w:rsidRPr="00654199" w:rsidTr="00775717">
              <w:trPr>
                <w:trHeight w:val="255"/>
              </w:trPr>
              <w:tc>
                <w:tcPr>
                  <w:tcW w:w="965" w:type="dxa"/>
                  <w:noWrap/>
                  <w:tcMar>
                    <w:top w:w="0" w:type="dxa"/>
                    <w:left w:w="108" w:type="dxa"/>
                    <w:bottom w:w="0" w:type="dxa"/>
                    <w:right w:w="108" w:type="dxa"/>
                  </w:tcMar>
                  <w:vAlign w:val="bottom"/>
                  <w:hideMark/>
                </w:tcPr>
                <w:p w:rsidR="00BB15AE" w:rsidRPr="00654199" w:rsidRDefault="00BB15AE" w:rsidP="00BB15AE">
                  <w:pPr>
                    <w:jc w:val="center"/>
                    <w:rPr>
                      <w:bCs/>
                    </w:rPr>
                  </w:pPr>
                  <w:r w:rsidRPr="00654199">
                    <w:rPr>
                      <w:bCs/>
                    </w:rPr>
                    <w:t>VOC =</w:t>
                  </w:r>
                </w:p>
              </w:tc>
              <w:tc>
                <w:tcPr>
                  <w:tcW w:w="1900" w:type="dxa"/>
                  <w:noWrap/>
                  <w:tcMar>
                    <w:top w:w="0" w:type="dxa"/>
                    <w:left w:w="108" w:type="dxa"/>
                    <w:bottom w:w="0" w:type="dxa"/>
                    <w:right w:w="108" w:type="dxa"/>
                  </w:tcMar>
                  <w:vAlign w:val="bottom"/>
                  <w:hideMark/>
                </w:tcPr>
                <w:p w:rsidR="00BB15AE" w:rsidRPr="00654199" w:rsidRDefault="00070A46" w:rsidP="00BB15AE">
                  <w:pPr>
                    <w:jc w:val="center"/>
                    <w:rPr>
                      <w:bCs/>
                    </w:rPr>
                  </w:pPr>
                  <w:r w:rsidRPr="00654199">
                    <w:rPr>
                      <w:bCs/>
                    </w:rPr>
                    <w:t>(</w:t>
                  </w:r>
                  <w:r w:rsidR="0076137B" w:rsidRPr="00654199">
                    <w:rPr>
                      <w:bCs/>
                    </w:rPr>
                    <w:t>0.075 + 0.349)</w:t>
                  </w:r>
                  <w:r w:rsidR="0015158E" w:rsidRPr="00654199">
                    <w:rPr>
                      <w:bCs/>
                    </w:rPr>
                    <w:t xml:space="preserve">  </w:t>
                  </w:r>
                </w:p>
              </w:tc>
              <w:tc>
                <w:tcPr>
                  <w:tcW w:w="1227" w:type="dxa"/>
                  <w:noWrap/>
                  <w:tcMar>
                    <w:top w:w="0" w:type="dxa"/>
                    <w:left w:w="108" w:type="dxa"/>
                    <w:bottom w:w="0" w:type="dxa"/>
                    <w:right w:w="108" w:type="dxa"/>
                  </w:tcMar>
                  <w:vAlign w:val="bottom"/>
                  <w:hideMark/>
                </w:tcPr>
                <w:p w:rsidR="00BB15AE" w:rsidRPr="00654199" w:rsidRDefault="00BB15AE" w:rsidP="00BB15AE">
                  <w:pPr>
                    <w:jc w:val="center"/>
                    <w:rPr>
                      <w:bCs/>
                    </w:rPr>
                  </w:pPr>
                  <w:r w:rsidRPr="00654199">
                    <w:rPr>
                      <w:bCs/>
                    </w:rPr>
                    <w:t>+   50</w:t>
                  </w:r>
                  <w:proofErr w:type="gramStart"/>
                  <w:r w:rsidRPr="00654199">
                    <w:rPr>
                      <w:bCs/>
                    </w:rPr>
                    <w:t>%  =</w:t>
                  </w:r>
                  <w:proofErr w:type="gramEnd"/>
                </w:p>
              </w:tc>
              <w:tc>
                <w:tcPr>
                  <w:tcW w:w="806" w:type="dxa"/>
                  <w:noWrap/>
                  <w:tcMar>
                    <w:top w:w="0" w:type="dxa"/>
                    <w:left w:w="108" w:type="dxa"/>
                    <w:bottom w:w="0" w:type="dxa"/>
                    <w:right w:w="108" w:type="dxa"/>
                  </w:tcMar>
                  <w:vAlign w:val="bottom"/>
                  <w:hideMark/>
                </w:tcPr>
                <w:p w:rsidR="00BB15AE" w:rsidRPr="00654199" w:rsidRDefault="00BB15AE" w:rsidP="00BB15AE">
                  <w:pPr>
                    <w:jc w:val="center"/>
                    <w:rPr>
                      <w:bCs/>
                    </w:rPr>
                  </w:pPr>
                  <w:r w:rsidRPr="00654199">
                    <w:rPr>
                      <w:bCs/>
                    </w:rPr>
                    <w:t>0.636</w:t>
                  </w:r>
                </w:p>
              </w:tc>
              <w:tc>
                <w:tcPr>
                  <w:tcW w:w="2372" w:type="dxa"/>
                  <w:noWrap/>
                  <w:tcMar>
                    <w:top w:w="0" w:type="dxa"/>
                    <w:left w:w="108" w:type="dxa"/>
                    <w:bottom w:w="0" w:type="dxa"/>
                    <w:right w:w="108" w:type="dxa"/>
                  </w:tcMar>
                  <w:vAlign w:val="bottom"/>
                  <w:hideMark/>
                </w:tcPr>
                <w:p w:rsidR="00BB15AE" w:rsidRPr="00654199" w:rsidRDefault="00BB15AE" w:rsidP="00775717">
                  <w:pPr>
                    <w:rPr>
                      <w:bCs/>
                    </w:rPr>
                  </w:pPr>
                  <w:proofErr w:type="spellStart"/>
                  <w:r w:rsidRPr="00654199">
                    <w:rPr>
                      <w:bCs/>
                    </w:rPr>
                    <w:t>lbs</w:t>
                  </w:r>
                  <w:proofErr w:type="spellEnd"/>
                  <w:r w:rsidRPr="00654199">
                    <w:rPr>
                      <w:bCs/>
                    </w:rPr>
                    <w:t>/ton of steel</w:t>
                  </w:r>
                </w:p>
              </w:tc>
            </w:tr>
          </w:tbl>
          <w:p w:rsidR="00BB15AE" w:rsidRPr="00654199" w:rsidRDefault="00BB15AE" w:rsidP="00BB15AE">
            <w:pPr>
              <w:jc w:val="center"/>
              <w:rPr>
                <w:bCs/>
              </w:rPr>
            </w:pPr>
          </w:p>
          <w:p w:rsidR="00654199" w:rsidRDefault="00654199" w:rsidP="00654199">
            <w:pPr>
              <w:spacing w:after="120"/>
              <w:rPr>
                <w:bCs/>
              </w:rPr>
            </w:pPr>
            <w:r w:rsidRPr="00654199">
              <w:rPr>
                <w:bCs/>
              </w:rPr>
              <w:t>Emission factor for NOx is derived from 20</w:t>
            </w:r>
            <w:r w:rsidR="007F2C4B">
              <w:rPr>
                <w:bCs/>
              </w:rPr>
              <w:t>1</w:t>
            </w:r>
            <w:r w:rsidRPr="00654199">
              <w:rPr>
                <w:bCs/>
              </w:rPr>
              <w:t>1 stack tests on Control Devices C003 and C090</w:t>
            </w:r>
            <w:r w:rsidR="00775717">
              <w:rPr>
                <w:bCs/>
              </w:rPr>
              <w:t>.  The following reflect the highest result of 3 test runs:</w:t>
            </w:r>
          </w:p>
          <w:p w:rsidR="00775717" w:rsidRPr="00775717" w:rsidRDefault="00775717" w:rsidP="00654199">
            <w:pPr>
              <w:spacing w:after="120"/>
              <w:rPr>
                <w:bCs/>
              </w:rPr>
            </w:pPr>
            <w:r w:rsidRPr="00775717">
              <w:rPr>
                <w:bCs/>
              </w:rPr>
              <w:t>C003 – 0.</w:t>
            </w:r>
            <w:r w:rsidR="00D41BF0">
              <w:rPr>
                <w:bCs/>
              </w:rPr>
              <w:t>240</w:t>
            </w:r>
            <w:r w:rsidRPr="00775717">
              <w:rPr>
                <w:bCs/>
              </w:rPr>
              <w:t xml:space="preserve"> </w:t>
            </w:r>
            <w:proofErr w:type="spellStart"/>
            <w:r w:rsidRPr="00775717">
              <w:rPr>
                <w:bCs/>
              </w:rPr>
              <w:t>lbs</w:t>
            </w:r>
            <w:proofErr w:type="spellEnd"/>
            <w:r w:rsidRPr="00775717">
              <w:rPr>
                <w:bCs/>
              </w:rPr>
              <w:t>/ton            C090 – 0.</w:t>
            </w:r>
            <w:r w:rsidR="00D41BF0">
              <w:rPr>
                <w:bCs/>
              </w:rPr>
              <w:t>053</w:t>
            </w:r>
            <w:r w:rsidRPr="00775717">
              <w:rPr>
                <w:bCs/>
              </w:rPr>
              <w:t xml:space="preserve"> </w:t>
            </w:r>
            <w:proofErr w:type="spellStart"/>
            <w:r w:rsidRPr="00775717">
              <w:rPr>
                <w:bCs/>
              </w:rPr>
              <w:t>lbs</w:t>
            </w:r>
            <w:proofErr w:type="spellEnd"/>
            <w:r w:rsidRPr="00775717">
              <w:rPr>
                <w:bCs/>
              </w:rPr>
              <w:t>/ton</w:t>
            </w:r>
          </w:p>
          <w:tbl>
            <w:tblPr>
              <w:tblW w:w="7270" w:type="dxa"/>
              <w:tblInd w:w="228" w:type="dxa"/>
              <w:tblCellMar>
                <w:left w:w="0" w:type="dxa"/>
                <w:right w:w="0" w:type="dxa"/>
              </w:tblCellMar>
              <w:tblLook w:val="04A0" w:firstRow="1" w:lastRow="0" w:firstColumn="1" w:lastColumn="0" w:noHBand="0" w:noVBand="1"/>
            </w:tblPr>
            <w:tblGrid>
              <w:gridCol w:w="965"/>
              <w:gridCol w:w="1900"/>
              <w:gridCol w:w="1227"/>
              <w:gridCol w:w="806"/>
              <w:gridCol w:w="2372"/>
            </w:tblGrid>
            <w:tr w:rsidR="00654199" w:rsidRPr="00654199" w:rsidTr="00D41BF0">
              <w:trPr>
                <w:trHeight w:val="255"/>
              </w:trPr>
              <w:tc>
                <w:tcPr>
                  <w:tcW w:w="965" w:type="dxa"/>
                  <w:noWrap/>
                  <w:tcMar>
                    <w:top w:w="0" w:type="dxa"/>
                    <w:left w:w="108" w:type="dxa"/>
                    <w:bottom w:w="0" w:type="dxa"/>
                    <w:right w:w="108" w:type="dxa"/>
                  </w:tcMar>
                  <w:vAlign w:val="bottom"/>
                  <w:hideMark/>
                </w:tcPr>
                <w:p w:rsidR="00654199" w:rsidRPr="00654199" w:rsidRDefault="00654199" w:rsidP="00654199">
                  <w:pPr>
                    <w:spacing w:after="120"/>
                    <w:jc w:val="center"/>
                    <w:rPr>
                      <w:bCs/>
                    </w:rPr>
                  </w:pPr>
                  <w:r w:rsidRPr="00654199">
                    <w:rPr>
                      <w:bCs/>
                    </w:rPr>
                    <w:t>NOx =</w:t>
                  </w:r>
                </w:p>
              </w:tc>
              <w:tc>
                <w:tcPr>
                  <w:tcW w:w="1900" w:type="dxa"/>
                  <w:noWrap/>
                  <w:tcMar>
                    <w:top w:w="0" w:type="dxa"/>
                    <w:left w:w="108" w:type="dxa"/>
                    <w:bottom w:w="0" w:type="dxa"/>
                    <w:right w:w="108" w:type="dxa"/>
                  </w:tcMar>
                  <w:vAlign w:val="bottom"/>
                  <w:hideMark/>
                </w:tcPr>
                <w:p w:rsidR="00654199" w:rsidRPr="00654199" w:rsidRDefault="007F2C4B" w:rsidP="00654199">
                  <w:pPr>
                    <w:spacing w:after="120"/>
                    <w:jc w:val="center"/>
                    <w:rPr>
                      <w:bCs/>
                    </w:rPr>
                  </w:pPr>
                  <w:r>
                    <w:rPr>
                      <w:bCs/>
                    </w:rPr>
                    <w:t xml:space="preserve">(0.240 + </w:t>
                  </w:r>
                  <w:r w:rsidR="00654199" w:rsidRPr="00654199">
                    <w:rPr>
                      <w:bCs/>
                    </w:rPr>
                    <w:t>0.</w:t>
                  </w:r>
                  <w:r>
                    <w:rPr>
                      <w:bCs/>
                    </w:rPr>
                    <w:t>053)</w:t>
                  </w:r>
                </w:p>
              </w:tc>
              <w:tc>
                <w:tcPr>
                  <w:tcW w:w="1227" w:type="dxa"/>
                  <w:noWrap/>
                  <w:tcMar>
                    <w:top w:w="0" w:type="dxa"/>
                    <w:left w:w="108" w:type="dxa"/>
                    <w:bottom w:w="0" w:type="dxa"/>
                    <w:right w:w="108" w:type="dxa"/>
                  </w:tcMar>
                  <w:vAlign w:val="bottom"/>
                  <w:hideMark/>
                </w:tcPr>
                <w:p w:rsidR="00654199" w:rsidRPr="00654199" w:rsidRDefault="00654199" w:rsidP="00654199">
                  <w:pPr>
                    <w:spacing w:after="120"/>
                    <w:jc w:val="center"/>
                    <w:rPr>
                      <w:bCs/>
                    </w:rPr>
                  </w:pPr>
                  <w:r w:rsidRPr="00654199">
                    <w:rPr>
                      <w:bCs/>
                    </w:rPr>
                    <w:t>+   50</w:t>
                  </w:r>
                  <w:proofErr w:type="gramStart"/>
                  <w:r w:rsidRPr="00654199">
                    <w:rPr>
                      <w:bCs/>
                    </w:rPr>
                    <w:t>%  =</w:t>
                  </w:r>
                  <w:proofErr w:type="gramEnd"/>
                </w:p>
              </w:tc>
              <w:tc>
                <w:tcPr>
                  <w:tcW w:w="806" w:type="dxa"/>
                  <w:noWrap/>
                  <w:tcMar>
                    <w:top w:w="0" w:type="dxa"/>
                    <w:left w:w="108" w:type="dxa"/>
                    <w:bottom w:w="0" w:type="dxa"/>
                    <w:right w:w="108" w:type="dxa"/>
                  </w:tcMar>
                  <w:vAlign w:val="bottom"/>
                  <w:hideMark/>
                </w:tcPr>
                <w:p w:rsidR="00654199" w:rsidRPr="00654199" w:rsidRDefault="00654199" w:rsidP="00654199">
                  <w:pPr>
                    <w:spacing w:after="120"/>
                    <w:jc w:val="center"/>
                    <w:rPr>
                      <w:bCs/>
                    </w:rPr>
                  </w:pPr>
                  <w:r w:rsidRPr="00654199">
                    <w:rPr>
                      <w:bCs/>
                    </w:rPr>
                    <w:t>0.440</w:t>
                  </w:r>
                </w:p>
              </w:tc>
              <w:tc>
                <w:tcPr>
                  <w:tcW w:w="2372" w:type="dxa"/>
                  <w:noWrap/>
                  <w:tcMar>
                    <w:top w:w="0" w:type="dxa"/>
                    <w:left w:w="108" w:type="dxa"/>
                    <w:bottom w:w="0" w:type="dxa"/>
                    <w:right w:w="108" w:type="dxa"/>
                  </w:tcMar>
                  <w:vAlign w:val="bottom"/>
                  <w:hideMark/>
                </w:tcPr>
                <w:p w:rsidR="00654199" w:rsidRPr="00654199" w:rsidRDefault="00654199" w:rsidP="00D41BF0">
                  <w:pPr>
                    <w:spacing w:after="120"/>
                    <w:rPr>
                      <w:bCs/>
                    </w:rPr>
                  </w:pPr>
                  <w:proofErr w:type="spellStart"/>
                  <w:r w:rsidRPr="00654199">
                    <w:rPr>
                      <w:bCs/>
                    </w:rPr>
                    <w:t>lbs</w:t>
                  </w:r>
                  <w:proofErr w:type="spellEnd"/>
                  <w:r w:rsidRPr="00654199">
                    <w:rPr>
                      <w:bCs/>
                    </w:rPr>
                    <w:t>/ton of steel</w:t>
                  </w:r>
                </w:p>
              </w:tc>
            </w:tr>
          </w:tbl>
          <w:p w:rsidR="00E17981" w:rsidRPr="00654199" w:rsidRDefault="00E17981" w:rsidP="00654199">
            <w:pPr>
              <w:rPr>
                <w:b/>
                <w:bCs/>
              </w:rPr>
            </w:pPr>
          </w:p>
        </w:tc>
      </w:tr>
    </w:tbl>
    <w:p w:rsidR="000A48E8" w:rsidRDefault="000A48E8" w:rsidP="00D73679">
      <w:pPr>
        <w:rPr>
          <w:b/>
          <w:bCs/>
          <w:u w:val="single"/>
        </w:rPr>
      </w:pPr>
    </w:p>
    <w:p w:rsidR="000A48E8" w:rsidRDefault="000A48E8" w:rsidP="00D73679">
      <w:pPr>
        <w:rPr>
          <w:b/>
          <w:bCs/>
          <w:u w:val="single"/>
        </w:rPr>
      </w:pPr>
    </w:p>
    <w:p w:rsidR="00567A00" w:rsidRDefault="00567A00" w:rsidP="00D73679">
      <w:pPr>
        <w:rPr>
          <w:b/>
          <w:bCs/>
          <w:u w:val="single"/>
        </w:rPr>
      </w:pPr>
    </w:p>
    <w:p w:rsidR="00567A00" w:rsidRDefault="00567A00" w:rsidP="00D73679">
      <w:pPr>
        <w:rPr>
          <w:b/>
          <w:bCs/>
          <w:u w:val="single"/>
        </w:rPr>
      </w:pPr>
    </w:p>
    <w:p w:rsidR="00474988" w:rsidRDefault="00474988" w:rsidP="00D73679">
      <w:pPr>
        <w:rPr>
          <w:b/>
          <w:bCs/>
          <w:u w:val="single"/>
        </w:rPr>
      </w:pPr>
    </w:p>
    <w:p w:rsidR="00474988" w:rsidRDefault="00474988" w:rsidP="00D73679">
      <w:pPr>
        <w:rPr>
          <w:b/>
          <w:bCs/>
          <w:u w:val="single"/>
        </w:rPr>
      </w:pPr>
    </w:p>
    <w:p w:rsidR="00474988" w:rsidRDefault="00474988" w:rsidP="00D73679">
      <w:pPr>
        <w:rPr>
          <w:b/>
          <w:bCs/>
          <w:u w:val="single"/>
        </w:rPr>
      </w:pPr>
    </w:p>
    <w:p w:rsidR="009B031D" w:rsidRPr="00FC5549" w:rsidRDefault="009B031D" w:rsidP="006D7C90">
      <w:pPr>
        <w:rPr>
          <w:bCs/>
          <w:szCs w:val="24"/>
        </w:rPr>
      </w:pPr>
    </w:p>
    <w:p w:rsidR="006D7C90" w:rsidRPr="00B3732D" w:rsidRDefault="006D7C90" w:rsidP="006D7C90">
      <w:pPr>
        <w:spacing w:after="120"/>
        <w:ind w:right="-3240"/>
        <w:rPr>
          <w:b/>
          <w:szCs w:val="24"/>
          <w:u w:val="single"/>
        </w:rPr>
      </w:pPr>
      <w:r w:rsidRPr="00B3732D">
        <w:rPr>
          <w:b/>
          <w:szCs w:val="24"/>
          <w:u w:val="single"/>
        </w:rPr>
        <w:t>Recommendations</w:t>
      </w:r>
    </w:p>
    <w:p w:rsidR="00A900FF" w:rsidRPr="00BA5C98" w:rsidRDefault="00F502F1" w:rsidP="006D7C90">
      <w:pPr>
        <w:rPr>
          <w:szCs w:val="24"/>
        </w:rPr>
      </w:pPr>
      <w:r w:rsidRPr="00BA5C98">
        <w:t>DEP agrees with the proposed RACT II determination from ArcelorMittal for their case-by-case sources</w:t>
      </w:r>
      <w:r w:rsidR="005B6687" w:rsidRPr="00BA5C98">
        <w:t>, that there are no new control technologies that are both technically feasible and economically feasible</w:t>
      </w:r>
      <w:r w:rsidRPr="00BA5C98">
        <w:t xml:space="preserve">.  </w:t>
      </w:r>
      <w:r w:rsidR="00BA5C98" w:rsidRPr="00BA5C98">
        <w:t xml:space="preserve">Short term limits, long term limits, and throughput limits have been included where appropriate.  </w:t>
      </w:r>
      <w:r w:rsidR="00AD5D8E" w:rsidRPr="00BA5C98">
        <w:rPr>
          <w:szCs w:val="24"/>
        </w:rPr>
        <w:t xml:space="preserve">I recommend that </w:t>
      </w:r>
      <w:r w:rsidR="00B3732D" w:rsidRPr="00BA5C98">
        <w:rPr>
          <w:szCs w:val="24"/>
        </w:rPr>
        <w:t>Title V Operating Permit No. 15-00010 be modified to incorporate RACT II for sources located at 139 Modena Rd, Coatesville, PA in the City of Coatesville, in Chester County.</w:t>
      </w:r>
    </w:p>
    <w:sectPr w:rsidR="00A900FF" w:rsidRPr="00BA5C98" w:rsidSect="00DE2957">
      <w:headerReference w:type="default" r:id="rId20"/>
      <w:footerReference w:type="default" r:id="rId21"/>
      <w:pgSz w:w="12240" w:h="15840" w:code="1"/>
      <w:pgMar w:top="1440" w:right="1584" w:bottom="1440" w:left="158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A" w:rsidRDefault="00D0104A">
      <w:r>
        <w:separator/>
      </w:r>
    </w:p>
  </w:endnote>
  <w:endnote w:type="continuationSeparator" w:id="0">
    <w:p w:rsidR="00D0104A" w:rsidRDefault="00D0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04A" w:rsidRDefault="00D01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1974"/>
      <w:gridCol w:w="2526"/>
      <w:gridCol w:w="3522"/>
    </w:tblGrid>
    <w:tr w:rsidR="00D0104A" w:rsidTr="00A51B0D">
      <w:trPr>
        <w:trHeight w:val="1167"/>
      </w:trPr>
      <w:tc>
        <w:tcPr>
          <w:tcW w:w="1944" w:type="dxa"/>
        </w:tcPr>
        <w:p w:rsidR="00D0104A" w:rsidRDefault="00D0104A" w:rsidP="00A51B0D">
          <w:pPr>
            <w:pStyle w:val="Footer"/>
            <w:tabs>
              <w:tab w:val="clear" w:pos="4320"/>
            </w:tabs>
            <w:rPr>
              <w:sz w:val="20"/>
            </w:rPr>
          </w:pPr>
        </w:p>
      </w:tc>
      <w:tc>
        <w:tcPr>
          <w:tcW w:w="1974" w:type="dxa"/>
        </w:tcPr>
        <w:p w:rsidR="00D0104A" w:rsidRDefault="00D0104A" w:rsidP="00776C33">
          <w:pPr>
            <w:pStyle w:val="Footer"/>
            <w:rPr>
              <w:sz w:val="20"/>
            </w:rPr>
          </w:pPr>
        </w:p>
      </w:tc>
      <w:tc>
        <w:tcPr>
          <w:tcW w:w="2526" w:type="dxa"/>
        </w:tcPr>
        <w:p w:rsidR="00D0104A" w:rsidRDefault="00D0104A" w:rsidP="00776C33">
          <w:pPr>
            <w:pStyle w:val="Footer"/>
            <w:rPr>
              <w:sz w:val="20"/>
            </w:rPr>
          </w:pPr>
        </w:p>
        <w:p w:rsidR="00D0104A" w:rsidRDefault="00D0104A" w:rsidP="00776C33">
          <w:pPr>
            <w:pStyle w:val="Footer"/>
            <w:rPr>
              <w:sz w:val="20"/>
            </w:rPr>
          </w:pPr>
        </w:p>
      </w:tc>
      <w:tc>
        <w:tcPr>
          <w:tcW w:w="3522" w:type="dxa"/>
        </w:tcPr>
        <w:p w:rsidR="00D0104A" w:rsidRDefault="00D0104A" w:rsidP="00751D71">
          <w:pPr>
            <w:pStyle w:val="Footer"/>
            <w:rPr>
              <w:sz w:val="20"/>
            </w:rPr>
          </w:pPr>
        </w:p>
        <w:p w:rsidR="00D0104A" w:rsidRPr="00751D71" w:rsidRDefault="00D0104A" w:rsidP="00751D71">
          <w:pPr>
            <w:pStyle w:val="Footer"/>
            <w:rPr>
              <w:sz w:val="20"/>
            </w:rPr>
          </w:pPr>
          <w:r>
            <w:rPr>
              <w:sz w:val="20"/>
            </w:rPr>
            <w:t>RACT Phase II</w:t>
          </w:r>
          <w:r w:rsidRPr="00751D71">
            <w:rPr>
              <w:sz w:val="20"/>
            </w:rPr>
            <w:t xml:space="preserve"> </w:t>
          </w:r>
        </w:p>
        <w:p w:rsidR="00D0104A" w:rsidRPr="00751D71" w:rsidRDefault="00D0104A" w:rsidP="00751D71">
          <w:pPr>
            <w:pStyle w:val="Footer"/>
            <w:rPr>
              <w:sz w:val="20"/>
            </w:rPr>
          </w:pPr>
          <w:r>
            <w:rPr>
              <w:sz w:val="20"/>
            </w:rPr>
            <w:t>ArcelorMittal Plate, LLC</w:t>
          </w:r>
        </w:p>
        <w:p w:rsidR="00D0104A" w:rsidRPr="00751D71" w:rsidRDefault="00D0104A" w:rsidP="00751D71">
          <w:pPr>
            <w:pStyle w:val="Footer"/>
            <w:rPr>
              <w:sz w:val="20"/>
            </w:rPr>
          </w:pPr>
          <w:r>
            <w:rPr>
              <w:sz w:val="20"/>
            </w:rPr>
            <w:t>TV</w:t>
          </w:r>
          <w:r w:rsidRPr="00751D71">
            <w:rPr>
              <w:sz w:val="20"/>
            </w:rPr>
            <w:t xml:space="preserve">OP No. </w:t>
          </w:r>
          <w:r>
            <w:rPr>
              <w:sz w:val="20"/>
            </w:rPr>
            <w:t>15</w:t>
          </w:r>
          <w:r w:rsidRPr="00751D71">
            <w:rPr>
              <w:sz w:val="20"/>
            </w:rPr>
            <w:t>-00</w:t>
          </w:r>
          <w:r>
            <w:rPr>
              <w:sz w:val="20"/>
            </w:rPr>
            <w:t>010</w:t>
          </w:r>
        </w:p>
        <w:p w:rsidR="00D0104A" w:rsidRPr="00751D71" w:rsidRDefault="00D0104A" w:rsidP="00751D71">
          <w:pPr>
            <w:pStyle w:val="Footer"/>
            <w:rPr>
              <w:sz w:val="20"/>
            </w:rPr>
          </w:pPr>
          <w:r w:rsidRPr="00751D71">
            <w:rPr>
              <w:sz w:val="20"/>
            </w:rPr>
            <w:t xml:space="preserve">APS No. </w:t>
          </w:r>
          <w:r>
            <w:rPr>
              <w:sz w:val="20"/>
            </w:rPr>
            <w:t>560025</w:t>
          </w:r>
          <w:r w:rsidRPr="00751D71">
            <w:rPr>
              <w:sz w:val="20"/>
            </w:rPr>
            <w:t>, AUTH No. 11</w:t>
          </w:r>
          <w:r>
            <w:rPr>
              <w:sz w:val="20"/>
            </w:rPr>
            <w:t>54841</w:t>
          </w:r>
        </w:p>
        <w:p w:rsidR="00D0104A" w:rsidRDefault="00D0104A" w:rsidP="00776C33">
          <w:pPr>
            <w:pStyle w:val="Footer"/>
            <w:rPr>
              <w:sz w:val="20"/>
            </w:rPr>
          </w:pPr>
        </w:p>
      </w:tc>
    </w:tr>
  </w:tbl>
  <w:p w:rsidR="00D0104A" w:rsidRDefault="00D0104A" w:rsidP="00776C33">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04A" w:rsidRPr="00C0591A" w:rsidRDefault="00D0104A" w:rsidP="00C0591A">
    <w:pPr>
      <w:pStyle w:val="Footer"/>
      <w:jc w:val="center"/>
      <w:rPr>
        <w:rFonts w:ascii="Arial" w:hAnsi="Arial" w:cs="Arial"/>
        <w:sz w:val="16"/>
        <w:szCs w:val="16"/>
      </w:rPr>
    </w:pPr>
    <w:r>
      <w:rPr>
        <w:rFonts w:ascii="Arial" w:hAnsi="Arial" w:cs="Arial"/>
        <w:sz w:val="16"/>
        <w:szCs w:val="16"/>
      </w:rPr>
      <w:t>Southeast Regional Office</w:t>
    </w:r>
    <w:r w:rsidRPr="00C0591A">
      <w:rPr>
        <w:rFonts w:ascii="Arial" w:hAnsi="Arial" w:cs="Arial"/>
        <w:sz w:val="16"/>
        <w:szCs w:val="16"/>
      </w:rPr>
      <w:fldChar w:fldCharType="begin"/>
    </w:r>
    <w:r w:rsidRPr="005B7923">
      <w:rPr>
        <w:rFonts w:ascii="Arial" w:hAnsi="Arial" w:cs="Arial"/>
        <w:color w:val="FFFFFF"/>
        <w:sz w:val="16"/>
        <w:szCs w:val="16"/>
      </w:rPr>
      <w:instrText>#</w:instrText>
    </w:r>
    <w:r>
      <w:rPr>
        <w:rFonts w:ascii="Arial" w:hAnsi="Arial" w:cs="Arial"/>
        <w:sz w:val="16"/>
        <w:szCs w:val="16"/>
      </w:rPr>
      <w:instrText>Program N</w:instrText>
    </w:r>
    <w:r w:rsidRPr="00C0591A">
      <w:rPr>
        <w:rFonts w:ascii="Arial" w:hAnsi="Arial" w:cs="Arial"/>
        <w:sz w:val="16"/>
        <w:szCs w:val="16"/>
      </w:rPr>
      <w:instrText xml:space="preserve">ame </w:instrText>
    </w:r>
    <w:r w:rsidRPr="00C0591A">
      <w:rPr>
        <w:rFonts w:ascii="Arial" w:hAnsi="Arial" w:cs="Arial"/>
        <w:sz w:val="16"/>
        <w:szCs w:val="16"/>
      </w:rPr>
      <w:fldChar w:fldCharType="end"/>
    </w:r>
  </w:p>
  <w:p w:rsidR="00D0104A" w:rsidRPr="00C0591A" w:rsidRDefault="00D0104A" w:rsidP="00612B94">
    <w:pPr>
      <w:pStyle w:val="Footer"/>
      <w:jc w:val="center"/>
      <w:rPr>
        <w:rFonts w:ascii="Arial" w:hAnsi="Arial" w:cs="Arial"/>
        <w:sz w:val="16"/>
        <w:szCs w:val="16"/>
      </w:rPr>
    </w:pPr>
    <w:r>
      <w:rPr>
        <w:rFonts w:ascii="Arial" w:hAnsi="Arial" w:cs="Arial"/>
        <w:sz w:val="16"/>
        <w:szCs w:val="16"/>
      </w:rPr>
      <w:t>2 East Main Street</w:t>
    </w:r>
    <w:r w:rsidRPr="00E32DAE">
      <w:rPr>
        <w:rFonts w:ascii="Arial" w:hAnsi="Arial" w:cs="Arial"/>
        <w:sz w:val="16"/>
        <w:szCs w:val="16"/>
      </w:rPr>
      <w:t xml:space="preserve"> | </w:t>
    </w:r>
    <w:r>
      <w:rPr>
        <w:rFonts w:ascii="Arial" w:hAnsi="Arial" w:cs="Arial"/>
        <w:sz w:val="16"/>
        <w:szCs w:val="16"/>
      </w:rPr>
      <w:t>Norristown, PA  19401</w:t>
    </w:r>
    <w:r w:rsidRPr="00E32DAE">
      <w:rPr>
        <w:rFonts w:ascii="Arial" w:hAnsi="Arial" w:cs="Arial"/>
        <w:sz w:val="16"/>
        <w:szCs w:val="16"/>
      </w:rPr>
      <w:t>-</w:t>
    </w:r>
    <w:r>
      <w:rPr>
        <w:rFonts w:ascii="Arial" w:hAnsi="Arial" w:cs="Arial"/>
        <w:sz w:val="16"/>
        <w:szCs w:val="16"/>
      </w:rPr>
      <w:t>4915</w:t>
    </w:r>
    <w:r w:rsidRPr="00E32DAE">
      <w:rPr>
        <w:rFonts w:ascii="Arial" w:hAnsi="Arial" w:cs="Arial"/>
        <w:sz w:val="16"/>
        <w:szCs w:val="16"/>
      </w:rPr>
      <w:t xml:space="preserve"> | </w:t>
    </w:r>
    <w:r>
      <w:rPr>
        <w:rFonts w:ascii="Arial" w:hAnsi="Arial" w:cs="Arial"/>
        <w:sz w:val="16"/>
        <w:szCs w:val="16"/>
      </w:rPr>
      <w:t>484.250.5920</w:t>
    </w:r>
    <w:r w:rsidRPr="00E32DAE">
      <w:rPr>
        <w:rFonts w:ascii="Arial" w:hAnsi="Arial" w:cs="Arial"/>
        <w:sz w:val="16"/>
        <w:szCs w:val="16"/>
      </w:rPr>
      <w:t xml:space="preserve"> | </w:t>
    </w:r>
    <w:r>
      <w:rPr>
        <w:rFonts w:ascii="Arial" w:hAnsi="Arial" w:cs="Arial"/>
        <w:sz w:val="16"/>
        <w:szCs w:val="16"/>
      </w:rPr>
      <w:t xml:space="preserve">Fax 484.250.5921 </w:t>
    </w:r>
    <w:r w:rsidRPr="00E32DAE">
      <w:rPr>
        <w:rFonts w:ascii="Arial" w:hAnsi="Arial" w:cs="Arial"/>
        <w:sz w:val="16"/>
        <w:szCs w:val="16"/>
      </w:rPr>
      <w:t>|</w:t>
    </w:r>
    <w:r>
      <w:rPr>
        <w:rFonts w:ascii="Arial" w:hAnsi="Arial" w:cs="Arial"/>
        <w:sz w:val="16"/>
        <w:szCs w:val="16"/>
      </w:rPr>
      <w:t xml:space="preserve"> </w:t>
    </w:r>
    <w:r w:rsidRPr="00E32DAE">
      <w:rPr>
        <w:rFonts w:ascii="Arial" w:hAnsi="Arial" w:cs="Arial"/>
        <w:sz w:val="16"/>
        <w:szCs w:val="16"/>
      </w:rPr>
      <w:t>www.depweb.state.pa.us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1974"/>
      <w:gridCol w:w="6450"/>
      <w:gridCol w:w="3522"/>
    </w:tblGrid>
    <w:tr w:rsidR="00D0104A" w:rsidTr="00A235FE">
      <w:trPr>
        <w:trHeight w:val="1167"/>
      </w:trPr>
      <w:tc>
        <w:tcPr>
          <w:tcW w:w="1944" w:type="dxa"/>
        </w:tcPr>
        <w:p w:rsidR="00D0104A" w:rsidRDefault="00D0104A" w:rsidP="00A51B0D">
          <w:pPr>
            <w:pStyle w:val="Footer"/>
            <w:tabs>
              <w:tab w:val="clear" w:pos="4320"/>
            </w:tabs>
            <w:rPr>
              <w:sz w:val="20"/>
            </w:rPr>
          </w:pPr>
        </w:p>
      </w:tc>
      <w:tc>
        <w:tcPr>
          <w:tcW w:w="1974" w:type="dxa"/>
        </w:tcPr>
        <w:p w:rsidR="00D0104A" w:rsidRDefault="00D0104A" w:rsidP="00776C33">
          <w:pPr>
            <w:pStyle w:val="Footer"/>
            <w:rPr>
              <w:sz w:val="20"/>
            </w:rPr>
          </w:pPr>
        </w:p>
      </w:tc>
      <w:tc>
        <w:tcPr>
          <w:tcW w:w="6450" w:type="dxa"/>
        </w:tcPr>
        <w:p w:rsidR="00D0104A" w:rsidRDefault="00D0104A" w:rsidP="00776C33">
          <w:pPr>
            <w:pStyle w:val="Footer"/>
            <w:rPr>
              <w:sz w:val="20"/>
            </w:rPr>
          </w:pPr>
        </w:p>
        <w:p w:rsidR="00D0104A" w:rsidRDefault="00D0104A" w:rsidP="00776C33">
          <w:pPr>
            <w:pStyle w:val="Footer"/>
            <w:rPr>
              <w:sz w:val="20"/>
            </w:rPr>
          </w:pPr>
        </w:p>
      </w:tc>
      <w:tc>
        <w:tcPr>
          <w:tcW w:w="3522" w:type="dxa"/>
        </w:tcPr>
        <w:p w:rsidR="00D0104A" w:rsidRDefault="00D0104A" w:rsidP="00751D71">
          <w:pPr>
            <w:pStyle w:val="Footer"/>
            <w:rPr>
              <w:sz w:val="20"/>
            </w:rPr>
          </w:pPr>
        </w:p>
        <w:p w:rsidR="00D0104A" w:rsidRPr="00751D71" w:rsidRDefault="00D0104A" w:rsidP="00751D71">
          <w:pPr>
            <w:pStyle w:val="Footer"/>
            <w:rPr>
              <w:sz w:val="20"/>
            </w:rPr>
          </w:pPr>
          <w:r>
            <w:rPr>
              <w:sz w:val="20"/>
            </w:rPr>
            <w:t>RACT Phase II</w:t>
          </w:r>
          <w:r w:rsidRPr="00751D71">
            <w:rPr>
              <w:sz w:val="20"/>
            </w:rPr>
            <w:t xml:space="preserve"> </w:t>
          </w:r>
        </w:p>
        <w:p w:rsidR="00D0104A" w:rsidRPr="00751D71" w:rsidRDefault="00D0104A" w:rsidP="00751D71">
          <w:pPr>
            <w:pStyle w:val="Footer"/>
            <w:rPr>
              <w:sz w:val="20"/>
            </w:rPr>
          </w:pPr>
          <w:r>
            <w:rPr>
              <w:sz w:val="20"/>
            </w:rPr>
            <w:t>ArcelorMittal Plate, LLC</w:t>
          </w:r>
        </w:p>
        <w:p w:rsidR="00D0104A" w:rsidRPr="00751D71" w:rsidRDefault="00D0104A" w:rsidP="00751D71">
          <w:pPr>
            <w:pStyle w:val="Footer"/>
            <w:rPr>
              <w:sz w:val="20"/>
            </w:rPr>
          </w:pPr>
          <w:r>
            <w:rPr>
              <w:sz w:val="20"/>
            </w:rPr>
            <w:t>TV</w:t>
          </w:r>
          <w:r w:rsidRPr="00751D71">
            <w:rPr>
              <w:sz w:val="20"/>
            </w:rPr>
            <w:t xml:space="preserve">OP No. </w:t>
          </w:r>
          <w:r>
            <w:rPr>
              <w:sz w:val="20"/>
            </w:rPr>
            <w:t>15</w:t>
          </w:r>
          <w:r w:rsidRPr="00751D71">
            <w:rPr>
              <w:sz w:val="20"/>
            </w:rPr>
            <w:t>-00</w:t>
          </w:r>
          <w:r>
            <w:rPr>
              <w:sz w:val="20"/>
            </w:rPr>
            <w:t>010</w:t>
          </w:r>
        </w:p>
        <w:p w:rsidR="00D0104A" w:rsidRPr="00751D71" w:rsidRDefault="00D0104A" w:rsidP="00751D71">
          <w:pPr>
            <w:pStyle w:val="Footer"/>
            <w:rPr>
              <w:sz w:val="20"/>
            </w:rPr>
          </w:pPr>
          <w:r w:rsidRPr="00751D71">
            <w:rPr>
              <w:sz w:val="20"/>
            </w:rPr>
            <w:t xml:space="preserve">APS No. </w:t>
          </w:r>
          <w:r>
            <w:rPr>
              <w:sz w:val="20"/>
            </w:rPr>
            <w:t>560025</w:t>
          </w:r>
          <w:r w:rsidRPr="00751D71">
            <w:rPr>
              <w:sz w:val="20"/>
            </w:rPr>
            <w:t>, AUTH No. 11</w:t>
          </w:r>
          <w:r>
            <w:rPr>
              <w:sz w:val="20"/>
            </w:rPr>
            <w:t>54841</w:t>
          </w:r>
        </w:p>
        <w:p w:rsidR="00D0104A" w:rsidRDefault="00D0104A" w:rsidP="00776C33">
          <w:pPr>
            <w:pStyle w:val="Footer"/>
            <w:rPr>
              <w:sz w:val="20"/>
            </w:rPr>
          </w:pPr>
        </w:p>
      </w:tc>
    </w:tr>
  </w:tbl>
  <w:p w:rsidR="00D0104A" w:rsidRDefault="00D0104A" w:rsidP="00776C33">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394"/>
      <w:gridCol w:w="1440"/>
      <w:gridCol w:w="3780"/>
    </w:tblGrid>
    <w:tr w:rsidR="00D0104A" w:rsidTr="003C5421">
      <w:trPr>
        <w:trHeight w:val="1167"/>
      </w:trPr>
      <w:tc>
        <w:tcPr>
          <w:tcW w:w="3294" w:type="dxa"/>
        </w:tcPr>
        <w:p w:rsidR="00D0104A" w:rsidRDefault="00D0104A" w:rsidP="00776C33">
          <w:pPr>
            <w:pStyle w:val="Footer"/>
            <w:rPr>
              <w:sz w:val="20"/>
            </w:rPr>
          </w:pPr>
          <w:bookmarkStart w:id="14" w:name="_Hlk516473650"/>
        </w:p>
      </w:tc>
      <w:tc>
        <w:tcPr>
          <w:tcW w:w="2394" w:type="dxa"/>
        </w:tcPr>
        <w:p w:rsidR="00D0104A" w:rsidRDefault="00D0104A" w:rsidP="00776C33">
          <w:pPr>
            <w:pStyle w:val="Footer"/>
            <w:rPr>
              <w:sz w:val="20"/>
            </w:rPr>
          </w:pPr>
        </w:p>
      </w:tc>
      <w:tc>
        <w:tcPr>
          <w:tcW w:w="1440" w:type="dxa"/>
        </w:tcPr>
        <w:p w:rsidR="00D0104A" w:rsidRDefault="00D0104A" w:rsidP="00776C33">
          <w:pPr>
            <w:pStyle w:val="Footer"/>
            <w:rPr>
              <w:sz w:val="20"/>
            </w:rPr>
          </w:pPr>
        </w:p>
        <w:p w:rsidR="00D0104A" w:rsidRDefault="00D0104A" w:rsidP="00776C33">
          <w:pPr>
            <w:pStyle w:val="Footer"/>
            <w:rPr>
              <w:sz w:val="20"/>
            </w:rPr>
          </w:pPr>
        </w:p>
        <w:p w:rsidR="00D0104A" w:rsidRPr="003C5421" w:rsidRDefault="00D0104A" w:rsidP="003C5421">
          <w:pPr>
            <w:jc w:val="center"/>
          </w:pPr>
        </w:p>
      </w:tc>
      <w:tc>
        <w:tcPr>
          <w:tcW w:w="3780" w:type="dxa"/>
        </w:tcPr>
        <w:p w:rsidR="00D0104A" w:rsidRDefault="00D0104A" w:rsidP="00751D71">
          <w:pPr>
            <w:pStyle w:val="Footer"/>
            <w:rPr>
              <w:sz w:val="20"/>
            </w:rPr>
          </w:pPr>
        </w:p>
        <w:p w:rsidR="00D0104A" w:rsidRPr="00965603" w:rsidRDefault="00D0104A" w:rsidP="00965603">
          <w:pPr>
            <w:pStyle w:val="Footer"/>
            <w:rPr>
              <w:sz w:val="20"/>
            </w:rPr>
          </w:pPr>
          <w:r w:rsidRPr="00965603">
            <w:rPr>
              <w:sz w:val="20"/>
            </w:rPr>
            <w:t xml:space="preserve">RACT Phase II </w:t>
          </w:r>
        </w:p>
        <w:p w:rsidR="00D0104A" w:rsidRPr="00965603" w:rsidRDefault="00D0104A" w:rsidP="00965603">
          <w:pPr>
            <w:pStyle w:val="Footer"/>
            <w:rPr>
              <w:sz w:val="20"/>
            </w:rPr>
          </w:pPr>
          <w:r w:rsidRPr="00965603">
            <w:rPr>
              <w:sz w:val="20"/>
            </w:rPr>
            <w:t>ArcelorMittal Plate, LLC</w:t>
          </w:r>
        </w:p>
        <w:p w:rsidR="00D0104A" w:rsidRPr="00965603" w:rsidRDefault="00D0104A" w:rsidP="00965603">
          <w:pPr>
            <w:pStyle w:val="Footer"/>
            <w:rPr>
              <w:sz w:val="20"/>
            </w:rPr>
          </w:pPr>
          <w:r w:rsidRPr="00965603">
            <w:rPr>
              <w:sz w:val="20"/>
            </w:rPr>
            <w:t>TVOP No. 15-00010</w:t>
          </w:r>
        </w:p>
        <w:p w:rsidR="00D0104A" w:rsidRPr="00751D71" w:rsidRDefault="00D0104A" w:rsidP="00965603">
          <w:pPr>
            <w:pStyle w:val="Footer"/>
            <w:rPr>
              <w:sz w:val="20"/>
            </w:rPr>
          </w:pPr>
          <w:r w:rsidRPr="00965603">
            <w:rPr>
              <w:sz w:val="20"/>
            </w:rPr>
            <w:t>APS No. 560025, AUTH No. 1154841</w:t>
          </w:r>
        </w:p>
        <w:p w:rsidR="00D0104A" w:rsidRDefault="00D0104A" w:rsidP="00776C33">
          <w:pPr>
            <w:pStyle w:val="Footer"/>
            <w:rPr>
              <w:sz w:val="20"/>
            </w:rPr>
          </w:pPr>
        </w:p>
      </w:tc>
    </w:tr>
    <w:bookmarkEnd w:id="14"/>
  </w:tbl>
  <w:p w:rsidR="00D0104A" w:rsidRDefault="00D0104A" w:rsidP="00776C33">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4"/>
      <w:gridCol w:w="3420"/>
      <w:gridCol w:w="3780"/>
    </w:tblGrid>
    <w:tr w:rsidR="00D0104A" w:rsidTr="003C5421">
      <w:trPr>
        <w:trHeight w:val="1167"/>
      </w:trPr>
      <w:tc>
        <w:tcPr>
          <w:tcW w:w="3294" w:type="dxa"/>
        </w:tcPr>
        <w:p w:rsidR="00D0104A" w:rsidRDefault="00D0104A" w:rsidP="00776C33">
          <w:pPr>
            <w:pStyle w:val="Footer"/>
            <w:rPr>
              <w:sz w:val="20"/>
            </w:rPr>
          </w:pPr>
        </w:p>
      </w:tc>
      <w:tc>
        <w:tcPr>
          <w:tcW w:w="2754" w:type="dxa"/>
        </w:tcPr>
        <w:p w:rsidR="00D0104A" w:rsidRDefault="00D0104A" w:rsidP="00776C33">
          <w:pPr>
            <w:pStyle w:val="Footer"/>
            <w:rPr>
              <w:sz w:val="20"/>
            </w:rPr>
          </w:pPr>
        </w:p>
      </w:tc>
      <w:tc>
        <w:tcPr>
          <w:tcW w:w="3420" w:type="dxa"/>
        </w:tcPr>
        <w:p w:rsidR="00D0104A" w:rsidRDefault="00D0104A" w:rsidP="00776C33">
          <w:pPr>
            <w:pStyle w:val="Footer"/>
            <w:rPr>
              <w:sz w:val="20"/>
            </w:rPr>
          </w:pPr>
        </w:p>
        <w:p w:rsidR="00D0104A" w:rsidRDefault="00D0104A" w:rsidP="00776C33">
          <w:pPr>
            <w:pStyle w:val="Footer"/>
            <w:rPr>
              <w:sz w:val="20"/>
            </w:rPr>
          </w:pPr>
        </w:p>
        <w:p w:rsidR="00D0104A" w:rsidRPr="003C5421" w:rsidRDefault="00D0104A" w:rsidP="003C5421">
          <w:pPr>
            <w:jc w:val="center"/>
          </w:pPr>
        </w:p>
      </w:tc>
      <w:tc>
        <w:tcPr>
          <w:tcW w:w="3780" w:type="dxa"/>
        </w:tcPr>
        <w:p w:rsidR="00D0104A" w:rsidRDefault="00D0104A" w:rsidP="00751D71">
          <w:pPr>
            <w:pStyle w:val="Footer"/>
            <w:rPr>
              <w:sz w:val="20"/>
            </w:rPr>
          </w:pPr>
        </w:p>
        <w:p w:rsidR="00D0104A" w:rsidRPr="00965603" w:rsidRDefault="00D0104A" w:rsidP="00965603">
          <w:pPr>
            <w:pStyle w:val="Footer"/>
            <w:rPr>
              <w:sz w:val="20"/>
            </w:rPr>
          </w:pPr>
          <w:r w:rsidRPr="00965603">
            <w:rPr>
              <w:sz w:val="20"/>
            </w:rPr>
            <w:t xml:space="preserve">RACT Phase II </w:t>
          </w:r>
        </w:p>
        <w:p w:rsidR="00D0104A" w:rsidRPr="00965603" w:rsidRDefault="00D0104A" w:rsidP="00965603">
          <w:pPr>
            <w:pStyle w:val="Footer"/>
            <w:rPr>
              <w:sz w:val="20"/>
            </w:rPr>
          </w:pPr>
          <w:r w:rsidRPr="00965603">
            <w:rPr>
              <w:sz w:val="20"/>
            </w:rPr>
            <w:t>ArcelorMittal Plate, LLC</w:t>
          </w:r>
        </w:p>
        <w:p w:rsidR="00D0104A" w:rsidRPr="00965603" w:rsidRDefault="00D0104A" w:rsidP="00965603">
          <w:pPr>
            <w:pStyle w:val="Footer"/>
            <w:rPr>
              <w:sz w:val="20"/>
            </w:rPr>
          </w:pPr>
          <w:r w:rsidRPr="00965603">
            <w:rPr>
              <w:sz w:val="20"/>
            </w:rPr>
            <w:t>TVOP No. 15-00010</w:t>
          </w:r>
        </w:p>
        <w:p w:rsidR="00D0104A" w:rsidRPr="00751D71" w:rsidRDefault="00D0104A" w:rsidP="00965603">
          <w:pPr>
            <w:pStyle w:val="Footer"/>
            <w:rPr>
              <w:sz w:val="20"/>
            </w:rPr>
          </w:pPr>
          <w:r w:rsidRPr="00965603">
            <w:rPr>
              <w:sz w:val="20"/>
            </w:rPr>
            <w:t>APS No. 560025, AUTH No. 1154841</w:t>
          </w:r>
        </w:p>
        <w:p w:rsidR="00D0104A" w:rsidRDefault="00D0104A" w:rsidP="00776C33">
          <w:pPr>
            <w:pStyle w:val="Footer"/>
            <w:rPr>
              <w:sz w:val="20"/>
            </w:rPr>
          </w:pPr>
        </w:p>
      </w:tc>
    </w:tr>
  </w:tbl>
  <w:p w:rsidR="00D0104A" w:rsidRDefault="00D0104A" w:rsidP="00776C33">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034"/>
      <w:gridCol w:w="2880"/>
      <w:gridCol w:w="3780"/>
    </w:tblGrid>
    <w:tr w:rsidR="00D0104A" w:rsidTr="009F5879">
      <w:trPr>
        <w:trHeight w:val="1167"/>
      </w:trPr>
      <w:tc>
        <w:tcPr>
          <w:tcW w:w="2178" w:type="dxa"/>
        </w:tcPr>
        <w:p w:rsidR="00D0104A" w:rsidRDefault="00D0104A" w:rsidP="00776C33">
          <w:pPr>
            <w:pStyle w:val="Footer"/>
            <w:rPr>
              <w:sz w:val="20"/>
            </w:rPr>
          </w:pPr>
        </w:p>
      </w:tc>
      <w:tc>
        <w:tcPr>
          <w:tcW w:w="2034" w:type="dxa"/>
        </w:tcPr>
        <w:p w:rsidR="00D0104A" w:rsidRDefault="00D0104A" w:rsidP="00776C33">
          <w:pPr>
            <w:pStyle w:val="Footer"/>
            <w:rPr>
              <w:sz w:val="20"/>
            </w:rPr>
          </w:pPr>
        </w:p>
      </w:tc>
      <w:tc>
        <w:tcPr>
          <w:tcW w:w="2880" w:type="dxa"/>
        </w:tcPr>
        <w:p w:rsidR="00D0104A" w:rsidRDefault="00D0104A" w:rsidP="00776C33">
          <w:pPr>
            <w:pStyle w:val="Footer"/>
            <w:rPr>
              <w:sz w:val="20"/>
            </w:rPr>
          </w:pPr>
        </w:p>
        <w:p w:rsidR="00D0104A" w:rsidRDefault="00D0104A" w:rsidP="00776C33">
          <w:pPr>
            <w:pStyle w:val="Footer"/>
            <w:rPr>
              <w:sz w:val="20"/>
            </w:rPr>
          </w:pPr>
        </w:p>
      </w:tc>
      <w:tc>
        <w:tcPr>
          <w:tcW w:w="3780" w:type="dxa"/>
        </w:tcPr>
        <w:p w:rsidR="00D0104A" w:rsidRDefault="00D0104A" w:rsidP="00751D71">
          <w:pPr>
            <w:pStyle w:val="Footer"/>
            <w:rPr>
              <w:sz w:val="20"/>
            </w:rPr>
          </w:pPr>
        </w:p>
        <w:p w:rsidR="00D0104A" w:rsidRPr="00965603" w:rsidRDefault="00D0104A" w:rsidP="00965603">
          <w:pPr>
            <w:pStyle w:val="Footer"/>
            <w:rPr>
              <w:sz w:val="20"/>
            </w:rPr>
          </w:pPr>
          <w:r w:rsidRPr="00965603">
            <w:rPr>
              <w:sz w:val="20"/>
            </w:rPr>
            <w:t xml:space="preserve">RACT Phase II </w:t>
          </w:r>
        </w:p>
        <w:p w:rsidR="00D0104A" w:rsidRPr="00965603" w:rsidRDefault="00D0104A" w:rsidP="00965603">
          <w:pPr>
            <w:pStyle w:val="Footer"/>
            <w:rPr>
              <w:sz w:val="20"/>
            </w:rPr>
          </w:pPr>
          <w:r w:rsidRPr="00965603">
            <w:rPr>
              <w:sz w:val="20"/>
            </w:rPr>
            <w:t>ArcelorMittal Plate, LLC</w:t>
          </w:r>
        </w:p>
        <w:p w:rsidR="00D0104A" w:rsidRPr="00965603" w:rsidRDefault="00D0104A" w:rsidP="00965603">
          <w:pPr>
            <w:pStyle w:val="Footer"/>
            <w:rPr>
              <w:sz w:val="20"/>
            </w:rPr>
          </w:pPr>
          <w:r w:rsidRPr="00965603">
            <w:rPr>
              <w:sz w:val="20"/>
            </w:rPr>
            <w:t>TVOP No. 15-00010</w:t>
          </w:r>
        </w:p>
        <w:p w:rsidR="00D0104A" w:rsidRPr="00751D71" w:rsidRDefault="00D0104A" w:rsidP="00965603">
          <w:pPr>
            <w:pStyle w:val="Footer"/>
            <w:rPr>
              <w:sz w:val="20"/>
            </w:rPr>
          </w:pPr>
          <w:r w:rsidRPr="00965603">
            <w:rPr>
              <w:sz w:val="20"/>
            </w:rPr>
            <w:t>APS No. 560025, AUTH No. 1154841</w:t>
          </w:r>
        </w:p>
        <w:p w:rsidR="00D0104A" w:rsidRDefault="00D0104A" w:rsidP="00776C33">
          <w:pPr>
            <w:pStyle w:val="Footer"/>
            <w:rPr>
              <w:sz w:val="20"/>
            </w:rPr>
          </w:pPr>
        </w:p>
      </w:tc>
    </w:tr>
  </w:tbl>
  <w:p w:rsidR="00D0104A" w:rsidRDefault="00D0104A" w:rsidP="00776C3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A" w:rsidRDefault="00D0104A">
      <w:r>
        <w:separator/>
      </w:r>
    </w:p>
  </w:footnote>
  <w:footnote w:type="continuationSeparator" w:id="0">
    <w:p w:rsidR="00D0104A" w:rsidRDefault="00D01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04A" w:rsidRDefault="00D01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761"/>
      <w:gridCol w:w="1542"/>
      <w:gridCol w:w="3822"/>
    </w:tblGrid>
    <w:tr w:rsidR="00D0104A" w:rsidTr="00200CDC">
      <w:tc>
        <w:tcPr>
          <w:tcW w:w="2061" w:type="pct"/>
        </w:tcPr>
        <w:p w:rsidR="00D0104A" w:rsidRDefault="00D0104A" w:rsidP="00DE24A2">
          <w:pPr>
            <w:pStyle w:val="Header"/>
            <w:tabs>
              <w:tab w:val="clear" w:pos="4320"/>
              <w:tab w:val="clear" w:pos="8640"/>
            </w:tabs>
            <w:rPr>
              <w:rFonts w:ascii="Verdana" w:hAnsi="Verdana"/>
              <w:sz w:val="20"/>
            </w:rPr>
          </w:pPr>
        </w:p>
      </w:tc>
      <w:tc>
        <w:tcPr>
          <w:tcW w:w="845" w:type="pct"/>
        </w:tcPr>
        <w:p w:rsidR="00D0104A" w:rsidRPr="0058126E" w:rsidRDefault="00D0104A" w:rsidP="0058126E">
          <w:pPr>
            <w:pStyle w:val="Header"/>
            <w:jc w:val="center"/>
            <w:rPr>
              <w:szCs w:val="24"/>
            </w:rPr>
          </w:pPr>
          <w:r w:rsidRPr="0058126E">
            <w:rPr>
              <w:szCs w:val="24"/>
            </w:rPr>
            <w:t xml:space="preserve">- </w:t>
          </w:r>
          <w:r w:rsidRPr="0058126E">
            <w:rPr>
              <w:szCs w:val="24"/>
            </w:rPr>
            <w:fldChar w:fldCharType="begin"/>
          </w:r>
          <w:r w:rsidRPr="0058126E">
            <w:rPr>
              <w:szCs w:val="24"/>
            </w:rPr>
            <w:instrText xml:space="preserve"> PAGE   \* MERGEFORMAT </w:instrText>
          </w:r>
          <w:r w:rsidRPr="0058126E">
            <w:rPr>
              <w:szCs w:val="24"/>
            </w:rPr>
            <w:fldChar w:fldCharType="separate"/>
          </w:r>
          <w:r>
            <w:rPr>
              <w:noProof/>
              <w:szCs w:val="24"/>
            </w:rPr>
            <w:t>2</w:t>
          </w:r>
          <w:r w:rsidRPr="0058126E">
            <w:rPr>
              <w:noProof/>
              <w:szCs w:val="24"/>
            </w:rPr>
            <w:fldChar w:fldCharType="end"/>
          </w:r>
          <w:r w:rsidRPr="0058126E">
            <w:rPr>
              <w:szCs w:val="24"/>
            </w:rPr>
            <w:t xml:space="preserve"> -</w:t>
          </w:r>
        </w:p>
      </w:tc>
      <w:tc>
        <w:tcPr>
          <w:tcW w:w="2094" w:type="pct"/>
        </w:tcPr>
        <w:p w:rsidR="00D0104A" w:rsidRPr="0011725D" w:rsidRDefault="00D0104A" w:rsidP="009B13B8">
          <w:pPr>
            <w:jc w:val="center"/>
            <w:rPr>
              <w:sz w:val="23"/>
              <w:szCs w:val="24"/>
            </w:rPr>
          </w:pPr>
          <w:r w:rsidRPr="009B13B8">
            <w:rPr>
              <w:sz w:val="23"/>
              <w:szCs w:val="24"/>
            </w:rPr>
            <w:t xml:space="preserve">September </w:t>
          </w:r>
          <w:r>
            <w:rPr>
              <w:sz w:val="23"/>
              <w:szCs w:val="24"/>
            </w:rPr>
            <w:t>19</w:t>
          </w:r>
          <w:r w:rsidRPr="009B13B8">
            <w:rPr>
              <w:sz w:val="23"/>
              <w:szCs w:val="24"/>
            </w:rPr>
            <w:t>, 2019</w:t>
          </w:r>
        </w:p>
        <w:p w:rsidR="00D0104A" w:rsidRPr="0058126E" w:rsidRDefault="00D0104A" w:rsidP="00200CDC">
          <w:pPr>
            <w:pStyle w:val="Header"/>
            <w:tabs>
              <w:tab w:val="clear" w:pos="4320"/>
              <w:tab w:val="clear" w:pos="8640"/>
            </w:tabs>
            <w:jc w:val="right"/>
            <w:rPr>
              <w:szCs w:val="24"/>
            </w:rPr>
          </w:pPr>
        </w:p>
      </w:tc>
    </w:tr>
  </w:tbl>
  <w:p w:rsidR="00D0104A" w:rsidRPr="000D6B7A" w:rsidRDefault="00D0104A" w:rsidP="005764EE">
    <w:pPr>
      <w:pStyle w:val="Header"/>
      <w:rPr>
        <w:rFonts w:ascii="Verdana" w:hAnsi="Verdana"/>
        <w:sz w:val="20"/>
      </w:rPr>
    </w:pPr>
  </w:p>
  <w:p w:rsidR="00D0104A" w:rsidRPr="000D6B7A" w:rsidRDefault="00D0104A" w:rsidP="005764EE">
    <w:pPr>
      <w:pStyle w:val="Header"/>
      <w:rPr>
        <w:rFonts w:ascii="Verdana" w:hAnsi="Verdan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04A" w:rsidRPr="0011725D" w:rsidRDefault="00D0104A" w:rsidP="0011725D">
    <w:pPr>
      <w:jc w:val="center"/>
      <w:rPr>
        <w:b/>
        <w:bCs/>
        <w:szCs w:val="24"/>
      </w:rPr>
    </w:pPr>
    <w:r w:rsidRPr="0011725D">
      <w:rPr>
        <w:b/>
        <w:bCs/>
        <w:szCs w:val="24"/>
      </w:rPr>
      <w:t>COMMONWEALTH OF PENNSYLVANIA</w:t>
    </w:r>
  </w:p>
  <w:p w:rsidR="00D0104A" w:rsidRPr="0011725D" w:rsidRDefault="00D0104A" w:rsidP="0011725D">
    <w:pPr>
      <w:jc w:val="center"/>
      <w:rPr>
        <w:b/>
        <w:bCs/>
        <w:szCs w:val="24"/>
      </w:rPr>
    </w:pPr>
    <w:r w:rsidRPr="0011725D">
      <w:rPr>
        <w:b/>
        <w:bCs/>
        <w:szCs w:val="24"/>
      </w:rPr>
      <w:t>Department of Environmental Protection</w:t>
    </w:r>
  </w:p>
  <w:p w:rsidR="00D0104A" w:rsidRPr="0011725D" w:rsidRDefault="00D0104A" w:rsidP="0011725D">
    <w:pPr>
      <w:jc w:val="center"/>
      <w:rPr>
        <w:b/>
        <w:bCs/>
        <w:szCs w:val="24"/>
      </w:rPr>
    </w:pPr>
    <w:r w:rsidRPr="0011725D">
      <w:rPr>
        <w:b/>
        <w:bCs/>
        <w:szCs w:val="24"/>
      </w:rPr>
      <w:t>Southeast Regional Office</w:t>
    </w:r>
  </w:p>
  <w:p w:rsidR="00D0104A" w:rsidRPr="0011725D" w:rsidRDefault="00D0104A" w:rsidP="0011725D">
    <w:pPr>
      <w:jc w:val="center"/>
      <w:rPr>
        <w:sz w:val="23"/>
        <w:szCs w:val="24"/>
      </w:rPr>
    </w:pPr>
    <w:r w:rsidRPr="009B13B8">
      <w:rPr>
        <w:sz w:val="23"/>
        <w:szCs w:val="24"/>
      </w:rPr>
      <w:t xml:space="preserve">September </w:t>
    </w:r>
    <w:r>
      <w:rPr>
        <w:sz w:val="23"/>
        <w:szCs w:val="24"/>
      </w:rPr>
      <w:t>19</w:t>
    </w:r>
    <w:r w:rsidRPr="009B13B8">
      <w:rPr>
        <w:sz w:val="23"/>
        <w:szCs w:val="24"/>
      </w:rPr>
      <w:t>, 2019</w:t>
    </w:r>
  </w:p>
  <w:p w:rsidR="00D0104A" w:rsidRPr="0011725D" w:rsidRDefault="00D0104A" w:rsidP="0011725D">
    <w:pPr>
      <w:tabs>
        <w:tab w:val="center" w:pos="4320"/>
        <w:tab w:val="right" w:pos="8640"/>
      </w:tabs>
      <w:jc w:val="center"/>
    </w:pPr>
    <w:r w:rsidRPr="0011725D">
      <w:rPr>
        <w:bCs/>
        <w:sz w:val="23"/>
        <w:szCs w:val="24"/>
      </w:rPr>
      <w:t>484.250.5920</w:t>
    </w:r>
  </w:p>
  <w:p w:rsidR="00D0104A" w:rsidRDefault="00D010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333"/>
      <w:gridCol w:w="2187"/>
      <w:gridCol w:w="5419"/>
    </w:tblGrid>
    <w:tr w:rsidR="00D0104A" w:rsidTr="00200CDC">
      <w:tc>
        <w:tcPr>
          <w:tcW w:w="2061" w:type="pct"/>
        </w:tcPr>
        <w:p w:rsidR="00D0104A" w:rsidRDefault="00D0104A" w:rsidP="00DE24A2">
          <w:pPr>
            <w:pStyle w:val="Header"/>
            <w:tabs>
              <w:tab w:val="clear" w:pos="4320"/>
              <w:tab w:val="clear" w:pos="8640"/>
            </w:tabs>
            <w:rPr>
              <w:rFonts w:ascii="Verdana" w:hAnsi="Verdana"/>
              <w:sz w:val="20"/>
            </w:rPr>
          </w:pPr>
        </w:p>
      </w:tc>
      <w:tc>
        <w:tcPr>
          <w:tcW w:w="845" w:type="pct"/>
        </w:tcPr>
        <w:p w:rsidR="00D0104A" w:rsidRPr="0058126E" w:rsidRDefault="00D0104A" w:rsidP="0058126E">
          <w:pPr>
            <w:pStyle w:val="Header"/>
            <w:jc w:val="center"/>
            <w:rPr>
              <w:szCs w:val="24"/>
            </w:rPr>
          </w:pPr>
          <w:r w:rsidRPr="0058126E">
            <w:rPr>
              <w:szCs w:val="24"/>
            </w:rPr>
            <w:t xml:space="preserve">- </w:t>
          </w:r>
          <w:r w:rsidRPr="0058126E">
            <w:rPr>
              <w:szCs w:val="24"/>
            </w:rPr>
            <w:fldChar w:fldCharType="begin"/>
          </w:r>
          <w:r w:rsidRPr="0058126E">
            <w:rPr>
              <w:szCs w:val="24"/>
            </w:rPr>
            <w:instrText xml:space="preserve"> PAGE   \* MERGEFORMAT </w:instrText>
          </w:r>
          <w:r w:rsidRPr="0058126E">
            <w:rPr>
              <w:szCs w:val="24"/>
            </w:rPr>
            <w:fldChar w:fldCharType="separate"/>
          </w:r>
          <w:r>
            <w:rPr>
              <w:noProof/>
              <w:szCs w:val="24"/>
            </w:rPr>
            <w:t>5</w:t>
          </w:r>
          <w:r w:rsidRPr="0058126E">
            <w:rPr>
              <w:noProof/>
              <w:szCs w:val="24"/>
            </w:rPr>
            <w:fldChar w:fldCharType="end"/>
          </w:r>
          <w:r w:rsidRPr="0058126E">
            <w:rPr>
              <w:szCs w:val="24"/>
            </w:rPr>
            <w:t xml:space="preserve"> -</w:t>
          </w:r>
        </w:p>
      </w:tc>
      <w:tc>
        <w:tcPr>
          <w:tcW w:w="2094" w:type="pct"/>
        </w:tcPr>
        <w:p w:rsidR="00D0104A" w:rsidRPr="0058126E" w:rsidRDefault="00D0104A" w:rsidP="00200CDC">
          <w:pPr>
            <w:pStyle w:val="Header"/>
            <w:tabs>
              <w:tab w:val="clear" w:pos="4320"/>
              <w:tab w:val="clear" w:pos="8640"/>
            </w:tabs>
            <w:jc w:val="right"/>
            <w:rPr>
              <w:szCs w:val="24"/>
            </w:rPr>
          </w:pPr>
          <w:r w:rsidRPr="009B13B8">
            <w:rPr>
              <w:szCs w:val="24"/>
            </w:rPr>
            <w:t xml:space="preserve">September </w:t>
          </w:r>
          <w:r>
            <w:rPr>
              <w:szCs w:val="24"/>
            </w:rPr>
            <w:t>19</w:t>
          </w:r>
          <w:r w:rsidRPr="009B13B8">
            <w:rPr>
              <w:szCs w:val="24"/>
            </w:rPr>
            <w:t>, 2019</w:t>
          </w:r>
        </w:p>
      </w:tc>
    </w:tr>
  </w:tbl>
  <w:p w:rsidR="00D0104A" w:rsidRPr="000D6B7A" w:rsidRDefault="00D0104A" w:rsidP="005764EE">
    <w:pPr>
      <w:pStyle w:val="Header"/>
      <w:rPr>
        <w:rFonts w:ascii="Verdana" w:hAnsi="Verdana"/>
        <w:sz w:val="20"/>
      </w:rPr>
    </w:pPr>
  </w:p>
  <w:p w:rsidR="00D0104A" w:rsidRPr="000D6B7A" w:rsidRDefault="00D0104A" w:rsidP="005764EE">
    <w:pPr>
      <w:pStyle w:val="Header"/>
      <w:rPr>
        <w:rFonts w:ascii="Verdana" w:hAnsi="Verdana"/>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298"/>
      <w:gridCol w:w="3299"/>
      <w:gridCol w:w="3299"/>
    </w:tblGrid>
    <w:tr w:rsidR="00D0104A" w:rsidTr="00DE24A2">
      <w:tc>
        <w:tcPr>
          <w:tcW w:w="355" w:type="pct"/>
        </w:tcPr>
        <w:p w:rsidR="00D0104A" w:rsidRDefault="00D0104A" w:rsidP="00DE24A2">
          <w:pPr>
            <w:pStyle w:val="Header"/>
            <w:tabs>
              <w:tab w:val="clear" w:pos="4320"/>
              <w:tab w:val="clear" w:pos="8640"/>
            </w:tabs>
            <w:rPr>
              <w:rFonts w:ascii="Verdana" w:hAnsi="Verdana"/>
              <w:sz w:val="20"/>
            </w:rPr>
          </w:pPr>
        </w:p>
      </w:tc>
      <w:tc>
        <w:tcPr>
          <w:tcW w:w="355" w:type="pct"/>
        </w:tcPr>
        <w:p w:rsidR="00D0104A" w:rsidRPr="0058126E" w:rsidRDefault="00D0104A" w:rsidP="0058126E">
          <w:pPr>
            <w:pStyle w:val="Header"/>
            <w:jc w:val="center"/>
            <w:rPr>
              <w:szCs w:val="24"/>
            </w:rPr>
          </w:pPr>
          <w:r w:rsidRPr="0058126E">
            <w:rPr>
              <w:szCs w:val="24"/>
            </w:rPr>
            <w:t xml:space="preserve">- </w:t>
          </w:r>
          <w:r w:rsidRPr="0058126E">
            <w:rPr>
              <w:szCs w:val="24"/>
            </w:rPr>
            <w:fldChar w:fldCharType="begin"/>
          </w:r>
          <w:r w:rsidRPr="0058126E">
            <w:rPr>
              <w:szCs w:val="24"/>
            </w:rPr>
            <w:instrText xml:space="preserve"> PAGE   \* MERGEFORMAT </w:instrText>
          </w:r>
          <w:r w:rsidRPr="0058126E">
            <w:rPr>
              <w:szCs w:val="24"/>
            </w:rPr>
            <w:fldChar w:fldCharType="separate"/>
          </w:r>
          <w:r>
            <w:rPr>
              <w:noProof/>
              <w:szCs w:val="24"/>
            </w:rPr>
            <w:t>6</w:t>
          </w:r>
          <w:r w:rsidRPr="0058126E">
            <w:rPr>
              <w:noProof/>
              <w:szCs w:val="24"/>
            </w:rPr>
            <w:fldChar w:fldCharType="end"/>
          </w:r>
          <w:r w:rsidRPr="0058126E">
            <w:rPr>
              <w:szCs w:val="24"/>
            </w:rPr>
            <w:t xml:space="preserve"> -</w:t>
          </w:r>
        </w:p>
      </w:tc>
      <w:tc>
        <w:tcPr>
          <w:tcW w:w="355" w:type="pct"/>
        </w:tcPr>
        <w:p w:rsidR="00D0104A" w:rsidRPr="0058126E" w:rsidRDefault="00D0104A" w:rsidP="00DE24A2">
          <w:pPr>
            <w:pStyle w:val="Header"/>
            <w:tabs>
              <w:tab w:val="clear" w:pos="4320"/>
            </w:tabs>
            <w:jc w:val="right"/>
            <w:rPr>
              <w:szCs w:val="24"/>
            </w:rPr>
          </w:pPr>
          <w:r w:rsidRPr="009B13B8">
            <w:rPr>
              <w:szCs w:val="24"/>
            </w:rPr>
            <w:t xml:space="preserve">September </w:t>
          </w:r>
          <w:r>
            <w:rPr>
              <w:szCs w:val="24"/>
            </w:rPr>
            <w:t>19</w:t>
          </w:r>
          <w:r w:rsidRPr="009B13B8">
            <w:rPr>
              <w:szCs w:val="24"/>
            </w:rPr>
            <w:t>, 2019</w:t>
          </w:r>
        </w:p>
      </w:tc>
    </w:tr>
  </w:tbl>
  <w:p w:rsidR="00D0104A" w:rsidRPr="000D6B7A" w:rsidRDefault="00D0104A" w:rsidP="003C5421">
    <w:pPr>
      <w:pStyle w:val="Header"/>
      <w:jc w:val="center"/>
      <w:rPr>
        <w:rFonts w:ascii="Verdana" w:hAnsi="Verdana"/>
        <w:sz w:val="20"/>
      </w:rPr>
    </w:pPr>
  </w:p>
  <w:p w:rsidR="00D0104A" w:rsidRPr="000D6B7A" w:rsidRDefault="00D0104A" w:rsidP="005764EE">
    <w:pPr>
      <w:pStyle w:val="Header"/>
      <w:rPr>
        <w:rFonts w:ascii="Verdana" w:hAnsi="Verdana"/>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396"/>
      <w:gridCol w:w="4397"/>
      <w:gridCol w:w="4397"/>
    </w:tblGrid>
    <w:tr w:rsidR="00D0104A" w:rsidTr="00DE24A2">
      <w:tc>
        <w:tcPr>
          <w:tcW w:w="355" w:type="pct"/>
        </w:tcPr>
        <w:p w:rsidR="00D0104A" w:rsidRDefault="00D0104A" w:rsidP="00DE24A2">
          <w:pPr>
            <w:pStyle w:val="Header"/>
            <w:tabs>
              <w:tab w:val="clear" w:pos="4320"/>
              <w:tab w:val="clear" w:pos="8640"/>
            </w:tabs>
            <w:rPr>
              <w:rFonts w:ascii="Verdana" w:hAnsi="Verdana"/>
              <w:sz w:val="20"/>
            </w:rPr>
          </w:pPr>
        </w:p>
      </w:tc>
      <w:tc>
        <w:tcPr>
          <w:tcW w:w="355" w:type="pct"/>
        </w:tcPr>
        <w:p w:rsidR="00D0104A" w:rsidRPr="0058126E" w:rsidRDefault="00D0104A" w:rsidP="0058126E">
          <w:pPr>
            <w:pStyle w:val="Header"/>
            <w:jc w:val="center"/>
            <w:rPr>
              <w:szCs w:val="24"/>
            </w:rPr>
          </w:pPr>
          <w:r w:rsidRPr="0058126E">
            <w:rPr>
              <w:szCs w:val="24"/>
            </w:rPr>
            <w:t xml:space="preserve">- </w:t>
          </w:r>
          <w:r w:rsidRPr="0058126E">
            <w:rPr>
              <w:szCs w:val="24"/>
            </w:rPr>
            <w:fldChar w:fldCharType="begin"/>
          </w:r>
          <w:r w:rsidRPr="0058126E">
            <w:rPr>
              <w:szCs w:val="24"/>
            </w:rPr>
            <w:instrText xml:space="preserve"> PAGE   \* MERGEFORMAT </w:instrText>
          </w:r>
          <w:r w:rsidRPr="0058126E">
            <w:rPr>
              <w:szCs w:val="24"/>
            </w:rPr>
            <w:fldChar w:fldCharType="separate"/>
          </w:r>
          <w:r>
            <w:rPr>
              <w:noProof/>
              <w:szCs w:val="24"/>
            </w:rPr>
            <w:t>7</w:t>
          </w:r>
          <w:r w:rsidRPr="0058126E">
            <w:rPr>
              <w:noProof/>
              <w:szCs w:val="24"/>
            </w:rPr>
            <w:fldChar w:fldCharType="end"/>
          </w:r>
          <w:r w:rsidRPr="0058126E">
            <w:rPr>
              <w:szCs w:val="24"/>
            </w:rPr>
            <w:t xml:space="preserve"> -</w:t>
          </w:r>
        </w:p>
      </w:tc>
      <w:tc>
        <w:tcPr>
          <w:tcW w:w="355" w:type="pct"/>
        </w:tcPr>
        <w:p w:rsidR="00D0104A" w:rsidRPr="0058126E" w:rsidRDefault="00D0104A" w:rsidP="00DE24A2">
          <w:pPr>
            <w:pStyle w:val="Header"/>
            <w:tabs>
              <w:tab w:val="clear" w:pos="4320"/>
            </w:tabs>
            <w:jc w:val="right"/>
            <w:rPr>
              <w:szCs w:val="24"/>
            </w:rPr>
          </w:pPr>
          <w:r w:rsidRPr="009B13B8">
            <w:rPr>
              <w:szCs w:val="24"/>
            </w:rPr>
            <w:t xml:space="preserve">September </w:t>
          </w:r>
          <w:r>
            <w:rPr>
              <w:szCs w:val="24"/>
            </w:rPr>
            <w:t>19</w:t>
          </w:r>
          <w:r w:rsidRPr="009B13B8">
            <w:rPr>
              <w:szCs w:val="24"/>
            </w:rPr>
            <w:t>, 2019</w:t>
          </w:r>
        </w:p>
      </w:tc>
    </w:tr>
  </w:tbl>
  <w:p w:rsidR="00D0104A" w:rsidRPr="000D6B7A" w:rsidRDefault="00D0104A" w:rsidP="003C5421">
    <w:pPr>
      <w:pStyle w:val="Header"/>
      <w:jc w:val="center"/>
      <w:rPr>
        <w:rFonts w:ascii="Verdana" w:hAnsi="Verdana"/>
        <w:sz w:val="20"/>
      </w:rPr>
    </w:pPr>
  </w:p>
  <w:p w:rsidR="00D0104A" w:rsidRPr="000D6B7A" w:rsidRDefault="00D0104A" w:rsidP="005764EE">
    <w:pPr>
      <w:pStyle w:val="Header"/>
      <w:rPr>
        <w:rFonts w:ascii="Verdana" w:hAnsi="Verdana"/>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100"/>
      <w:gridCol w:w="3101"/>
      <w:gridCol w:w="3101"/>
    </w:tblGrid>
    <w:tr w:rsidR="00D0104A" w:rsidTr="00DE24A2">
      <w:tc>
        <w:tcPr>
          <w:tcW w:w="355" w:type="pct"/>
        </w:tcPr>
        <w:p w:rsidR="00D0104A" w:rsidRDefault="00D0104A" w:rsidP="00DE24A2">
          <w:pPr>
            <w:pStyle w:val="Header"/>
            <w:tabs>
              <w:tab w:val="clear" w:pos="4320"/>
              <w:tab w:val="clear" w:pos="8640"/>
            </w:tabs>
            <w:rPr>
              <w:rFonts w:ascii="Verdana" w:hAnsi="Verdana"/>
              <w:sz w:val="20"/>
            </w:rPr>
          </w:pPr>
        </w:p>
      </w:tc>
      <w:tc>
        <w:tcPr>
          <w:tcW w:w="355" w:type="pct"/>
        </w:tcPr>
        <w:p w:rsidR="00D0104A" w:rsidRPr="0058126E" w:rsidRDefault="00D0104A" w:rsidP="0058126E">
          <w:pPr>
            <w:pStyle w:val="Header"/>
            <w:jc w:val="center"/>
            <w:rPr>
              <w:szCs w:val="24"/>
            </w:rPr>
          </w:pPr>
          <w:r w:rsidRPr="0058126E">
            <w:rPr>
              <w:szCs w:val="24"/>
            </w:rPr>
            <w:t xml:space="preserve">- </w:t>
          </w:r>
          <w:r w:rsidRPr="0058126E">
            <w:rPr>
              <w:szCs w:val="24"/>
            </w:rPr>
            <w:fldChar w:fldCharType="begin"/>
          </w:r>
          <w:r w:rsidRPr="0058126E">
            <w:rPr>
              <w:szCs w:val="24"/>
            </w:rPr>
            <w:instrText xml:space="preserve"> PAGE   \* MERGEFORMAT </w:instrText>
          </w:r>
          <w:r w:rsidRPr="0058126E">
            <w:rPr>
              <w:szCs w:val="24"/>
            </w:rPr>
            <w:fldChar w:fldCharType="separate"/>
          </w:r>
          <w:r>
            <w:rPr>
              <w:noProof/>
              <w:szCs w:val="24"/>
            </w:rPr>
            <w:t>25</w:t>
          </w:r>
          <w:r w:rsidRPr="0058126E">
            <w:rPr>
              <w:noProof/>
              <w:szCs w:val="24"/>
            </w:rPr>
            <w:fldChar w:fldCharType="end"/>
          </w:r>
          <w:r w:rsidRPr="0058126E">
            <w:rPr>
              <w:szCs w:val="24"/>
            </w:rPr>
            <w:t xml:space="preserve"> -</w:t>
          </w:r>
        </w:p>
      </w:tc>
      <w:tc>
        <w:tcPr>
          <w:tcW w:w="355" w:type="pct"/>
        </w:tcPr>
        <w:p w:rsidR="00D0104A" w:rsidRPr="0058126E" w:rsidRDefault="00D0104A" w:rsidP="00DE24A2">
          <w:pPr>
            <w:pStyle w:val="Header"/>
            <w:tabs>
              <w:tab w:val="clear" w:pos="4320"/>
            </w:tabs>
            <w:jc w:val="right"/>
            <w:rPr>
              <w:szCs w:val="24"/>
            </w:rPr>
          </w:pPr>
          <w:r w:rsidRPr="009B13B8">
            <w:rPr>
              <w:szCs w:val="24"/>
            </w:rPr>
            <w:t xml:space="preserve">September </w:t>
          </w:r>
          <w:r>
            <w:rPr>
              <w:szCs w:val="24"/>
            </w:rPr>
            <w:t>19</w:t>
          </w:r>
          <w:r w:rsidRPr="009B13B8">
            <w:rPr>
              <w:szCs w:val="24"/>
            </w:rPr>
            <w:t>, 2019</w:t>
          </w:r>
        </w:p>
      </w:tc>
    </w:tr>
  </w:tbl>
  <w:p w:rsidR="00D0104A" w:rsidRPr="000D6B7A" w:rsidRDefault="00D0104A" w:rsidP="005764EE">
    <w:pPr>
      <w:pStyle w:val="Header"/>
      <w:rPr>
        <w:rFonts w:ascii="Verdana" w:hAnsi="Verdana"/>
        <w:sz w:val="20"/>
      </w:rPr>
    </w:pPr>
  </w:p>
  <w:p w:rsidR="00D0104A" w:rsidRPr="000D6B7A" w:rsidRDefault="00D0104A" w:rsidP="005764EE">
    <w:pPr>
      <w:pStyle w:val="Header"/>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E68F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C6ED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7430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60FD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4802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32A7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CC52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B406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5AF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635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55536"/>
    <w:multiLevelType w:val="hybridMultilevel"/>
    <w:tmpl w:val="19C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D34D8"/>
    <w:multiLevelType w:val="hybridMultilevel"/>
    <w:tmpl w:val="6008908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77CCA"/>
    <w:multiLevelType w:val="hybridMultilevel"/>
    <w:tmpl w:val="4D1A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E2913"/>
    <w:multiLevelType w:val="hybridMultilevel"/>
    <w:tmpl w:val="09C64BD8"/>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15:restartNumberingAfterBreak="0">
    <w:nsid w:val="3A2F654E"/>
    <w:multiLevelType w:val="hybridMultilevel"/>
    <w:tmpl w:val="757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D3442"/>
    <w:multiLevelType w:val="hybridMultilevel"/>
    <w:tmpl w:val="298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01101"/>
    <w:multiLevelType w:val="hybridMultilevel"/>
    <w:tmpl w:val="4F88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B6403"/>
    <w:multiLevelType w:val="hybridMultilevel"/>
    <w:tmpl w:val="441C34B2"/>
    <w:lvl w:ilvl="0" w:tplc="DBE22D66">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6CF2BEF"/>
    <w:multiLevelType w:val="hybridMultilevel"/>
    <w:tmpl w:val="7B44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D1B97"/>
    <w:multiLevelType w:val="hybridMultilevel"/>
    <w:tmpl w:val="6D54BAC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569B48C3"/>
    <w:multiLevelType w:val="hybridMultilevel"/>
    <w:tmpl w:val="E4565878"/>
    <w:lvl w:ilvl="0" w:tplc="E2AC82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11350"/>
    <w:multiLevelType w:val="hybridMultilevel"/>
    <w:tmpl w:val="A6BC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95A67"/>
    <w:multiLevelType w:val="hybridMultilevel"/>
    <w:tmpl w:val="41A8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C41FF"/>
    <w:multiLevelType w:val="hybridMultilevel"/>
    <w:tmpl w:val="076038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0C86F90"/>
    <w:multiLevelType w:val="hybridMultilevel"/>
    <w:tmpl w:val="C0120A8C"/>
    <w:lvl w:ilvl="0" w:tplc="C144EA32">
      <w:start w:val="1"/>
      <w:numFmt w:val="decimal"/>
      <w:lvlText w:val="%1."/>
      <w:lvlJc w:val="left"/>
      <w:pPr>
        <w:ind w:left="360" w:hanging="360"/>
      </w:pPr>
      <w:rPr>
        <w:rFonts w:asciiTheme="minorHAnsi" w:hAnsiTheme="minorHAnsi" w:hint="default"/>
        <w:b/>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A73E82"/>
    <w:multiLevelType w:val="hybridMultilevel"/>
    <w:tmpl w:val="60089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10"/>
  </w:num>
  <w:num w:numId="16">
    <w:abstractNumId w:val="14"/>
  </w:num>
  <w:num w:numId="17">
    <w:abstractNumId w:val="16"/>
  </w:num>
  <w:num w:numId="18">
    <w:abstractNumId w:val="22"/>
  </w:num>
  <w:num w:numId="19">
    <w:abstractNumId w:val="24"/>
  </w:num>
  <w:num w:numId="20">
    <w:abstractNumId w:val="11"/>
  </w:num>
  <w:num w:numId="21">
    <w:abstractNumId w:val="25"/>
  </w:num>
  <w:num w:numId="22">
    <w:abstractNumId w:val="12"/>
  </w:num>
  <w:num w:numId="23">
    <w:abstractNumId w:val="19"/>
  </w:num>
  <w:num w:numId="24">
    <w:abstractNumId w:val="15"/>
  </w:num>
  <w:num w:numId="25">
    <w:abstractNumId w:val="20"/>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33825" style="mso-position-horizontal:center;mso-position-horizontal-relative:margin;mso-position-vertical:center;mso-position-vertical-relative:margin" o:allowincell="f" fillcolor="silver" stroke="f">
      <v:fill color="silver" opacity=".5"/>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034"/>
    <w:rsid w:val="000038A4"/>
    <w:rsid w:val="00003B56"/>
    <w:rsid w:val="00004F07"/>
    <w:rsid w:val="0000598C"/>
    <w:rsid w:val="00006742"/>
    <w:rsid w:val="00006D7E"/>
    <w:rsid w:val="000072D6"/>
    <w:rsid w:val="00007B24"/>
    <w:rsid w:val="00013001"/>
    <w:rsid w:val="0001476A"/>
    <w:rsid w:val="00014BC8"/>
    <w:rsid w:val="00015A23"/>
    <w:rsid w:val="00016AE9"/>
    <w:rsid w:val="000171B4"/>
    <w:rsid w:val="00017237"/>
    <w:rsid w:val="00017417"/>
    <w:rsid w:val="00017819"/>
    <w:rsid w:val="000208D4"/>
    <w:rsid w:val="000216B2"/>
    <w:rsid w:val="00021BA8"/>
    <w:rsid w:val="000223DD"/>
    <w:rsid w:val="000230F1"/>
    <w:rsid w:val="00023EA7"/>
    <w:rsid w:val="00024A8A"/>
    <w:rsid w:val="0002590B"/>
    <w:rsid w:val="00026EAA"/>
    <w:rsid w:val="00027073"/>
    <w:rsid w:val="0003015B"/>
    <w:rsid w:val="000324F2"/>
    <w:rsid w:val="0003336C"/>
    <w:rsid w:val="00034310"/>
    <w:rsid w:val="000372B5"/>
    <w:rsid w:val="000378EF"/>
    <w:rsid w:val="00037BAB"/>
    <w:rsid w:val="00037D9F"/>
    <w:rsid w:val="00040741"/>
    <w:rsid w:val="00040BAB"/>
    <w:rsid w:val="0004145E"/>
    <w:rsid w:val="00041E81"/>
    <w:rsid w:val="00044461"/>
    <w:rsid w:val="00044AD6"/>
    <w:rsid w:val="00045CB6"/>
    <w:rsid w:val="000467B0"/>
    <w:rsid w:val="00047A5D"/>
    <w:rsid w:val="00047B91"/>
    <w:rsid w:val="00050261"/>
    <w:rsid w:val="000510CC"/>
    <w:rsid w:val="00051286"/>
    <w:rsid w:val="000516E4"/>
    <w:rsid w:val="00052063"/>
    <w:rsid w:val="000521C2"/>
    <w:rsid w:val="00052E29"/>
    <w:rsid w:val="00054209"/>
    <w:rsid w:val="0005574A"/>
    <w:rsid w:val="00056076"/>
    <w:rsid w:val="00056BB2"/>
    <w:rsid w:val="0005720A"/>
    <w:rsid w:val="0005734E"/>
    <w:rsid w:val="0005775F"/>
    <w:rsid w:val="000603A6"/>
    <w:rsid w:val="00061786"/>
    <w:rsid w:val="000624DC"/>
    <w:rsid w:val="00063E9F"/>
    <w:rsid w:val="000646F2"/>
    <w:rsid w:val="0006583E"/>
    <w:rsid w:val="000659EB"/>
    <w:rsid w:val="00065F6D"/>
    <w:rsid w:val="00066249"/>
    <w:rsid w:val="00070A46"/>
    <w:rsid w:val="00070EFC"/>
    <w:rsid w:val="00070FFC"/>
    <w:rsid w:val="00071AC7"/>
    <w:rsid w:val="00071FF9"/>
    <w:rsid w:val="000730D8"/>
    <w:rsid w:val="00073536"/>
    <w:rsid w:val="0007431E"/>
    <w:rsid w:val="00074A5C"/>
    <w:rsid w:val="00074BB4"/>
    <w:rsid w:val="00075F96"/>
    <w:rsid w:val="000761C7"/>
    <w:rsid w:val="000806AC"/>
    <w:rsid w:val="00081197"/>
    <w:rsid w:val="000820BB"/>
    <w:rsid w:val="00082ED6"/>
    <w:rsid w:val="00083076"/>
    <w:rsid w:val="00083B87"/>
    <w:rsid w:val="00083EA4"/>
    <w:rsid w:val="000847AD"/>
    <w:rsid w:val="00086240"/>
    <w:rsid w:val="00086E7A"/>
    <w:rsid w:val="0009128E"/>
    <w:rsid w:val="00092C86"/>
    <w:rsid w:val="000930C3"/>
    <w:rsid w:val="00093227"/>
    <w:rsid w:val="000943EA"/>
    <w:rsid w:val="00094F02"/>
    <w:rsid w:val="000969F4"/>
    <w:rsid w:val="00096D56"/>
    <w:rsid w:val="000979E6"/>
    <w:rsid w:val="000979FC"/>
    <w:rsid w:val="000A033C"/>
    <w:rsid w:val="000A0740"/>
    <w:rsid w:val="000A12F9"/>
    <w:rsid w:val="000A14E9"/>
    <w:rsid w:val="000A17AE"/>
    <w:rsid w:val="000A2170"/>
    <w:rsid w:val="000A3724"/>
    <w:rsid w:val="000A37A3"/>
    <w:rsid w:val="000A48E8"/>
    <w:rsid w:val="000A7E80"/>
    <w:rsid w:val="000B0888"/>
    <w:rsid w:val="000B0A17"/>
    <w:rsid w:val="000B2519"/>
    <w:rsid w:val="000B3253"/>
    <w:rsid w:val="000B6056"/>
    <w:rsid w:val="000B622D"/>
    <w:rsid w:val="000B791E"/>
    <w:rsid w:val="000B7997"/>
    <w:rsid w:val="000B7EF6"/>
    <w:rsid w:val="000C0050"/>
    <w:rsid w:val="000C16BF"/>
    <w:rsid w:val="000C2917"/>
    <w:rsid w:val="000C319E"/>
    <w:rsid w:val="000C4DAA"/>
    <w:rsid w:val="000D0F04"/>
    <w:rsid w:val="000D2D00"/>
    <w:rsid w:val="000D3084"/>
    <w:rsid w:val="000D4990"/>
    <w:rsid w:val="000D4C44"/>
    <w:rsid w:val="000D4E72"/>
    <w:rsid w:val="000D504C"/>
    <w:rsid w:val="000D5210"/>
    <w:rsid w:val="000D54ED"/>
    <w:rsid w:val="000D6E13"/>
    <w:rsid w:val="000D709C"/>
    <w:rsid w:val="000E0541"/>
    <w:rsid w:val="000E0574"/>
    <w:rsid w:val="000E2A28"/>
    <w:rsid w:val="000E2AD8"/>
    <w:rsid w:val="000E381D"/>
    <w:rsid w:val="000E4250"/>
    <w:rsid w:val="000E608B"/>
    <w:rsid w:val="000E609A"/>
    <w:rsid w:val="000E68B3"/>
    <w:rsid w:val="000E7180"/>
    <w:rsid w:val="000F1073"/>
    <w:rsid w:val="000F2AF6"/>
    <w:rsid w:val="000F5CC3"/>
    <w:rsid w:val="001008C2"/>
    <w:rsid w:val="0010132B"/>
    <w:rsid w:val="001019CE"/>
    <w:rsid w:val="0010290F"/>
    <w:rsid w:val="00103A61"/>
    <w:rsid w:val="00103F4B"/>
    <w:rsid w:val="00104EE6"/>
    <w:rsid w:val="001065B2"/>
    <w:rsid w:val="001076F4"/>
    <w:rsid w:val="00110868"/>
    <w:rsid w:val="001117E3"/>
    <w:rsid w:val="00112AE3"/>
    <w:rsid w:val="001131CD"/>
    <w:rsid w:val="00114CAA"/>
    <w:rsid w:val="00116D0F"/>
    <w:rsid w:val="0011725D"/>
    <w:rsid w:val="00117B3E"/>
    <w:rsid w:val="0012010E"/>
    <w:rsid w:val="001212DA"/>
    <w:rsid w:val="00122769"/>
    <w:rsid w:val="00122DA8"/>
    <w:rsid w:val="0012346A"/>
    <w:rsid w:val="00123C30"/>
    <w:rsid w:val="00124034"/>
    <w:rsid w:val="00124F9C"/>
    <w:rsid w:val="0012570E"/>
    <w:rsid w:val="00125762"/>
    <w:rsid w:val="00125C19"/>
    <w:rsid w:val="00126BDE"/>
    <w:rsid w:val="00127D6A"/>
    <w:rsid w:val="00132632"/>
    <w:rsid w:val="00132F0D"/>
    <w:rsid w:val="001336AA"/>
    <w:rsid w:val="00133ABF"/>
    <w:rsid w:val="00134911"/>
    <w:rsid w:val="001351EC"/>
    <w:rsid w:val="00135B22"/>
    <w:rsid w:val="0013657E"/>
    <w:rsid w:val="00142383"/>
    <w:rsid w:val="00143072"/>
    <w:rsid w:val="0014357F"/>
    <w:rsid w:val="00144586"/>
    <w:rsid w:val="0014498A"/>
    <w:rsid w:val="00144BE3"/>
    <w:rsid w:val="001456B4"/>
    <w:rsid w:val="00146DB8"/>
    <w:rsid w:val="0014717C"/>
    <w:rsid w:val="00147725"/>
    <w:rsid w:val="00147E70"/>
    <w:rsid w:val="0015158E"/>
    <w:rsid w:val="001526D0"/>
    <w:rsid w:val="00152BEB"/>
    <w:rsid w:val="00152CAE"/>
    <w:rsid w:val="0015305B"/>
    <w:rsid w:val="00155580"/>
    <w:rsid w:val="00155658"/>
    <w:rsid w:val="001567A5"/>
    <w:rsid w:val="00156CF6"/>
    <w:rsid w:val="00161A60"/>
    <w:rsid w:val="00162BAC"/>
    <w:rsid w:val="001652E5"/>
    <w:rsid w:val="0016690C"/>
    <w:rsid w:val="001700BB"/>
    <w:rsid w:val="00170C5A"/>
    <w:rsid w:val="00171B7C"/>
    <w:rsid w:val="00172A14"/>
    <w:rsid w:val="00175673"/>
    <w:rsid w:val="00176B67"/>
    <w:rsid w:val="00176BF7"/>
    <w:rsid w:val="001778F1"/>
    <w:rsid w:val="00177914"/>
    <w:rsid w:val="00177FA2"/>
    <w:rsid w:val="00180C14"/>
    <w:rsid w:val="00181E2C"/>
    <w:rsid w:val="001821FF"/>
    <w:rsid w:val="00183838"/>
    <w:rsid w:val="001844C3"/>
    <w:rsid w:val="00184BAA"/>
    <w:rsid w:val="00184FD6"/>
    <w:rsid w:val="00185635"/>
    <w:rsid w:val="00186102"/>
    <w:rsid w:val="00186906"/>
    <w:rsid w:val="001908B5"/>
    <w:rsid w:val="00190BEA"/>
    <w:rsid w:val="001933F5"/>
    <w:rsid w:val="00193D1C"/>
    <w:rsid w:val="00194185"/>
    <w:rsid w:val="00194822"/>
    <w:rsid w:val="00194E82"/>
    <w:rsid w:val="00196F2C"/>
    <w:rsid w:val="001A2640"/>
    <w:rsid w:val="001A27BC"/>
    <w:rsid w:val="001A30A2"/>
    <w:rsid w:val="001A3F38"/>
    <w:rsid w:val="001A4A6E"/>
    <w:rsid w:val="001A6454"/>
    <w:rsid w:val="001A7A87"/>
    <w:rsid w:val="001A7EF6"/>
    <w:rsid w:val="001B21C9"/>
    <w:rsid w:val="001B321D"/>
    <w:rsid w:val="001B5B3A"/>
    <w:rsid w:val="001B6B7C"/>
    <w:rsid w:val="001B795B"/>
    <w:rsid w:val="001C0D83"/>
    <w:rsid w:val="001C1553"/>
    <w:rsid w:val="001C2F6C"/>
    <w:rsid w:val="001C2FAF"/>
    <w:rsid w:val="001C3520"/>
    <w:rsid w:val="001C3CCE"/>
    <w:rsid w:val="001C3CF0"/>
    <w:rsid w:val="001C42F1"/>
    <w:rsid w:val="001C51BE"/>
    <w:rsid w:val="001C5F88"/>
    <w:rsid w:val="001C6183"/>
    <w:rsid w:val="001C7973"/>
    <w:rsid w:val="001D105D"/>
    <w:rsid w:val="001D1D03"/>
    <w:rsid w:val="001D2E16"/>
    <w:rsid w:val="001D2E23"/>
    <w:rsid w:val="001D3043"/>
    <w:rsid w:val="001D4689"/>
    <w:rsid w:val="001D589C"/>
    <w:rsid w:val="001D7CE6"/>
    <w:rsid w:val="001E0102"/>
    <w:rsid w:val="001E1F1C"/>
    <w:rsid w:val="001E1F38"/>
    <w:rsid w:val="001E464A"/>
    <w:rsid w:val="001E48F7"/>
    <w:rsid w:val="001E4DF9"/>
    <w:rsid w:val="001E4FA0"/>
    <w:rsid w:val="001E5D33"/>
    <w:rsid w:val="001E6412"/>
    <w:rsid w:val="001E6BBD"/>
    <w:rsid w:val="001F0818"/>
    <w:rsid w:val="001F518E"/>
    <w:rsid w:val="001F5579"/>
    <w:rsid w:val="001F676D"/>
    <w:rsid w:val="001F7047"/>
    <w:rsid w:val="001F718C"/>
    <w:rsid w:val="001F744C"/>
    <w:rsid w:val="001F7B63"/>
    <w:rsid w:val="002004EC"/>
    <w:rsid w:val="002008CF"/>
    <w:rsid w:val="00200CDC"/>
    <w:rsid w:val="00201467"/>
    <w:rsid w:val="002039DF"/>
    <w:rsid w:val="00203FF9"/>
    <w:rsid w:val="002059E3"/>
    <w:rsid w:val="00210B8B"/>
    <w:rsid w:val="00214FFB"/>
    <w:rsid w:val="00215050"/>
    <w:rsid w:val="00215EEB"/>
    <w:rsid w:val="002177DD"/>
    <w:rsid w:val="00221176"/>
    <w:rsid w:val="002214BA"/>
    <w:rsid w:val="00223234"/>
    <w:rsid w:val="00223DAB"/>
    <w:rsid w:val="0022453B"/>
    <w:rsid w:val="00224550"/>
    <w:rsid w:val="00225F4D"/>
    <w:rsid w:val="00226C19"/>
    <w:rsid w:val="00235AF6"/>
    <w:rsid w:val="0023711E"/>
    <w:rsid w:val="0024082D"/>
    <w:rsid w:val="00240B3F"/>
    <w:rsid w:val="002411BC"/>
    <w:rsid w:val="00241C05"/>
    <w:rsid w:val="00241F2E"/>
    <w:rsid w:val="002429C0"/>
    <w:rsid w:val="00243B80"/>
    <w:rsid w:val="00243D88"/>
    <w:rsid w:val="0024452F"/>
    <w:rsid w:val="0024497A"/>
    <w:rsid w:val="00244A18"/>
    <w:rsid w:val="00245201"/>
    <w:rsid w:val="00245BEA"/>
    <w:rsid w:val="0025159D"/>
    <w:rsid w:val="002515C7"/>
    <w:rsid w:val="0025198F"/>
    <w:rsid w:val="0025283F"/>
    <w:rsid w:val="00253873"/>
    <w:rsid w:val="00257256"/>
    <w:rsid w:val="00260906"/>
    <w:rsid w:val="00262C0F"/>
    <w:rsid w:val="002649EF"/>
    <w:rsid w:val="00264CE2"/>
    <w:rsid w:val="002650EB"/>
    <w:rsid w:val="0026577C"/>
    <w:rsid w:val="00265E20"/>
    <w:rsid w:val="002679D9"/>
    <w:rsid w:val="00267F57"/>
    <w:rsid w:val="002703D7"/>
    <w:rsid w:val="00270B87"/>
    <w:rsid w:val="00273449"/>
    <w:rsid w:val="00273854"/>
    <w:rsid w:val="00276F57"/>
    <w:rsid w:val="002776B0"/>
    <w:rsid w:val="00280337"/>
    <w:rsid w:val="00280479"/>
    <w:rsid w:val="00280FCB"/>
    <w:rsid w:val="00281258"/>
    <w:rsid w:val="002820D8"/>
    <w:rsid w:val="00283A3C"/>
    <w:rsid w:val="00284146"/>
    <w:rsid w:val="0028418A"/>
    <w:rsid w:val="00290912"/>
    <w:rsid w:val="0029463F"/>
    <w:rsid w:val="0029592E"/>
    <w:rsid w:val="00296E0B"/>
    <w:rsid w:val="00297187"/>
    <w:rsid w:val="002A02D6"/>
    <w:rsid w:val="002A1D08"/>
    <w:rsid w:val="002A2362"/>
    <w:rsid w:val="002A5374"/>
    <w:rsid w:val="002A5D56"/>
    <w:rsid w:val="002A6F89"/>
    <w:rsid w:val="002A7A9B"/>
    <w:rsid w:val="002B053D"/>
    <w:rsid w:val="002B0939"/>
    <w:rsid w:val="002B0B00"/>
    <w:rsid w:val="002B0B3F"/>
    <w:rsid w:val="002B0FBE"/>
    <w:rsid w:val="002B1F05"/>
    <w:rsid w:val="002B3344"/>
    <w:rsid w:val="002B3E4D"/>
    <w:rsid w:val="002B51AB"/>
    <w:rsid w:val="002B61C4"/>
    <w:rsid w:val="002C0FAF"/>
    <w:rsid w:val="002C2635"/>
    <w:rsid w:val="002C2DE5"/>
    <w:rsid w:val="002C344D"/>
    <w:rsid w:val="002C3C02"/>
    <w:rsid w:val="002C43B0"/>
    <w:rsid w:val="002C4D55"/>
    <w:rsid w:val="002C5850"/>
    <w:rsid w:val="002C67DC"/>
    <w:rsid w:val="002D090B"/>
    <w:rsid w:val="002D3CF5"/>
    <w:rsid w:val="002D408B"/>
    <w:rsid w:val="002D539C"/>
    <w:rsid w:val="002D56F4"/>
    <w:rsid w:val="002D5CFC"/>
    <w:rsid w:val="002D6C4E"/>
    <w:rsid w:val="002D7F12"/>
    <w:rsid w:val="002E093C"/>
    <w:rsid w:val="002E3780"/>
    <w:rsid w:val="002E3B30"/>
    <w:rsid w:val="002E4515"/>
    <w:rsid w:val="002E5097"/>
    <w:rsid w:val="002E5DFE"/>
    <w:rsid w:val="002E6EE5"/>
    <w:rsid w:val="002E7451"/>
    <w:rsid w:val="002E75AA"/>
    <w:rsid w:val="002E7A73"/>
    <w:rsid w:val="002F1634"/>
    <w:rsid w:val="002F2102"/>
    <w:rsid w:val="002F3F42"/>
    <w:rsid w:val="002F6A5A"/>
    <w:rsid w:val="002F6BFE"/>
    <w:rsid w:val="002F7764"/>
    <w:rsid w:val="0030140C"/>
    <w:rsid w:val="00303D28"/>
    <w:rsid w:val="003045A4"/>
    <w:rsid w:val="00306C06"/>
    <w:rsid w:val="00307717"/>
    <w:rsid w:val="00307B1D"/>
    <w:rsid w:val="00311B81"/>
    <w:rsid w:val="00312814"/>
    <w:rsid w:val="00315140"/>
    <w:rsid w:val="00315BBC"/>
    <w:rsid w:val="003177FB"/>
    <w:rsid w:val="00323568"/>
    <w:rsid w:val="003243BD"/>
    <w:rsid w:val="00324A5D"/>
    <w:rsid w:val="003335DD"/>
    <w:rsid w:val="00334210"/>
    <w:rsid w:val="00334823"/>
    <w:rsid w:val="003403D8"/>
    <w:rsid w:val="00342C16"/>
    <w:rsid w:val="003445B9"/>
    <w:rsid w:val="003450B1"/>
    <w:rsid w:val="00345529"/>
    <w:rsid w:val="003456FC"/>
    <w:rsid w:val="0034678D"/>
    <w:rsid w:val="003510E4"/>
    <w:rsid w:val="003513F2"/>
    <w:rsid w:val="003535AC"/>
    <w:rsid w:val="003553B5"/>
    <w:rsid w:val="00356980"/>
    <w:rsid w:val="003575F1"/>
    <w:rsid w:val="003576D2"/>
    <w:rsid w:val="00360A4C"/>
    <w:rsid w:val="00361D89"/>
    <w:rsid w:val="00361FE6"/>
    <w:rsid w:val="003630AF"/>
    <w:rsid w:val="00365F03"/>
    <w:rsid w:val="003666EE"/>
    <w:rsid w:val="0036798E"/>
    <w:rsid w:val="003706D1"/>
    <w:rsid w:val="0037097B"/>
    <w:rsid w:val="00371469"/>
    <w:rsid w:val="003724E8"/>
    <w:rsid w:val="003728F8"/>
    <w:rsid w:val="00374E53"/>
    <w:rsid w:val="00376ABD"/>
    <w:rsid w:val="00380B58"/>
    <w:rsid w:val="00380B7B"/>
    <w:rsid w:val="00381C10"/>
    <w:rsid w:val="00382A9E"/>
    <w:rsid w:val="00382D90"/>
    <w:rsid w:val="00383CC6"/>
    <w:rsid w:val="00383DAD"/>
    <w:rsid w:val="00384120"/>
    <w:rsid w:val="00384546"/>
    <w:rsid w:val="00384C40"/>
    <w:rsid w:val="00384FFA"/>
    <w:rsid w:val="00390459"/>
    <w:rsid w:val="003922B5"/>
    <w:rsid w:val="0039261E"/>
    <w:rsid w:val="00393229"/>
    <w:rsid w:val="003943C1"/>
    <w:rsid w:val="00396272"/>
    <w:rsid w:val="00396D4B"/>
    <w:rsid w:val="00396E3F"/>
    <w:rsid w:val="00397D4F"/>
    <w:rsid w:val="00397DE3"/>
    <w:rsid w:val="003A0621"/>
    <w:rsid w:val="003A0C5F"/>
    <w:rsid w:val="003A2B80"/>
    <w:rsid w:val="003A2F19"/>
    <w:rsid w:val="003A312E"/>
    <w:rsid w:val="003A5F21"/>
    <w:rsid w:val="003A75EF"/>
    <w:rsid w:val="003B3161"/>
    <w:rsid w:val="003B3641"/>
    <w:rsid w:val="003C0667"/>
    <w:rsid w:val="003C1B68"/>
    <w:rsid w:val="003C1F5A"/>
    <w:rsid w:val="003C2BDC"/>
    <w:rsid w:val="003C2DE4"/>
    <w:rsid w:val="003C5421"/>
    <w:rsid w:val="003C5475"/>
    <w:rsid w:val="003C646E"/>
    <w:rsid w:val="003C6493"/>
    <w:rsid w:val="003C7D8C"/>
    <w:rsid w:val="003C7FF0"/>
    <w:rsid w:val="003D0686"/>
    <w:rsid w:val="003D0C04"/>
    <w:rsid w:val="003D0DBC"/>
    <w:rsid w:val="003D3067"/>
    <w:rsid w:val="003D30F2"/>
    <w:rsid w:val="003D3365"/>
    <w:rsid w:val="003D5163"/>
    <w:rsid w:val="003D6538"/>
    <w:rsid w:val="003D6A58"/>
    <w:rsid w:val="003D6F66"/>
    <w:rsid w:val="003E2CD7"/>
    <w:rsid w:val="003E3462"/>
    <w:rsid w:val="003E4D15"/>
    <w:rsid w:val="003E56DF"/>
    <w:rsid w:val="003F0C52"/>
    <w:rsid w:val="003F13E2"/>
    <w:rsid w:val="003F160F"/>
    <w:rsid w:val="003F1F76"/>
    <w:rsid w:val="003F2042"/>
    <w:rsid w:val="003F2E6E"/>
    <w:rsid w:val="003F305B"/>
    <w:rsid w:val="003F3782"/>
    <w:rsid w:val="003F3C91"/>
    <w:rsid w:val="003F4474"/>
    <w:rsid w:val="003F51CE"/>
    <w:rsid w:val="003F5F33"/>
    <w:rsid w:val="0040039C"/>
    <w:rsid w:val="00400D28"/>
    <w:rsid w:val="00402340"/>
    <w:rsid w:val="0040241C"/>
    <w:rsid w:val="00402862"/>
    <w:rsid w:val="00402EEE"/>
    <w:rsid w:val="0040317D"/>
    <w:rsid w:val="00403192"/>
    <w:rsid w:val="00403548"/>
    <w:rsid w:val="00403A9B"/>
    <w:rsid w:val="00403F69"/>
    <w:rsid w:val="00404FF5"/>
    <w:rsid w:val="004065AE"/>
    <w:rsid w:val="00410528"/>
    <w:rsid w:val="00412BD5"/>
    <w:rsid w:val="004149AA"/>
    <w:rsid w:val="00416D4F"/>
    <w:rsid w:val="00416D5F"/>
    <w:rsid w:val="00420CF4"/>
    <w:rsid w:val="004217D4"/>
    <w:rsid w:val="00421B92"/>
    <w:rsid w:val="00422FAF"/>
    <w:rsid w:val="00423D27"/>
    <w:rsid w:val="004242CC"/>
    <w:rsid w:val="0042540C"/>
    <w:rsid w:val="004264D5"/>
    <w:rsid w:val="00426A86"/>
    <w:rsid w:val="004274F1"/>
    <w:rsid w:val="00427E5B"/>
    <w:rsid w:val="00430C48"/>
    <w:rsid w:val="00432F5D"/>
    <w:rsid w:val="00434306"/>
    <w:rsid w:val="00434F6E"/>
    <w:rsid w:val="00436BA4"/>
    <w:rsid w:val="00440FF4"/>
    <w:rsid w:val="004428E9"/>
    <w:rsid w:val="004431CC"/>
    <w:rsid w:val="00443234"/>
    <w:rsid w:val="00445EB9"/>
    <w:rsid w:val="004502C9"/>
    <w:rsid w:val="00450E59"/>
    <w:rsid w:val="00450F04"/>
    <w:rsid w:val="00452013"/>
    <w:rsid w:val="004525BB"/>
    <w:rsid w:val="00452E6A"/>
    <w:rsid w:val="004532AC"/>
    <w:rsid w:val="0045339B"/>
    <w:rsid w:val="00455056"/>
    <w:rsid w:val="00455765"/>
    <w:rsid w:val="004557A4"/>
    <w:rsid w:val="00461E30"/>
    <w:rsid w:val="00466EB8"/>
    <w:rsid w:val="00467693"/>
    <w:rsid w:val="004704E5"/>
    <w:rsid w:val="00470526"/>
    <w:rsid w:val="00471E0F"/>
    <w:rsid w:val="0047306A"/>
    <w:rsid w:val="00473A9A"/>
    <w:rsid w:val="00474988"/>
    <w:rsid w:val="0047774F"/>
    <w:rsid w:val="004777A2"/>
    <w:rsid w:val="00477AEE"/>
    <w:rsid w:val="00477EA0"/>
    <w:rsid w:val="0048063B"/>
    <w:rsid w:val="00480B9F"/>
    <w:rsid w:val="00480DF3"/>
    <w:rsid w:val="00481A0A"/>
    <w:rsid w:val="00481F5B"/>
    <w:rsid w:val="004820A5"/>
    <w:rsid w:val="00483606"/>
    <w:rsid w:val="0048385D"/>
    <w:rsid w:val="00484257"/>
    <w:rsid w:val="00485F71"/>
    <w:rsid w:val="0049012B"/>
    <w:rsid w:val="004905EC"/>
    <w:rsid w:val="00492295"/>
    <w:rsid w:val="00492D58"/>
    <w:rsid w:val="0049417B"/>
    <w:rsid w:val="00494222"/>
    <w:rsid w:val="00494C34"/>
    <w:rsid w:val="0049629B"/>
    <w:rsid w:val="0049630F"/>
    <w:rsid w:val="004A0DAD"/>
    <w:rsid w:val="004A0EE8"/>
    <w:rsid w:val="004A1346"/>
    <w:rsid w:val="004A25F6"/>
    <w:rsid w:val="004A4176"/>
    <w:rsid w:val="004A426E"/>
    <w:rsid w:val="004A43C6"/>
    <w:rsid w:val="004A46F7"/>
    <w:rsid w:val="004A5FF4"/>
    <w:rsid w:val="004A6344"/>
    <w:rsid w:val="004B0B66"/>
    <w:rsid w:val="004B2BCD"/>
    <w:rsid w:val="004B3573"/>
    <w:rsid w:val="004B3E74"/>
    <w:rsid w:val="004B51E4"/>
    <w:rsid w:val="004B596E"/>
    <w:rsid w:val="004B6FE7"/>
    <w:rsid w:val="004B7B15"/>
    <w:rsid w:val="004B7B25"/>
    <w:rsid w:val="004C0F7C"/>
    <w:rsid w:val="004C14C3"/>
    <w:rsid w:val="004C1C4D"/>
    <w:rsid w:val="004C7C56"/>
    <w:rsid w:val="004D000F"/>
    <w:rsid w:val="004D097D"/>
    <w:rsid w:val="004D0FA1"/>
    <w:rsid w:val="004D1848"/>
    <w:rsid w:val="004D1E0C"/>
    <w:rsid w:val="004D1FEE"/>
    <w:rsid w:val="004D201B"/>
    <w:rsid w:val="004D2DB9"/>
    <w:rsid w:val="004D2F97"/>
    <w:rsid w:val="004D42C9"/>
    <w:rsid w:val="004D4BD4"/>
    <w:rsid w:val="004D4C94"/>
    <w:rsid w:val="004D4D46"/>
    <w:rsid w:val="004E0587"/>
    <w:rsid w:val="004E0817"/>
    <w:rsid w:val="004E0A3F"/>
    <w:rsid w:val="004E17C3"/>
    <w:rsid w:val="004E1961"/>
    <w:rsid w:val="004E19C7"/>
    <w:rsid w:val="004E1D34"/>
    <w:rsid w:val="004E2D34"/>
    <w:rsid w:val="004E4237"/>
    <w:rsid w:val="004E424A"/>
    <w:rsid w:val="004E4409"/>
    <w:rsid w:val="004E44BA"/>
    <w:rsid w:val="004E5A66"/>
    <w:rsid w:val="004E6069"/>
    <w:rsid w:val="004E7EFE"/>
    <w:rsid w:val="004F076F"/>
    <w:rsid w:val="004F17EB"/>
    <w:rsid w:val="004F24A6"/>
    <w:rsid w:val="004F357B"/>
    <w:rsid w:val="004F3980"/>
    <w:rsid w:val="004F440D"/>
    <w:rsid w:val="004F486B"/>
    <w:rsid w:val="004F599C"/>
    <w:rsid w:val="004F6714"/>
    <w:rsid w:val="00503772"/>
    <w:rsid w:val="0050400F"/>
    <w:rsid w:val="005048F5"/>
    <w:rsid w:val="0050630D"/>
    <w:rsid w:val="00510503"/>
    <w:rsid w:val="00511048"/>
    <w:rsid w:val="005113D1"/>
    <w:rsid w:val="005126B5"/>
    <w:rsid w:val="00512B5E"/>
    <w:rsid w:val="005138CF"/>
    <w:rsid w:val="00515D9F"/>
    <w:rsid w:val="005176F0"/>
    <w:rsid w:val="00517E46"/>
    <w:rsid w:val="00522115"/>
    <w:rsid w:val="005257B2"/>
    <w:rsid w:val="00526085"/>
    <w:rsid w:val="00527E36"/>
    <w:rsid w:val="005308F3"/>
    <w:rsid w:val="0053176A"/>
    <w:rsid w:val="0053211F"/>
    <w:rsid w:val="00532346"/>
    <w:rsid w:val="005329AF"/>
    <w:rsid w:val="005332CE"/>
    <w:rsid w:val="00534CF7"/>
    <w:rsid w:val="005356BA"/>
    <w:rsid w:val="005378FD"/>
    <w:rsid w:val="00540764"/>
    <w:rsid w:val="0054084A"/>
    <w:rsid w:val="00543195"/>
    <w:rsid w:val="00543735"/>
    <w:rsid w:val="00543A3A"/>
    <w:rsid w:val="0054464E"/>
    <w:rsid w:val="00544B36"/>
    <w:rsid w:val="005461D7"/>
    <w:rsid w:val="0054648C"/>
    <w:rsid w:val="005467FC"/>
    <w:rsid w:val="005523E7"/>
    <w:rsid w:val="00552624"/>
    <w:rsid w:val="0055308C"/>
    <w:rsid w:val="00553B50"/>
    <w:rsid w:val="00553BD5"/>
    <w:rsid w:val="00555E69"/>
    <w:rsid w:val="00557573"/>
    <w:rsid w:val="005602B5"/>
    <w:rsid w:val="00560961"/>
    <w:rsid w:val="00561FAF"/>
    <w:rsid w:val="00562984"/>
    <w:rsid w:val="00563516"/>
    <w:rsid w:val="00564985"/>
    <w:rsid w:val="00565376"/>
    <w:rsid w:val="00566181"/>
    <w:rsid w:val="00567A00"/>
    <w:rsid w:val="0057153B"/>
    <w:rsid w:val="005733DF"/>
    <w:rsid w:val="00574271"/>
    <w:rsid w:val="00575DFC"/>
    <w:rsid w:val="00575F6C"/>
    <w:rsid w:val="005761B4"/>
    <w:rsid w:val="0057633C"/>
    <w:rsid w:val="005764EE"/>
    <w:rsid w:val="00577BCE"/>
    <w:rsid w:val="00577EF7"/>
    <w:rsid w:val="00581084"/>
    <w:rsid w:val="0058126E"/>
    <w:rsid w:val="005835FE"/>
    <w:rsid w:val="005860E3"/>
    <w:rsid w:val="00587725"/>
    <w:rsid w:val="005902FE"/>
    <w:rsid w:val="005905D7"/>
    <w:rsid w:val="00590E59"/>
    <w:rsid w:val="0059200D"/>
    <w:rsid w:val="00593413"/>
    <w:rsid w:val="00594A68"/>
    <w:rsid w:val="005971F1"/>
    <w:rsid w:val="00597BDD"/>
    <w:rsid w:val="005A00F7"/>
    <w:rsid w:val="005A02D3"/>
    <w:rsid w:val="005A1142"/>
    <w:rsid w:val="005A13D6"/>
    <w:rsid w:val="005A166E"/>
    <w:rsid w:val="005A2C9C"/>
    <w:rsid w:val="005A409E"/>
    <w:rsid w:val="005A4DB3"/>
    <w:rsid w:val="005A4EC7"/>
    <w:rsid w:val="005A6567"/>
    <w:rsid w:val="005A7FDF"/>
    <w:rsid w:val="005B03A5"/>
    <w:rsid w:val="005B08FB"/>
    <w:rsid w:val="005B1837"/>
    <w:rsid w:val="005B2855"/>
    <w:rsid w:val="005B3193"/>
    <w:rsid w:val="005B3F4F"/>
    <w:rsid w:val="005B43BD"/>
    <w:rsid w:val="005B518D"/>
    <w:rsid w:val="005B5511"/>
    <w:rsid w:val="005B63C7"/>
    <w:rsid w:val="005B6687"/>
    <w:rsid w:val="005B6852"/>
    <w:rsid w:val="005B7923"/>
    <w:rsid w:val="005C071F"/>
    <w:rsid w:val="005C0E87"/>
    <w:rsid w:val="005C21FA"/>
    <w:rsid w:val="005C4027"/>
    <w:rsid w:val="005C7BEE"/>
    <w:rsid w:val="005D04DF"/>
    <w:rsid w:val="005D127C"/>
    <w:rsid w:val="005D19E8"/>
    <w:rsid w:val="005D1A3E"/>
    <w:rsid w:val="005D1C77"/>
    <w:rsid w:val="005D1FF2"/>
    <w:rsid w:val="005D37BA"/>
    <w:rsid w:val="005D3C88"/>
    <w:rsid w:val="005D42D8"/>
    <w:rsid w:val="005D4592"/>
    <w:rsid w:val="005D4929"/>
    <w:rsid w:val="005D4AE4"/>
    <w:rsid w:val="005D4CD0"/>
    <w:rsid w:val="005D572B"/>
    <w:rsid w:val="005E0087"/>
    <w:rsid w:val="005E08B9"/>
    <w:rsid w:val="005E3F98"/>
    <w:rsid w:val="005E630D"/>
    <w:rsid w:val="005E6D1D"/>
    <w:rsid w:val="005E7331"/>
    <w:rsid w:val="005E7638"/>
    <w:rsid w:val="005E7A1D"/>
    <w:rsid w:val="005F1D07"/>
    <w:rsid w:val="005F2BE0"/>
    <w:rsid w:val="005F3DA1"/>
    <w:rsid w:val="005F4023"/>
    <w:rsid w:val="005F4050"/>
    <w:rsid w:val="005F4A8F"/>
    <w:rsid w:val="005F62DA"/>
    <w:rsid w:val="005F6A3F"/>
    <w:rsid w:val="005F6B4D"/>
    <w:rsid w:val="005F6BD4"/>
    <w:rsid w:val="006009A8"/>
    <w:rsid w:val="0060240B"/>
    <w:rsid w:val="00602E1C"/>
    <w:rsid w:val="00603E0D"/>
    <w:rsid w:val="006042FB"/>
    <w:rsid w:val="00605167"/>
    <w:rsid w:val="00605A47"/>
    <w:rsid w:val="0061028F"/>
    <w:rsid w:val="006103DE"/>
    <w:rsid w:val="00612B94"/>
    <w:rsid w:val="00614C3F"/>
    <w:rsid w:val="00614E2E"/>
    <w:rsid w:val="00617567"/>
    <w:rsid w:val="006178A9"/>
    <w:rsid w:val="00620279"/>
    <w:rsid w:val="006209AE"/>
    <w:rsid w:val="00622A3D"/>
    <w:rsid w:val="00623FCF"/>
    <w:rsid w:val="0062410A"/>
    <w:rsid w:val="006250AC"/>
    <w:rsid w:val="00625526"/>
    <w:rsid w:val="00625F25"/>
    <w:rsid w:val="006262DD"/>
    <w:rsid w:val="0062659F"/>
    <w:rsid w:val="00627294"/>
    <w:rsid w:val="006300F6"/>
    <w:rsid w:val="0063031D"/>
    <w:rsid w:val="006336A2"/>
    <w:rsid w:val="00634988"/>
    <w:rsid w:val="00635CEE"/>
    <w:rsid w:val="0063689E"/>
    <w:rsid w:val="006369C5"/>
    <w:rsid w:val="00636A69"/>
    <w:rsid w:val="00642A4F"/>
    <w:rsid w:val="00642B54"/>
    <w:rsid w:val="00642BCB"/>
    <w:rsid w:val="00643561"/>
    <w:rsid w:val="006449F4"/>
    <w:rsid w:val="006451C6"/>
    <w:rsid w:val="00647159"/>
    <w:rsid w:val="00650CC1"/>
    <w:rsid w:val="00651A4B"/>
    <w:rsid w:val="0065203D"/>
    <w:rsid w:val="006521F5"/>
    <w:rsid w:val="00652340"/>
    <w:rsid w:val="00652668"/>
    <w:rsid w:val="006531EA"/>
    <w:rsid w:val="00654199"/>
    <w:rsid w:val="006562F8"/>
    <w:rsid w:val="00657578"/>
    <w:rsid w:val="006600C5"/>
    <w:rsid w:val="006620AE"/>
    <w:rsid w:val="00662185"/>
    <w:rsid w:val="00662D8E"/>
    <w:rsid w:val="00663564"/>
    <w:rsid w:val="00664B7F"/>
    <w:rsid w:val="0066652F"/>
    <w:rsid w:val="0066774C"/>
    <w:rsid w:val="00670065"/>
    <w:rsid w:val="006712DB"/>
    <w:rsid w:val="00673153"/>
    <w:rsid w:val="0067456A"/>
    <w:rsid w:val="006754AD"/>
    <w:rsid w:val="006766A6"/>
    <w:rsid w:val="00676D51"/>
    <w:rsid w:val="00676F37"/>
    <w:rsid w:val="00677619"/>
    <w:rsid w:val="00681482"/>
    <w:rsid w:val="006827FA"/>
    <w:rsid w:val="00683CAE"/>
    <w:rsid w:val="006846D0"/>
    <w:rsid w:val="006849C2"/>
    <w:rsid w:val="00685509"/>
    <w:rsid w:val="006907E4"/>
    <w:rsid w:val="00690EE9"/>
    <w:rsid w:val="00692252"/>
    <w:rsid w:val="006929D8"/>
    <w:rsid w:val="0069355E"/>
    <w:rsid w:val="006945C5"/>
    <w:rsid w:val="00695D43"/>
    <w:rsid w:val="00696F9A"/>
    <w:rsid w:val="006A0144"/>
    <w:rsid w:val="006A15CB"/>
    <w:rsid w:val="006A16DC"/>
    <w:rsid w:val="006A1751"/>
    <w:rsid w:val="006A3BB7"/>
    <w:rsid w:val="006A3CD3"/>
    <w:rsid w:val="006A43E1"/>
    <w:rsid w:val="006A4604"/>
    <w:rsid w:val="006A54D4"/>
    <w:rsid w:val="006A73AD"/>
    <w:rsid w:val="006B0367"/>
    <w:rsid w:val="006B06D3"/>
    <w:rsid w:val="006B0E96"/>
    <w:rsid w:val="006B127B"/>
    <w:rsid w:val="006B23EC"/>
    <w:rsid w:val="006B3397"/>
    <w:rsid w:val="006B3410"/>
    <w:rsid w:val="006B5702"/>
    <w:rsid w:val="006B59A3"/>
    <w:rsid w:val="006B5A52"/>
    <w:rsid w:val="006B7908"/>
    <w:rsid w:val="006B795E"/>
    <w:rsid w:val="006C07F5"/>
    <w:rsid w:val="006C0D79"/>
    <w:rsid w:val="006C1129"/>
    <w:rsid w:val="006C2342"/>
    <w:rsid w:val="006C4029"/>
    <w:rsid w:val="006C40FB"/>
    <w:rsid w:val="006C4F81"/>
    <w:rsid w:val="006C5D65"/>
    <w:rsid w:val="006C63DD"/>
    <w:rsid w:val="006C6A71"/>
    <w:rsid w:val="006D0E60"/>
    <w:rsid w:val="006D0F37"/>
    <w:rsid w:val="006D1395"/>
    <w:rsid w:val="006D1E98"/>
    <w:rsid w:val="006D30A9"/>
    <w:rsid w:val="006D3A6D"/>
    <w:rsid w:val="006D6237"/>
    <w:rsid w:val="006D6EB7"/>
    <w:rsid w:val="006D703E"/>
    <w:rsid w:val="006D71FA"/>
    <w:rsid w:val="006D7498"/>
    <w:rsid w:val="006D7C90"/>
    <w:rsid w:val="006E05C3"/>
    <w:rsid w:val="006E09D3"/>
    <w:rsid w:val="006E0EC5"/>
    <w:rsid w:val="006E1153"/>
    <w:rsid w:val="006E1F29"/>
    <w:rsid w:val="006E2482"/>
    <w:rsid w:val="006E3009"/>
    <w:rsid w:val="006E36ED"/>
    <w:rsid w:val="006E3758"/>
    <w:rsid w:val="006E3963"/>
    <w:rsid w:val="006E4C4F"/>
    <w:rsid w:val="006E4EF9"/>
    <w:rsid w:val="006E583B"/>
    <w:rsid w:val="006E7338"/>
    <w:rsid w:val="006E7450"/>
    <w:rsid w:val="006E77F5"/>
    <w:rsid w:val="006F01DC"/>
    <w:rsid w:val="006F154E"/>
    <w:rsid w:val="006F27B0"/>
    <w:rsid w:val="006F2978"/>
    <w:rsid w:val="006F48BD"/>
    <w:rsid w:val="006F4D1F"/>
    <w:rsid w:val="006F59DF"/>
    <w:rsid w:val="006F7503"/>
    <w:rsid w:val="007004D5"/>
    <w:rsid w:val="00701960"/>
    <w:rsid w:val="00701BFF"/>
    <w:rsid w:val="007052B6"/>
    <w:rsid w:val="007052E8"/>
    <w:rsid w:val="00710DDF"/>
    <w:rsid w:val="00711146"/>
    <w:rsid w:val="0071261D"/>
    <w:rsid w:val="00712E27"/>
    <w:rsid w:val="00713C89"/>
    <w:rsid w:val="00714228"/>
    <w:rsid w:val="00716BB8"/>
    <w:rsid w:val="00717F95"/>
    <w:rsid w:val="00720122"/>
    <w:rsid w:val="00720848"/>
    <w:rsid w:val="0072350D"/>
    <w:rsid w:val="00723E4A"/>
    <w:rsid w:val="00724898"/>
    <w:rsid w:val="0072515D"/>
    <w:rsid w:val="00725B19"/>
    <w:rsid w:val="00726064"/>
    <w:rsid w:val="0072612B"/>
    <w:rsid w:val="0072694F"/>
    <w:rsid w:val="007279C0"/>
    <w:rsid w:val="0073023E"/>
    <w:rsid w:val="00731B02"/>
    <w:rsid w:val="007322A7"/>
    <w:rsid w:val="00732FC6"/>
    <w:rsid w:val="00733FEA"/>
    <w:rsid w:val="00734573"/>
    <w:rsid w:val="00734E24"/>
    <w:rsid w:val="00736C34"/>
    <w:rsid w:val="00741905"/>
    <w:rsid w:val="007419FD"/>
    <w:rsid w:val="0074221F"/>
    <w:rsid w:val="00742929"/>
    <w:rsid w:val="007433D3"/>
    <w:rsid w:val="00744DC9"/>
    <w:rsid w:val="0074520F"/>
    <w:rsid w:val="0074545C"/>
    <w:rsid w:val="00745AA4"/>
    <w:rsid w:val="00745E24"/>
    <w:rsid w:val="00746771"/>
    <w:rsid w:val="00746AAA"/>
    <w:rsid w:val="00746E9A"/>
    <w:rsid w:val="00746F33"/>
    <w:rsid w:val="007474F1"/>
    <w:rsid w:val="00747CD8"/>
    <w:rsid w:val="00750FB6"/>
    <w:rsid w:val="0075134A"/>
    <w:rsid w:val="00751D71"/>
    <w:rsid w:val="007522B3"/>
    <w:rsid w:val="00752A00"/>
    <w:rsid w:val="007531CD"/>
    <w:rsid w:val="00753698"/>
    <w:rsid w:val="00753737"/>
    <w:rsid w:val="0076137B"/>
    <w:rsid w:val="00762112"/>
    <w:rsid w:val="0076326B"/>
    <w:rsid w:val="007647EA"/>
    <w:rsid w:val="007656C4"/>
    <w:rsid w:val="00765AFD"/>
    <w:rsid w:val="00765E0B"/>
    <w:rsid w:val="00767108"/>
    <w:rsid w:val="00767A96"/>
    <w:rsid w:val="00773CCA"/>
    <w:rsid w:val="00775717"/>
    <w:rsid w:val="0077611A"/>
    <w:rsid w:val="00776C33"/>
    <w:rsid w:val="0077732B"/>
    <w:rsid w:val="00780355"/>
    <w:rsid w:val="00781597"/>
    <w:rsid w:val="00781B7D"/>
    <w:rsid w:val="007828C4"/>
    <w:rsid w:val="00784F33"/>
    <w:rsid w:val="007856CF"/>
    <w:rsid w:val="0078626C"/>
    <w:rsid w:val="00786752"/>
    <w:rsid w:val="00786C3C"/>
    <w:rsid w:val="0078764B"/>
    <w:rsid w:val="00787BB9"/>
    <w:rsid w:val="00790546"/>
    <w:rsid w:val="00790C4C"/>
    <w:rsid w:val="00793942"/>
    <w:rsid w:val="00794AAB"/>
    <w:rsid w:val="00794C2F"/>
    <w:rsid w:val="00794DA7"/>
    <w:rsid w:val="00797256"/>
    <w:rsid w:val="00797327"/>
    <w:rsid w:val="00797A19"/>
    <w:rsid w:val="007A06CA"/>
    <w:rsid w:val="007A0B05"/>
    <w:rsid w:val="007A144B"/>
    <w:rsid w:val="007A1803"/>
    <w:rsid w:val="007A22EA"/>
    <w:rsid w:val="007A30BF"/>
    <w:rsid w:val="007A3118"/>
    <w:rsid w:val="007A329E"/>
    <w:rsid w:val="007A488F"/>
    <w:rsid w:val="007B0205"/>
    <w:rsid w:val="007B0D3E"/>
    <w:rsid w:val="007B1607"/>
    <w:rsid w:val="007B2444"/>
    <w:rsid w:val="007B2750"/>
    <w:rsid w:val="007B424B"/>
    <w:rsid w:val="007B4683"/>
    <w:rsid w:val="007B4B27"/>
    <w:rsid w:val="007B4D8F"/>
    <w:rsid w:val="007B66E3"/>
    <w:rsid w:val="007B6C0B"/>
    <w:rsid w:val="007C07C3"/>
    <w:rsid w:val="007C17C9"/>
    <w:rsid w:val="007C2F2E"/>
    <w:rsid w:val="007C36EE"/>
    <w:rsid w:val="007C5500"/>
    <w:rsid w:val="007C62EF"/>
    <w:rsid w:val="007C6BE5"/>
    <w:rsid w:val="007C6F76"/>
    <w:rsid w:val="007C778D"/>
    <w:rsid w:val="007D0570"/>
    <w:rsid w:val="007D0678"/>
    <w:rsid w:val="007D10B3"/>
    <w:rsid w:val="007D1CB2"/>
    <w:rsid w:val="007D2568"/>
    <w:rsid w:val="007D35EE"/>
    <w:rsid w:val="007D3B59"/>
    <w:rsid w:val="007D4984"/>
    <w:rsid w:val="007D5128"/>
    <w:rsid w:val="007D5468"/>
    <w:rsid w:val="007D54EB"/>
    <w:rsid w:val="007D557C"/>
    <w:rsid w:val="007D5932"/>
    <w:rsid w:val="007D5A89"/>
    <w:rsid w:val="007D6D1C"/>
    <w:rsid w:val="007E0E46"/>
    <w:rsid w:val="007E272A"/>
    <w:rsid w:val="007E2D9F"/>
    <w:rsid w:val="007E311C"/>
    <w:rsid w:val="007E4146"/>
    <w:rsid w:val="007E4C8D"/>
    <w:rsid w:val="007E5AA0"/>
    <w:rsid w:val="007E6106"/>
    <w:rsid w:val="007F2C4B"/>
    <w:rsid w:val="007F3FC3"/>
    <w:rsid w:val="007F70A2"/>
    <w:rsid w:val="007F75FC"/>
    <w:rsid w:val="008007FD"/>
    <w:rsid w:val="00801671"/>
    <w:rsid w:val="00802C27"/>
    <w:rsid w:val="00802E56"/>
    <w:rsid w:val="00802FF6"/>
    <w:rsid w:val="00805000"/>
    <w:rsid w:val="00805B76"/>
    <w:rsid w:val="008070AD"/>
    <w:rsid w:val="008114DC"/>
    <w:rsid w:val="00811508"/>
    <w:rsid w:val="008128B5"/>
    <w:rsid w:val="00812FDE"/>
    <w:rsid w:val="0081393B"/>
    <w:rsid w:val="00813A6C"/>
    <w:rsid w:val="00814F0C"/>
    <w:rsid w:val="0081553F"/>
    <w:rsid w:val="00816434"/>
    <w:rsid w:val="00816C7A"/>
    <w:rsid w:val="00821B69"/>
    <w:rsid w:val="00821C82"/>
    <w:rsid w:val="00826E3F"/>
    <w:rsid w:val="00827566"/>
    <w:rsid w:val="008308ED"/>
    <w:rsid w:val="00830D1A"/>
    <w:rsid w:val="00830F7C"/>
    <w:rsid w:val="00832CC2"/>
    <w:rsid w:val="00833667"/>
    <w:rsid w:val="00833E9B"/>
    <w:rsid w:val="008341F4"/>
    <w:rsid w:val="0083443B"/>
    <w:rsid w:val="00834E7C"/>
    <w:rsid w:val="00835950"/>
    <w:rsid w:val="00836A84"/>
    <w:rsid w:val="00836B82"/>
    <w:rsid w:val="0083784C"/>
    <w:rsid w:val="008403C1"/>
    <w:rsid w:val="008428AF"/>
    <w:rsid w:val="00842CD0"/>
    <w:rsid w:val="008441F5"/>
    <w:rsid w:val="00844FEB"/>
    <w:rsid w:val="008453DF"/>
    <w:rsid w:val="00846048"/>
    <w:rsid w:val="00847346"/>
    <w:rsid w:val="0085153A"/>
    <w:rsid w:val="00852E28"/>
    <w:rsid w:val="008531F5"/>
    <w:rsid w:val="008542B9"/>
    <w:rsid w:val="00854489"/>
    <w:rsid w:val="00855F81"/>
    <w:rsid w:val="008562BA"/>
    <w:rsid w:val="008572F5"/>
    <w:rsid w:val="0085735A"/>
    <w:rsid w:val="0086021B"/>
    <w:rsid w:val="00860753"/>
    <w:rsid w:val="0086080F"/>
    <w:rsid w:val="0086150A"/>
    <w:rsid w:val="00861B5F"/>
    <w:rsid w:val="00862D69"/>
    <w:rsid w:val="008644A7"/>
    <w:rsid w:val="0086479A"/>
    <w:rsid w:val="00864CF8"/>
    <w:rsid w:val="00865755"/>
    <w:rsid w:val="00866A8D"/>
    <w:rsid w:val="00867628"/>
    <w:rsid w:val="00871C98"/>
    <w:rsid w:val="008722EA"/>
    <w:rsid w:val="0087368C"/>
    <w:rsid w:val="0087474E"/>
    <w:rsid w:val="00874A87"/>
    <w:rsid w:val="00874CBB"/>
    <w:rsid w:val="0087573A"/>
    <w:rsid w:val="00876A62"/>
    <w:rsid w:val="008807BC"/>
    <w:rsid w:val="008808F5"/>
    <w:rsid w:val="00881A1F"/>
    <w:rsid w:val="00883813"/>
    <w:rsid w:val="008842A4"/>
    <w:rsid w:val="008852BF"/>
    <w:rsid w:val="00885712"/>
    <w:rsid w:val="0088701D"/>
    <w:rsid w:val="008908FE"/>
    <w:rsid w:val="008932AE"/>
    <w:rsid w:val="00893916"/>
    <w:rsid w:val="00893CF5"/>
    <w:rsid w:val="00894596"/>
    <w:rsid w:val="008945CD"/>
    <w:rsid w:val="00895FF7"/>
    <w:rsid w:val="008971AD"/>
    <w:rsid w:val="008A1017"/>
    <w:rsid w:val="008A2B22"/>
    <w:rsid w:val="008A34AD"/>
    <w:rsid w:val="008A43DE"/>
    <w:rsid w:val="008A45AE"/>
    <w:rsid w:val="008A4863"/>
    <w:rsid w:val="008A4FC7"/>
    <w:rsid w:val="008A5241"/>
    <w:rsid w:val="008A5B22"/>
    <w:rsid w:val="008A6345"/>
    <w:rsid w:val="008A7AD8"/>
    <w:rsid w:val="008B1F5D"/>
    <w:rsid w:val="008B2348"/>
    <w:rsid w:val="008B2FF6"/>
    <w:rsid w:val="008B4F30"/>
    <w:rsid w:val="008B5B99"/>
    <w:rsid w:val="008B5C15"/>
    <w:rsid w:val="008C0A60"/>
    <w:rsid w:val="008C2972"/>
    <w:rsid w:val="008C2D2F"/>
    <w:rsid w:val="008C35A8"/>
    <w:rsid w:val="008C41AF"/>
    <w:rsid w:val="008C4DE4"/>
    <w:rsid w:val="008C599C"/>
    <w:rsid w:val="008D061B"/>
    <w:rsid w:val="008D1346"/>
    <w:rsid w:val="008D1629"/>
    <w:rsid w:val="008D29D7"/>
    <w:rsid w:val="008D2A20"/>
    <w:rsid w:val="008D4A1A"/>
    <w:rsid w:val="008D5091"/>
    <w:rsid w:val="008D6513"/>
    <w:rsid w:val="008D678B"/>
    <w:rsid w:val="008D6D86"/>
    <w:rsid w:val="008D6F67"/>
    <w:rsid w:val="008D7C5E"/>
    <w:rsid w:val="008E0FB6"/>
    <w:rsid w:val="008E2A82"/>
    <w:rsid w:val="008E3502"/>
    <w:rsid w:val="008E36B8"/>
    <w:rsid w:val="008E544E"/>
    <w:rsid w:val="008E5D4A"/>
    <w:rsid w:val="008E5FA2"/>
    <w:rsid w:val="008E65DD"/>
    <w:rsid w:val="008E7217"/>
    <w:rsid w:val="008E7634"/>
    <w:rsid w:val="008F0AE5"/>
    <w:rsid w:val="008F27D5"/>
    <w:rsid w:val="008F2B80"/>
    <w:rsid w:val="008F300D"/>
    <w:rsid w:val="008F3952"/>
    <w:rsid w:val="008F40E4"/>
    <w:rsid w:val="008F6293"/>
    <w:rsid w:val="008F6398"/>
    <w:rsid w:val="009000F3"/>
    <w:rsid w:val="00901F7C"/>
    <w:rsid w:val="00902154"/>
    <w:rsid w:val="00902267"/>
    <w:rsid w:val="0090287F"/>
    <w:rsid w:val="00902BCC"/>
    <w:rsid w:val="00902FBE"/>
    <w:rsid w:val="009108DB"/>
    <w:rsid w:val="00910D9F"/>
    <w:rsid w:val="00910FFC"/>
    <w:rsid w:val="00911560"/>
    <w:rsid w:val="0091162B"/>
    <w:rsid w:val="0091179E"/>
    <w:rsid w:val="00914059"/>
    <w:rsid w:val="00915112"/>
    <w:rsid w:val="009158B0"/>
    <w:rsid w:val="009175DE"/>
    <w:rsid w:val="0092048F"/>
    <w:rsid w:val="00920719"/>
    <w:rsid w:val="009220AC"/>
    <w:rsid w:val="009224AB"/>
    <w:rsid w:val="00923384"/>
    <w:rsid w:val="00923D53"/>
    <w:rsid w:val="00924B5C"/>
    <w:rsid w:val="00926E92"/>
    <w:rsid w:val="00926F33"/>
    <w:rsid w:val="00927A71"/>
    <w:rsid w:val="00930391"/>
    <w:rsid w:val="0093372A"/>
    <w:rsid w:val="0093381A"/>
    <w:rsid w:val="00933B39"/>
    <w:rsid w:val="00935700"/>
    <w:rsid w:val="00935BCE"/>
    <w:rsid w:val="00936878"/>
    <w:rsid w:val="009370BD"/>
    <w:rsid w:val="00937965"/>
    <w:rsid w:val="00940F1F"/>
    <w:rsid w:val="009417CD"/>
    <w:rsid w:val="0094226C"/>
    <w:rsid w:val="00942AFD"/>
    <w:rsid w:val="009434F2"/>
    <w:rsid w:val="009440E4"/>
    <w:rsid w:val="00944F04"/>
    <w:rsid w:val="00946367"/>
    <w:rsid w:val="00946F61"/>
    <w:rsid w:val="00947084"/>
    <w:rsid w:val="00947963"/>
    <w:rsid w:val="00947F57"/>
    <w:rsid w:val="00950FDD"/>
    <w:rsid w:val="00951482"/>
    <w:rsid w:val="00953FD8"/>
    <w:rsid w:val="00954FEE"/>
    <w:rsid w:val="00955771"/>
    <w:rsid w:val="00956522"/>
    <w:rsid w:val="009579B9"/>
    <w:rsid w:val="00957A42"/>
    <w:rsid w:val="00957DE1"/>
    <w:rsid w:val="0096077F"/>
    <w:rsid w:val="00962F33"/>
    <w:rsid w:val="00963B7F"/>
    <w:rsid w:val="00963E7D"/>
    <w:rsid w:val="00965603"/>
    <w:rsid w:val="00966045"/>
    <w:rsid w:val="0096667F"/>
    <w:rsid w:val="00966896"/>
    <w:rsid w:val="0097007A"/>
    <w:rsid w:val="009711E8"/>
    <w:rsid w:val="00973820"/>
    <w:rsid w:val="00974454"/>
    <w:rsid w:val="0097497A"/>
    <w:rsid w:val="0097517C"/>
    <w:rsid w:val="00975A43"/>
    <w:rsid w:val="00977C1D"/>
    <w:rsid w:val="00977D0D"/>
    <w:rsid w:val="00980558"/>
    <w:rsid w:val="00980D23"/>
    <w:rsid w:val="009811A1"/>
    <w:rsid w:val="00981456"/>
    <w:rsid w:val="00982A09"/>
    <w:rsid w:val="009833F1"/>
    <w:rsid w:val="009846D5"/>
    <w:rsid w:val="009853D5"/>
    <w:rsid w:val="0098714D"/>
    <w:rsid w:val="009900D1"/>
    <w:rsid w:val="0099053F"/>
    <w:rsid w:val="00990764"/>
    <w:rsid w:val="0099177F"/>
    <w:rsid w:val="00991959"/>
    <w:rsid w:val="00991DC9"/>
    <w:rsid w:val="00992E15"/>
    <w:rsid w:val="00996091"/>
    <w:rsid w:val="0099680C"/>
    <w:rsid w:val="00997083"/>
    <w:rsid w:val="009A2996"/>
    <w:rsid w:val="009A2E97"/>
    <w:rsid w:val="009A2F81"/>
    <w:rsid w:val="009A335E"/>
    <w:rsid w:val="009A363E"/>
    <w:rsid w:val="009A45A5"/>
    <w:rsid w:val="009A4671"/>
    <w:rsid w:val="009A6884"/>
    <w:rsid w:val="009A70E4"/>
    <w:rsid w:val="009A7716"/>
    <w:rsid w:val="009A7CE1"/>
    <w:rsid w:val="009B0293"/>
    <w:rsid w:val="009B031D"/>
    <w:rsid w:val="009B0816"/>
    <w:rsid w:val="009B0EBD"/>
    <w:rsid w:val="009B108B"/>
    <w:rsid w:val="009B13B8"/>
    <w:rsid w:val="009B149C"/>
    <w:rsid w:val="009B2CA3"/>
    <w:rsid w:val="009B3741"/>
    <w:rsid w:val="009B66DF"/>
    <w:rsid w:val="009B6973"/>
    <w:rsid w:val="009B6F15"/>
    <w:rsid w:val="009B79C1"/>
    <w:rsid w:val="009B7F58"/>
    <w:rsid w:val="009C00A5"/>
    <w:rsid w:val="009C0403"/>
    <w:rsid w:val="009C44AF"/>
    <w:rsid w:val="009C4930"/>
    <w:rsid w:val="009C516D"/>
    <w:rsid w:val="009C547B"/>
    <w:rsid w:val="009C578D"/>
    <w:rsid w:val="009C5ADA"/>
    <w:rsid w:val="009C6DF2"/>
    <w:rsid w:val="009C6EC8"/>
    <w:rsid w:val="009C7376"/>
    <w:rsid w:val="009D0B1C"/>
    <w:rsid w:val="009D10CD"/>
    <w:rsid w:val="009D185E"/>
    <w:rsid w:val="009D2570"/>
    <w:rsid w:val="009D2B3F"/>
    <w:rsid w:val="009D2DB2"/>
    <w:rsid w:val="009D41B6"/>
    <w:rsid w:val="009D7D34"/>
    <w:rsid w:val="009D7FBF"/>
    <w:rsid w:val="009E024A"/>
    <w:rsid w:val="009E1DED"/>
    <w:rsid w:val="009E34A4"/>
    <w:rsid w:val="009E535C"/>
    <w:rsid w:val="009E5B4D"/>
    <w:rsid w:val="009E6605"/>
    <w:rsid w:val="009E6E7D"/>
    <w:rsid w:val="009E6F04"/>
    <w:rsid w:val="009E79AC"/>
    <w:rsid w:val="009F1AAD"/>
    <w:rsid w:val="009F25BD"/>
    <w:rsid w:val="009F2C9A"/>
    <w:rsid w:val="009F4285"/>
    <w:rsid w:val="009F4430"/>
    <w:rsid w:val="009F5879"/>
    <w:rsid w:val="009F58FD"/>
    <w:rsid w:val="009F6CFA"/>
    <w:rsid w:val="009F7AE8"/>
    <w:rsid w:val="009F7DCC"/>
    <w:rsid w:val="009F7E40"/>
    <w:rsid w:val="00A018C6"/>
    <w:rsid w:val="00A020AA"/>
    <w:rsid w:val="00A02539"/>
    <w:rsid w:val="00A02D7F"/>
    <w:rsid w:val="00A02E16"/>
    <w:rsid w:val="00A04288"/>
    <w:rsid w:val="00A04852"/>
    <w:rsid w:val="00A0604A"/>
    <w:rsid w:val="00A079A0"/>
    <w:rsid w:val="00A1149D"/>
    <w:rsid w:val="00A1344F"/>
    <w:rsid w:val="00A14795"/>
    <w:rsid w:val="00A152FF"/>
    <w:rsid w:val="00A15798"/>
    <w:rsid w:val="00A15BCF"/>
    <w:rsid w:val="00A22104"/>
    <w:rsid w:val="00A235FE"/>
    <w:rsid w:val="00A241D8"/>
    <w:rsid w:val="00A24671"/>
    <w:rsid w:val="00A24926"/>
    <w:rsid w:val="00A25969"/>
    <w:rsid w:val="00A302C4"/>
    <w:rsid w:val="00A32EE7"/>
    <w:rsid w:val="00A330FA"/>
    <w:rsid w:val="00A335E0"/>
    <w:rsid w:val="00A359ED"/>
    <w:rsid w:val="00A35A19"/>
    <w:rsid w:val="00A3636E"/>
    <w:rsid w:val="00A363D1"/>
    <w:rsid w:val="00A36472"/>
    <w:rsid w:val="00A3657F"/>
    <w:rsid w:val="00A4084F"/>
    <w:rsid w:val="00A423B7"/>
    <w:rsid w:val="00A42B3A"/>
    <w:rsid w:val="00A42D38"/>
    <w:rsid w:val="00A43075"/>
    <w:rsid w:val="00A43A34"/>
    <w:rsid w:val="00A45E2E"/>
    <w:rsid w:val="00A46F40"/>
    <w:rsid w:val="00A47591"/>
    <w:rsid w:val="00A5159A"/>
    <w:rsid w:val="00A515F6"/>
    <w:rsid w:val="00A51B0D"/>
    <w:rsid w:val="00A51EC8"/>
    <w:rsid w:val="00A523D6"/>
    <w:rsid w:val="00A528C2"/>
    <w:rsid w:val="00A5330E"/>
    <w:rsid w:val="00A53D60"/>
    <w:rsid w:val="00A567DE"/>
    <w:rsid w:val="00A56C85"/>
    <w:rsid w:val="00A6053F"/>
    <w:rsid w:val="00A606D2"/>
    <w:rsid w:val="00A60C10"/>
    <w:rsid w:val="00A62256"/>
    <w:rsid w:val="00A62632"/>
    <w:rsid w:val="00A62F47"/>
    <w:rsid w:val="00A63EA4"/>
    <w:rsid w:val="00A64CE7"/>
    <w:rsid w:val="00A64E34"/>
    <w:rsid w:val="00A70CDD"/>
    <w:rsid w:val="00A71B84"/>
    <w:rsid w:val="00A75128"/>
    <w:rsid w:val="00A75289"/>
    <w:rsid w:val="00A8360B"/>
    <w:rsid w:val="00A83E3C"/>
    <w:rsid w:val="00A84FF0"/>
    <w:rsid w:val="00A85955"/>
    <w:rsid w:val="00A878D0"/>
    <w:rsid w:val="00A900FF"/>
    <w:rsid w:val="00A90D02"/>
    <w:rsid w:val="00A924C1"/>
    <w:rsid w:val="00A9385F"/>
    <w:rsid w:val="00A950A1"/>
    <w:rsid w:val="00A95C8F"/>
    <w:rsid w:val="00A96563"/>
    <w:rsid w:val="00A96B99"/>
    <w:rsid w:val="00AA04E9"/>
    <w:rsid w:val="00AA1EF2"/>
    <w:rsid w:val="00AA288F"/>
    <w:rsid w:val="00AA4933"/>
    <w:rsid w:val="00AA652E"/>
    <w:rsid w:val="00AA79FD"/>
    <w:rsid w:val="00AB2B40"/>
    <w:rsid w:val="00AB2E16"/>
    <w:rsid w:val="00AB42BE"/>
    <w:rsid w:val="00AB55EE"/>
    <w:rsid w:val="00AB6C8E"/>
    <w:rsid w:val="00AB729B"/>
    <w:rsid w:val="00AC05A7"/>
    <w:rsid w:val="00AC242B"/>
    <w:rsid w:val="00AC2C89"/>
    <w:rsid w:val="00AC3CC6"/>
    <w:rsid w:val="00AC3F9C"/>
    <w:rsid w:val="00AC4475"/>
    <w:rsid w:val="00AC4C2A"/>
    <w:rsid w:val="00AC4D67"/>
    <w:rsid w:val="00AC7C9C"/>
    <w:rsid w:val="00AD048A"/>
    <w:rsid w:val="00AD3C0A"/>
    <w:rsid w:val="00AD4BF9"/>
    <w:rsid w:val="00AD5CAA"/>
    <w:rsid w:val="00AD5D8E"/>
    <w:rsid w:val="00AD6044"/>
    <w:rsid w:val="00AE0EE4"/>
    <w:rsid w:val="00AE42B6"/>
    <w:rsid w:val="00AE511E"/>
    <w:rsid w:val="00AE5356"/>
    <w:rsid w:val="00AE5421"/>
    <w:rsid w:val="00AE5E73"/>
    <w:rsid w:val="00AE6D63"/>
    <w:rsid w:val="00AE7069"/>
    <w:rsid w:val="00AF168A"/>
    <w:rsid w:val="00AF3CCD"/>
    <w:rsid w:val="00AF3E4A"/>
    <w:rsid w:val="00AF41A1"/>
    <w:rsid w:val="00AF5038"/>
    <w:rsid w:val="00AF52C5"/>
    <w:rsid w:val="00AF5433"/>
    <w:rsid w:val="00AF6B41"/>
    <w:rsid w:val="00B015A4"/>
    <w:rsid w:val="00B018F0"/>
    <w:rsid w:val="00B019E6"/>
    <w:rsid w:val="00B0369C"/>
    <w:rsid w:val="00B06B1F"/>
    <w:rsid w:val="00B07257"/>
    <w:rsid w:val="00B07C5D"/>
    <w:rsid w:val="00B104B9"/>
    <w:rsid w:val="00B13DB2"/>
    <w:rsid w:val="00B15CB7"/>
    <w:rsid w:val="00B16046"/>
    <w:rsid w:val="00B20212"/>
    <w:rsid w:val="00B202FB"/>
    <w:rsid w:val="00B211D3"/>
    <w:rsid w:val="00B218C3"/>
    <w:rsid w:val="00B2344F"/>
    <w:rsid w:val="00B23A3E"/>
    <w:rsid w:val="00B24228"/>
    <w:rsid w:val="00B24741"/>
    <w:rsid w:val="00B254AC"/>
    <w:rsid w:val="00B2573A"/>
    <w:rsid w:val="00B25932"/>
    <w:rsid w:val="00B25AB1"/>
    <w:rsid w:val="00B26816"/>
    <w:rsid w:val="00B27C8F"/>
    <w:rsid w:val="00B27E5C"/>
    <w:rsid w:val="00B304FD"/>
    <w:rsid w:val="00B31034"/>
    <w:rsid w:val="00B313D4"/>
    <w:rsid w:val="00B333B6"/>
    <w:rsid w:val="00B33F7F"/>
    <w:rsid w:val="00B3400B"/>
    <w:rsid w:val="00B34245"/>
    <w:rsid w:val="00B348BE"/>
    <w:rsid w:val="00B34D88"/>
    <w:rsid w:val="00B35394"/>
    <w:rsid w:val="00B3732D"/>
    <w:rsid w:val="00B4060C"/>
    <w:rsid w:val="00B41944"/>
    <w:rsid w:val="00B419E6"/>
    <w:rsid w:val="00B41ABE"/>
    <w:rsid w:val="00B41E76"/>
    <w:rsid w:val="00B42324"/>
    <w:rsid w:val="00B42595"/>
    <w:rsid w:val="00B42980"/>
    <w:rsid w:val="00B43CC5"/>
    <w:rsid w:val="00B43D35"/>
    <w:rsid w:val="00B45235"/>
    <w:rsid w:val="00B4678D"/>
    <w:rsid w:val="00B4734C"/>
    <w:rsid w:val="00B47E59"/>
    <w:rsid w:val="00B50A2E"/>
    <w:rsid w:val="00B53A4D"/>
    <w:rsid w:val="00B53C8B"/>
    <w:rsid w:val="00B579E2"/>
    <w:rsid w:val="00B6096E"/>
    <w:rsid w:val="00B61112"/>
    <w:rsid w:val="00B6113B"/>
    <w:rsid w:val="00B64415"/>
    <w:rsid w:val="00B6454C"/>
    <w:rsid w:val="00B704ED"/>
    <w:rsid w:val="00B72124"/>
    <w:rsid w:val="00B731A4"/>
    <w:rsid w:val="00B73A0C"/>
    <w:rsid w:val="00B74160"/>
    <w:rsid w:val="00B74CF5"/>
    <w:rsid w:val="00B75747"/>
    <w:rsid w:val="00B77583"/>
    <w:rsid w:val="00B77847"/>
    <w:rsid w:val="00B77ED7"/>
    <w:rsid w:val="00B77FF6"/>
    <w:rsid w:val="00B80CFC"/>
    <w:rsid w:val="00B81536"/>
    <w:rsid w:val="00B81872"/>
    <w:rsid w:val="00B828FB"/>
    <w:rsid w:val="00B83AA2"/>
    <w:rsid w:val="00B8524E"/>
    <w:rsid w:val="00B85807"/>
    <w:rsid w:val="00B86292"/>
    <w:rsid w:val="00B90008"/>
    <w:rsid w:val="00B91AC1"/>
    <w:rsid w:val="00B953A9"/>
    <w:rsid w:val="00B960D7"/>
    <w:rsid w:val="00B97B79"/>
    <w:rsid w:val="00BA177A"/>
    <w:rsid w:val="00BA1DA4"/>
    <w:rsid w:val="00BA1E87"/>
    <w:rsid w:val="00BA2A53"/>
    <w:rsid w:val="00BA2BD7"/>
    <w:rsid w:val="00BA4368"/>
    <w:rsid w:val="00BA5186"/>
    <w:rsid w:val="00BA5C98"/>
    <w:rsid w:val="00BA668B"/>
    <w:rsid w:val="00BA6EAD"/>
    <w:rsid w:val="00BB15AE"/>
    <w:rsid w:val="00BB1613"/>
    <w:rsid w:val="00BB2218"/>
    <w:rsid w:val="00BB397D"/>
    <w:rsid w:val="00BB5112"/>
    <w:rsid w:val="00BC04C0"/>
    <w:rsid w:val="00BC1F7C"/>
    <w:rsid w:val="00BC3DD1"/>
    <w:rsid w:val="00BC55FB"/>
    <w:rsid w:val="00BC6BDB"/>
    <w:rsid w:val="00BC7038"/>
    <w:rsid w:val="00BC70F0"/>
    <w:rsid w:val="00BD034F"/>
    <w:rsid w:val="00BD2D2E"/>
    <w:rsid w:val="00BD3EF9"/>
    <w:rsid w:val="00BD5848"/>
    <w:rsid w:val="00BD71C2"/>
    <w:rsid w:val="00BE0C95"/>
    <w:rsid w:val="00BE50A4"/>
    <w:rsid w:val="00BE63DF"/>
    <w:rsid w:val="00BE74F3"/>
    <w:rsid w:val="00BE7C11"/>
    <w:rsid w:val="00BF00A2"/>
    <w:rsid w:val="00BF0FC2"/>
    <w:rsid w:val="00BF2E0A"/>
    <w:rsid w:val="00BF3B02"/>
    <w:rsid w:val="00BF3C2F"/>
    <w:rsid w:val="00BF44CC"/>
    <w:rsid w:val="00BF455C"/>
    <w:rsid w:val="00BF4920"/>
    <w:rsid w:val="00BF4F8C"/>
    <w:rsid w:val="00BF55AD"/>
    <w:rsid w:val="00BF5E3B"/>
    <w:rsid w:val="00BF7DA6"/>
    <w:rsid w:val="00C008FD"/>
    <w:rsid w:val="00C00EB4"/>
    <w:rsid w:val="00C01466"/>
    <w:rsid w:val="00C02617"/>
    <w:rsid w:val="00C02728"/>
    <w:rsid w:val="00C0299C"/>
    <w:rsid w:val="00C029E9"/>
    <w:rsid w:val="00C02E38"/>
    <w:rsid w:val="00C03008"/>
    <w:rsid w:val="00C03200"/>
    <w:rsid w:val="00C0416A"/>
    <w:rsid w:val="00C04675"/>
    <w:rsid w:val="00C048B3"/>
    <w:rsid w:val="00C0516E"/>
    <w:rsid w:val="00C0518F"/>
    <w:rsid w:val="00C054CC"/>
    <w:rsid w:val="00C05536"/>
    <w:rsid w:val="00C0555D"/>
    <w:rsid w:val="00C0591A"/>
    <w:rsid w:val="00C062FB"/>
    <w:rsid w:val="00C06EDF"/>
    <w:rsid w:val="00C1012F"/>
    <w:rsid w:val="00C10D28"/>
    <w:rsid w:val="00C160FA"/>
    <w:rsid w:val="00C21225"/>
    <w:rsid w:val="00C2179A"/>
    <w:rsid w:val="00C22A62"/>
    <w:rsid w:val="00C24567"/>
    <w:rsid w:val="00C24B92"/>
    <w:rsid w:val="00C276D5"/>
    <w:rsid w:val="00C306AC"/>
    <w:rsid w:val="00C31BF4"/>
    <w:rsid w:val="00C31F02"/>
    <w:rsid w:val="00C32936"/>
    <w:rsid w:val="00C33C94"/>
    <w:rsid w:val="00C36435"/>
    <w:rsid w:val="00C36D35"/>
    <w:rsid w:val="00C40312"/>
    <w:rsid w:val="00C41159"/>
    <w:rsid w:val="00C41285"/>
    <w:rsid w:val="00C420D0"/>
    <w:rsid w:val="00C4272B"/>
    <w:rsid w:val="00C4345B"/>
    <w:rsid w:val="00C444A6"/>
    <w:rsid w:val="00C452B9"/>
    <w:rsid w:val="00C458F0"/>
    <w:rsid w:val="00C464ED"/>
    <w:rsid w:val="00C47A6A"/>
    <w:rsid w:val="00C500F8"/>
    <w:rsid w:val="00C52513"/>
    <w:rsid w:val="00C5276C"/>
    <w:rsid w:val="00C527E6"/>
    <w:rsid w:val="00C5359C"/>
    <w:rsid w:val="00C54D90"/>
    <w:rsid w:val="00C568F4"/>
    <w:rsid w:val="00C61C02"/>
    <w:rsid w:val="00C628E2"/>
    <w:rsid w:val="00C62D9E"/>
    <w:rsid w:val="00C6323A"/>
    <w:rsid w:val="00C63A37"/>
    <w:rsid w:val="00C64B97"/>
    <w:rsid w:val="00C70BA1"/>
    <w:rsid w:val="00C73F29"/>
    <w:rsid w:val="00C74BCA"/>
    <w:rsid w:val="00C75235"/>
    <w:rsid w:val="00C76670"/>
    <w:rsid w:val="00C76A9D"/>
    <w:rsid w:val="00C77591"/>
    <w:rsid w:val="00C77E9C"/>
    <w:rsid w:val="00C81E2D"/>
    <w:rsid w:val="00C847D9"/>
    <w:rsid w:val="00C8554F"/>
    <w:rsid w:val="00C85917"/>
    <w:rsid w:val="00C87556"/>
    <w:rsid w:val="00C9020B"/>
    <w:rsid w:val="00C902AF"/>
    <w:rsid w:val="00C91819"/>
    <w:rsid w:val="00C930FB"/>
    <w:rsid w:val="00C93E24"/>
    <w:rsid w:val="00C94DCB"/>
    <w:rsid w:val="00C95568"/>
    <w:rsid w:val="00C95BA1"/>
    <w:rsid w:val="00C9705D"/>
    <w:rsid w:val="00C9784D"/>
    <w:rsid w:val="00C97FD4"/>
    <w:rsid w:val="00CA009F"/>
    <w:rsid w:val="00CA06A4"/>
    <w:rsid w:val="00CA207B"/>
    <w:rsid w:val="00CA2F7B"/>
    <w:rsid w:val="00CA43C6"/>
    <w:rsid w:val="00CA4C88"/>
    <w:rsid w:val="00CA5A8E"/>
    <w:rsid w:val="00CA5AD3"/>
    <w:rsid w:val="00CA5B9F"/>
    <w:rsid w:val="00CA6D1A"/>
    <w:rsid w:val="00CA6E89"/>
    <w:rsid w:val="00CA6FF4"/>
    <w:rsid w:val="00CB19BA"/>
    <w:rsid w:val="00CB1B6B"/>
    <w:rsid w:val="00CB1C05"/>
    <w:rsid w:val="00CB1FD9"/>
    <w:rsid w:val="00CB245F"/>
    <w:rsid w:val="00CB2F21"/>
    <w:rsid w:val="00CB3441"/>
    <w:rsid w:val="00CB351E"/>
    <w:rsid w:val="00CB44A7"/>
    <w:rsid w:val="00CB6989"/>
    <w:rsid w:val="00CB6E39"/>
    <w:rsid w:val="00CB74E8"/>
    <w:rsid w:val="00CB78BC"/>
    <w:rsid w:val="00CB7DF7"/>
    <w:rsid w:val="00CC001A"/>
    <w:rsid w:val="00CC5877"/>
    <w:rsid w:val="00CC5B23"/>
    <w:rsid w:val="00CC6BF4"/>
    <w:rsid w:val="00CC780B"/>
    <w:rsid w:val="00CD01C9"/>
    <w:rsid w:val="00CD11F1"/>
    <w:rsid w:val="00CD1B0C"/>
    <w:rsid w:val="00CD1C56"/>
    <w:rsid w:val="00CD2629"/>
    <w:rsid w:val="00CD527A"/>
    <w:rsid w:val="00CD5807"/>
    <w:rsid w:val="00CD5BD0"/>
    <w:rsid w:val="00CD5EF8"/>
    <w:rsid w:val="00CD65E8"/>
    <w:rsid w:val="00CD7821"/>
    <w:rsid w:val="00CD7A2D"/>
    <w:rsid w:val="00CE06DC"/>
    <w:rsid w:val="00CE0929"/>
    <w:rsid w:val="00CE100F"/>
    <w:rsid w:val="00CE1E70"/>
    <w:rsid w:val="00CE2D3A"/>
    <w:rsid w:val="00CE4032"/>
    <w:rsid w:val="00CE4853"/>
    <w:rsid w:val="00CE504E"/>
    <w:rsid w:val="00CE519C"/>
    <w:rsid w:val="00CE6613"/>
    <w:rsid w:val="00CE6FAB"/>
    <w:rsid w:val="00CE77E3"/>
    <w:rsid w:val="00CE7AF6"/>
    <w:rsid w:val="00CF1E3C"/>
    <w:rsid w:val="00CF1FDF"/>
    <w:rsid w:val="00CF207F"/>
    <w:rsid w:val="00CF509B"/>
    <w:rsid w:val="00CF6FA3"/>
    <w:rsid w:val="00CF75A4"/>
    <w:rsid w:val="00CF76DD"/>
    <w:rsid w:val="00D0104A"/>
    <w:rsid w:val="00D0197B"/>
    <w:rsid w:val="00D06242"/>
    <w:rsid w:val="00D10D2C"/>
    <w:rsid w:val="00D1151F"/>
    <w:rsid w:val="00D11CD7"/>
    <w:rsid w:val="00D123D9"/>
    <w:rsid w:val="00D128A4"/>
    <w:rsid w:val="00D13E8D"/>
    <w:rsid w:val="00D14D1F"/>
    <w:rsid w:val="00D151FF"/>
    <w:rsid w:val="00D15FFF"/>
    <w:rsid w:val="00D1608C"/>
    <w:rsid w:val="00D172A2"/>
    <w:rsid w:val="00D21A2A"/>
    <w:rsid w:val="00D235AF"/>
    <w:rsid w:val="00D23A75"/>
    <w:rsid w:val="00D24639"/>
    <w:rsid w:val="00D24B82"/>
    <w:rsid w:val="00D25697"/>
    <w:rsid w:val="00D26B7A"/>
    <w:rsid w:val="00D26C46"/>
    <w:rsid w:val="00D27832"/>
    <w:rsid w:val="00D27C97"/>
    <w:rsid w:val="00D30932"/>
    <w:rsid w:val="00D30C44"/>
    <w:rsid w:val="00D30D3A"/>
    <w:rsid w:val="00D31248"/>
    <w:rsid w:val="00D31755"/>
    <w:rsid w:val="00D32109"/>
    <w:rsid w:val="00D32AD0"/>
    <w:rsid w:val="00D32E30"/>
    <w:rsid w:val="00D33654"/>
    <w:rsid w:val="00D35C7F"/>
    <w:rsid w:val="00D3781C"/>
    <w:rsid w:val="00D40F51"/>
    <w:rsid w:val="00D41BF0"/>
    <w:rsid w:val="00D44B64"/>
    <w:rsid w:val="00D46490"/>
    <w:rsid w:val="00D47080"/>
    <w:rsid w:val="00D5060C"/>
    <w:rsid w:val="00D506F4"/>
    <w:rsid w:val="00D51F79"/>
    <w:rsid w:val="00D53D37"/>
    <w:rsid w:val="00D55A13"/>
    <w:rsid w:val="00D55AAE"/>
    <w:rsid w:val="00D56355"/>
    <w:rsid w:val="00D5664D"/>
    <w:rsid w:val="00D56C2C"/>
    <w:rsid w:val="00D5714F"/>
    <w:rsid w:val="00D57904"/>
    <w:rsid w:val="00D63922"/>
    <w:rsid w:val="00D6515F"/>
    <w:rsid w:val="00D71C24"/>
    <w:rsid w:val="00D72C04"/>
    <w:rsid w:val="00D73679"/>
    <w:rsid w:val="00D7388E"/>
    <w:rsid w:val="00D75A2B"/>
    <w:rsid w:val="00D75BC3"/>
    <w:rsid w:val="00D76A6B"/>
    <w:rsid w:val="00D77855"/>
    <w:rsid w:val="00D824B6"/>
    <w:rsid w:val="00D82C50"/>
    <w:rsid w:val="00D830FA"/>
    <w:rsid w:val="00D840CE"/>
    <w:rsid w:val="00D84BFC"/>
    <w:rsid w:val="00D86B90"/>
    <w:rsid w:val="00D86FA2"/>
    <w:rsid w:val="00D90EE5"/>
    <w:rsid w:val="00D93050"/>
    <w:rsid w:val="00D93D17"/>
    <w:rsid w:val="00D954E8"/>
    <w:rsid w:val="00D9618B"/>
    <w:rsid w:val="00D9620D"/>
    <w:rsid w:val="00D96663"/>
    <w:rsid w:val="00D9682A"/>
    <w:rsid w:val="00D96A46"/>
    <w:rsid w:val="00D96FB8"/>
    <w:rsid w:val="00D9701B"/>
    <w:rsid w:val="00D9748F"/>
    <w:rsid w:val="00DA027F"/>
    <w:rsid w:val="00DA0299"/>
    <w:rsid w:val="00DA0411"/>
    <w:rsid w:val="00DA0422"/>
    <w:rsid w:val="00DA0F7E"/>
    <w:rsid w:val="00DA10D6"/>
    <w:rsid w:val="00DA135F"/>
    <w:rsid w:val="00DA2C96"/>
    <w:rsid w:val="00DA38DF"/>
    <w:rsid w:val="00DA434B"/>
    <w:rsid w:val="00DA746F"/>
    <w:rsid w:val="00DB29A7"/>
    <w:rsid w:val="00DB2A32"/>
    <w:rsid w:val="00DB348E"/>
    <w:rsid w:val="00DB466E"/>
    <w:rsid w:val="00DB609A"/>
    <w:rsid w:val="00DB6EBF"/>
    <w:rsid w:val="00DC1DC1"/>
    <w:rsid w:val="00DC2B46"/>
    <w:rsid w:val="00DC5BBC"/>
    <w:rsid w:val="00DC67BD"/>
    <w:rsid w:val="00DC72D0"/>
    <w:rsid w:val="00DC7502"/>
    <w:rsid w:val="00DC7B98"/>
    <w:rsid w:val="00DD031F"/>
    <w:rsid w:val="00DD11E9"/>
    <w:rsid w:val="00DD3A39"/>
    <w:rsid w:val="00DD5038"/>
    <w:rsid w:val="00DD5401"/>
    <w:rsid w:val="00DD597C"/>
    <w:rsid w:val="00DD6671"/>
    <w:rsid w:val="00DD7FAA"/>
    <w:rsid w:val="00DD7FC5"/>
    <w:rsid w:val="00DE09ED"/>
    <w:rsid w:val="00DE24A2"/>
    <w:rsid w:val="00DE2957"/>
    <w:rsid w:val="00DE2C6C"/>
    <w:rsid w:val="00DE4861"/>
    <w:rsid w:val="00DE5109"/>
    <w:rsid w:val="00DE5677"/>
    <w:rsid w:val="00DE697F"/>
    <w:rsid w:val="00DE7333"/>
    <w:rsid w:val="00DE7365"/>
    <w:rsid w:val="00DF088C"/>
    <w:rsid w:val="00DF22F0"/>
    <w:rsid w:val="00DF5527"/>
    <w:rsid w:val="00DF6464"/>
    <w:rsid w:val="00E01107"/>
    <w:rsid w:val="00E01894"/>
    <w:rsid w:val="00E01A1A"/>
    <w:rsid w:val="00E01A21"/>
    <w:rsid w:val="00E066BA"/>
    <w:rsid w:val="00E10374"/>
    <w:rsid w:val="00E1053F"/>
    <w:rsid w:val="00E10667"/>
    <w:rsid w:val="00E110F2"/>
    <w:rsid w:val="00E1255A"/>
    <w:rsid w:val="00E12B48"/>
    <w:rsid w:val="00E133CA"/>
    <w:rsid w:val="00E16B06"/>
    <w:rsid w:val="00E17981"/>
    <w:rsid w:val="00E2242D"/>
    <w:rsid w:val="00E2263A"/>
    <w:rsid w:val="00E23C68"/>
    <w:rsid w:val="00E26904"/>
    <w:rsid w:val="00E273F2"/>
    <w:rsid w:val="00E27700"/>
    <w:rsid w:val="00E27E6F"/>
    <w:rsid w:val="00E3046C"/>
    <w:rsid w:val="00E320F0"/>
    <w:rsid w:val="00E32129"/>
    <w:rsid w:val="00E32AC0"/>
    <w:rsid w:val="00E330D8"/>
    <w:rsid w:val="00E3395A"/>
    <w:rsid w:val="00E33A10"/>
    <w:rsid w:val="00E351EC"/>
    <w:rsid w:val="00E35BF1"/>
    <w:rsid w:val="00E44ED6"/>
    <w:rsid w:val="00E454FA"/>
    <w:rsid w:val="00E45F7A"/>
    <w:rsid w:val="00E46033"/>
    <w:rsid w:val="00E46253"/>
    <w:rsid w:val="00E467FF"/>
    <w:rsid w:val="00E51394"/>
    <w:rsid w:val="00E51ED6"/>
    <w:rsid w:val="00E520B7"/>
    <w:rsid w:val="00E523AF"/>
    <w:rsid w:val="00E52649"/>
    <w:rsid w:val="00E53A9C"/>
    <w:rsid w:val="00E545A3"/>
    <w:rsid w:val="00E54977"/>
    <w:rsid w:val="00E55BA4"/>
    <w:rsid w:val="00E560C7"/>
    <w:rsid w:val="00E60915"/>
    <w:rsid w:val="00E61DE8"/>
    <w:rsid w:val="00E61F5D"/>
    <w:rsid w:val="00E62645"/>
    <w:rsid w:val="00E629DC"/>
    <w:rsid w:val="00E62CB9"/>
    <w:rsid w:val="00E65071"/>
    <w:rsid w:val="00E650AC"/>
    <w:rsid w:val="00E65DA3"/>
    <w:rsid w:val="00E65E4A"/>
    <w:rsid w:val="00E66483"/>
    <w:rsid w:val="00E66916"/>
    <w:rsid w:val="00E67359"/>
    <w:rsid w:val="00E676CD"/>
    <w:rsid w:val="00E677EF"/>
    <w:rsid w:val="00E67960"/>
    <w:rsid w:val="00E70DC2"/>
    <w:rsid w:val="00E71092"/>
    <w:rsid w:val="00E7129B"/>
    <w:rsid w:val="00E718AD"/>
    <w:rsid w:val="00E734E1"/>
    <w:rsid w:val="00E744A7"/>
    <w:rsid w:val="00E7669A"/>
    <w:rsid w:val="00E768CD"/>
    <w:rsid w:val="00E76AA8"/>
    <w:rsid w:val="00E82EAA"/>
    <w:rsid w:val="00E83059"/>
    <w:rsid w:val="00E832E2"/>
    <w:rsid w:val="00E844CC"/>
    <w:rsid w:val="00E905B1"/>
    <w:rsid w:val="00E915ED"/>
    <w:rsid w:val="00E918A5"/>
    <w:rsid w:val="00E91982"/>
    <w:rsid w:val="00E931F7"/>
    <w:rsid w:val="00E96362"/>
    <w:rsid w:val="00E97357"/>
    <w:rsid w:val="00E97358"/>
    <w:rsid w:val="00E97F54"/>
    <w:rsid w:val="00EA25E9"/>
    <w:rsid w:val="00EA764D"/>
    <w:rsid w:val="00EA7BA4"/>
    <w:rsid w:val="00EA7C24"/>
    <w:rsid w:val="00EB1EF8"/>
    <w:rsid w:val="00EB31A9"/>
    <w:rsid w:val="00EB36C4"/>
    <w:rsid w:val="00EB3AEC"/>
    <w:rsid w:val="00EB454A"/>
    <w:rsid w:val="00EB483E"/>
    <w:rsid w:val="00EB567E"/>
    <w:rsid w:val="00EB677E"/>
    <w:rsid w:val="00EB6CF2"/>
    <w:rsid w:val="00EB6FB7"/>
    <w:rsid w:val="00EB7500"/>
    <w:rsid w:val="00EB7F3B"/>
    <w:rsid w:val="00EC0CEA"/>
    <w:rsid w:val="00EC1C13"/>
    <w:rsid w:val="00EC38DA"/>
    <w:rsid w:val="00EC3CD1"/>
    <w:rsid w:val="00EC42A3"/>
    <w:rsid w:val="00EC43A0"/>
    <w:rsid w:val="00EC452E"/>
    <w:rsid w:val="00EC5AFD"/>
    <w:rsid w:val="00EC5FE1"/>
    <w:rsid w:val="00EC6DB9"/>
    <w:rsid w:val="00EC7320"/>
    <w:rsid w:val="00EC7D89"/>
    <w:rsid w:val="00ED150D"/>
    <w:rsid w:val="00ED18AC"/>
    <w:rsid w:val="00ED34F6"/>
    <w:rsid w:val="00ED3BCE"/>
    <w:rsid w:val="00ED4F4E"/>
    <w:rsid w:val="00ED5700"/>
    <w:rsid w:val="00ED5E0A"/>
    <w:rsid w:val="00ED6105"/>
    <w:rsid w:val="00ED63E1"/>
    <w:rsid w:val="00ED7E3A"/>
    <w:rsid w:val="00EE0E4E"/>
    <w:rsid w:val="00EE1249"/>
    <w:rsid w:val="00EE159C"/>
    <w:rsid w:val="00EE1E28"/>
    <w:rsid w:val="00EE503E"/>
    <w:rsid w:val="00EE50F5"/>
    <w:rsid w:val="00EF067A"/>
    <w:rsid w:val="00EF0E5D"/>
    <w:rsid w:val="00EF1CE3"/>
    <w:rsid w:val="00EF422B"/>
    <w:rsid w:val="00EF4A12"/>
    <w:rsid w:val="00EF4E5B"/>
    <w:rsid w:val="00EF6235"/>
    <w:rsid w:val="00EF62B0"/>
    <w:rsid w:val="00EF6D3B"/>
    <w:rsid w:val="00EF7044"/>
    <w:rsid w:val="00F007EA"/>
    <w:rsid w:val="00F0178C"/>
    <w:rsid w:val="00F01DB8"/>
    <w:rsid w:val="00F04FF6"/>
    <w:rsid w:val="00F05000"/>
    <w:rsid w:val="00F050A3"/>
    <w:rsid w:val="00F05346"/>
    <w:rsid w:val="00F05983"/>
    <w:rsid w:val="00F06669"/>
    <w:rsid w:val="00F06DA1"/>
    <w:rsid w:val="00F06F4A"/>
    <w:rsid w:val="00F0727F"/>
    <w:rsid w:val="00F102DD"/>
    <w:rsid w:val="00F10F0F"/>
    <w:rsid w:val="00F121B3"/>
    <w:rsid w:val="00F12440"/>
    <w:rsid w:val="00F13F66"/>
    <w:rsid w:val="00F16327"/>
    <w:rsid w:val="00F16CA8"/>
    <w:rsid w:val="00F17A69"/>
    <w:rsid w:val="00F20EC4"/>
    <w:rsid w:val="00F21C54"/>
    <w:rsid w:val="00F21E7B"/>
    <w:rsid w:val="00F2317F"/>
    <w:rsid w:val="00F24BD3"/>
    <w:rsid w:val="00F26145"/>
    <w:rsid w:val="00F26C0A"/>
    <w:rsid w:val="00F3070E"/>
    <w:rsid w:val="00F31F46"/>
    <w:rsid w:val="00F328C6"/>
    <w:rsid w:val="00F34868"/>
    <w:rsid w:val="00F354C0"/>
    <w:rsid w:val="00F35CAC"/>
    <w:rsid w:val="00F37DA3"/>
    <w:rsid w:val="00F41841"/>
    <w:rsid w:val="00F41D53"/>
    <w:rsid w:val="00F420B0"/>
    <w:rsid w:val="00F425D1"/>
    <w:rsid w:val="00F42698"/>
    <w:rsid w:val="00F4315F"/>
    <w:rsid w:val="00F43E85"/>
    <w:rsid w:val="00F445B5"/>
    <w:rsid w:val="00F46418"/>
    <w:rsid w:val="00F46656"/>
    <w:rsid w:val="00F46C19"/>
    <w:rsid w:val="00F474C9"/>
    <w:rsid w:val="00F47879"/>
    <w:rsid w:val="00F502F1"/>
    <w:rsid w:val="00F52091"/>
    <w:rsid w:val="00F550A8"/>
    <w:rsid w:val="00F57B44"/>
    <w:rsid w:val="00F60D13"/>
    <w:rsid w:val="00F63409"/>
    <w:rsid w:val="00F640EF"/>
    <w:rsid w:val="00F64882"/>
    <w:rsid w:val="00F6488C"/>
    <w:rsid w:val="00F6574C"/>
    <w:rsid w:val="00F66088"/>
    <w:rsid w:val="00F70678"/>
    <w:rsid w:val="00F71D4F"/>
    <w:rsid w:val="00F733BE"/>
    <w:rsid w:val="00F73FE8"/>
    <w:rsid w:val="00F75AF4"/>
    <w:rsid w:val="00F76674"/>
    <w:rsid w:val="00F7677E"/>
    <w:rsid w:val="00F775F5"/>
    <w:rsid w:val="00F77789"/>
    <w:rsid w:val="00F80288"/>
    <w:rsid w:val="00F8154D"/>
    <w:rsid w:val="00F83049"/>
    <w:rsid w:val="00F840D0"/>
    <w:rsid w:val="00F8650F"/>
    <w:rsid w:val="00F872BE"/>
    <w:rsid w:val="00F87589"/>
    <w:rsid w:val="00F90ACE"/>
    <w:rsid w:val="00F92D29"/>
    <w:rsid w:val="00F932DC"/>
    <w:rsid w:val="00F93844"/>
    <w:rsid w:val="00F94D22"/>
    <w:rsid w:val="00F94E32"/>
    <w:rsid w:val="00F94E42"/>
    <w:rsid w:val="00F96230"/>
    <w:rsid w:val="00F96337"/>
    <w:rsid w:val="00F96FD8"/>
    <w:rsid w:val="00F977AE"/>
    <w:rsid w:val="00F979C3"/>
    <w:rsid w:val="00FA158A"/>
    <w:rsid w:val="00FA1CAD"/>
    <w:rsid w:val="00FA21C4"/>
    <w:rsid w:val="00FA375D"/>
    <w:rsid w:val="00FA4529"/>
    <w:rsid w:val="00FA48CF"/>
    <w:rsid w:val="00FA57D5"/>
    <w:rsid w:val="00FA5DA0"/>
    <w:rsid w:val="00FB098D"/>
    <w:rsid w:val="00FB0ABB"/>
    <w:rsid w:val="00FB1DFF"/>
    <w:rsid w:val="00FB2940"/>
    <w:rsid w:val="00FB3134"/>
    <w:rsid w:val="00FB44EE"/>
    <w:rsid w:val="00FB52A5"/>
    <w:rsid w:val="00FB5702"/>
    <w:rsid w:val="00FB6260"/>
    <w:rsid w:val="00FB6FF4"/>
    <w:rsid w:val="00FB7A08"/>
    <w:rsid w:val="00FC198D"/>
    <w:rsid w:val="00FC1D58"/>
    <w:rsid w:val="00FC5549"/>
    <w:rsid w:val="00FC5601"/>
    <w:rsid w:val="00FC7C90"/>
    <w:rsid w:val="00FD0AC2"/>
    <w:rsid w:val="00FD145A"/>
    <w:rsid w:val="00FD1A2D"/>
    <w:rsid w:val="00FD2A51"/>
    <w:rsid w:val="00FD2C24"/>
    <w:rsid w:val="00FD3332"/>
    <w:rsid w:val="00FD378D"/>
    <w:rsid w:val="00FD43BC"/>
    <w:rsid w:val="00FD4746"/>
    <w:rsid w:val="00FD5D41"/>
    <w:rsid w:val="00FD7C75"/>
    <w:rsid w:val="00FD7FF4"/>
    <w:rsid w:val="00FE098B"/>
    <w:rsid w:val="00FE10E7"/>
    <w:rsid w:val="00FE1492"/>
    <w:rsid w:val="00FE1E62"/>
    <w:rsid w:val="00FE1E78"/>
    <w:rsid w:val="00FE3464"/>
    <w:rsid w:val="00FE3D00"/>
    <w:rsid w:val="00FE40A2"/>
    <w:rsid w:val="00FE4240"/>
    <w:rsid w:val="00FE5FB8"/>
    <w:rsid w:val="00FF10D5"/>
    <w:rsid w:val="00FF11FE"/>
    <w:rsid w:val="00FF2A3B"/>
    <w:rsid w:val="00FF4E5A"/>
    <w:rsid w:val="00FF50CF"/>
    <w:rsid w:val="00FF6BFE"/>
    <w:rsid w:val="00FF6D88"/>
    <w:rsid w:val="00FF74E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style="mso-position-horizontal:center;mso-position-horizontal-relative:margin;mso-position-vertical:center;mso-position-vertical-relative:margin" o:allowincell="f" fillcolor="silver" stroke="f">
      <v:fill color="silver" opacity=".5"/>
      <v:stroke on="f"/>
    </o:shapedefaults>
    <o:shapelayout v:ext="edit">
      <o:idmap v:ext="edit" data="1"/>
    </o:shapelayout>
  </w:shapeDefaults>
  <w:decimalSymbol w:val="."/>
  <w:listSeparator w:val=","/>
  <w14:docId w14:val="7768B609"/>
  <w15:docId w15:val="{35996E9A-F21C-4571-8F0A-B4959A1E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C8F"/>
    <w:rPr>
      <w:sz w:val="24"/>
    </w:rPr>
  </w:style>
  <w:style w:type="paragraph" w:styleId="Heading1">
    <w:name w:val="heading 1"/>
    <w:basedOn w:val="Normal"/>
    <w:next w:val="Normal"/>
    <w:qFormat/>
    <w:pPr>
      <w:keepNext/>
      <w:outlineLvl w:val="0"/>
    </w:pPr>
    <w:rPr>
      <w:b/>
      <w:bCs/>
      <w:szCs w:val="24"/>
    </w:rPr>
  </w:style>
  <w:style w:type="paragraph" w:styleId="Heading2">
    <w:name w:val="heading 2"/>
    <w:basedOn w:val="Normal"/>
    <w:next w:val="Normal"/>
    <w:link w:val="Heading2Char"/>
    <w:uiPriority w:val="9"/>
    <w:semiHidden/>
    <w:unhideWhenUsed/>
    <w:qFormat/>
    <w:rsid w:val="00E67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A1751"/>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016AE9"/>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color w:val="00000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Pr>
      <w:rFonts w:ascii="Times New Roman" w:hAnsi="Times New Roman"/>
      <w:sz w:val="24"/>
    </w:rPr>
  </w:style>
  <w:style w:type="paragraph" w:styleId="BalloonText">
    <w:name w:val="Balloon Text"/>
    <w:basedOn w:val="Normal"/>
    <w:link w:val="BalloonTextChar"/>
    <w:uiPriority w:val="99"/>
    <w:semiHidden/>
    <w:unhideWhenUsed/>
    <w:rsid w:val="009C6DF2"/>
    <w:rPr>
      <w:rFonts w:ascii="Tahoma" w:hAnsi="Tahoma" w:cs="Tahoma"/>
      <w:sz w:val="16"/>
      <w:szCs w:val="16"/>
    </w:rPr>
  </w:style>
  <w:style w:type="character" w:customStyle="1" w:styleId="BalloonTextChar">
    <w:name w:val="Balloon Text Char"/>
    <w:link w:val="BalloonText"/>
    <w:uiPriority w:val="99"/>
    <w:semiHidden/>
    <w:rsid w:val="009C6DF2"/>
    <w:rPr>
      <w:rFonts w:ascii="Tahoma" w:hAnsi="Tahoma" w:cs="Tahoma"/>
      <w:sz w:val="16"/>
      <w:szCs w:val="16"/>
    </w:rPr>
  </w:style>
  <w:style w:type="table" w:styleId="TableGrid">
    <w:name w:val="Table Grid"/>
    <w:basedOn w:val="TableNormal"/>
    <w:rsid w:val="00BA1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016AE9"/>
    <w:rPr>
      <w:rFonts w:asciiTheme="majorHAnsi" w:eastAsiaTheme="majorEastAsia" w:hAnsiTheme="majorHAnsi" w:cstheme="majorBidi"/>
      <w:color w:val="404040" w:themeColor="text1" w:themeTint="BF"/>
    </w:rPr>
  </w:style>
  <w:style w:type="paragraph" w:styleId="ListParagraph">
    <w:name w:val="List Paragraph"/>
    <w:basedOn w:val="Normal"/>
    <w:uiPriority w:val="34"/>
    <w:qFormat/>
    <w:rsid w:val="00DF5527"/>
    <w:pPr>
      <w:ind w:left="720"/>
      <w:contextualSpacing/>
    </w:pPr>
  </w:style>
  <w:style w:type="paragraph" w:styleId="BodyTextIndent">
    <w:name w:val="Body Text Indent"/>
    <w:basedOn w:val="Normal"/>
    <w:link w:val="BodyTextIndentChar"/>
    <w:uiPriority w:val="99"/>
    <w:unhideWhenUsed/>
    <w:rsid w:val="00FA57D5"/>
    <w:pPr>
      <w:spacing w:after="120"/>
      <w:ind w:left="360"/>
    </w:pPr>
  </w:style>
  <w:style w:type="character" w:customStyle="1" w:styleId="BodyTextIndentChar">
    <w:name w:val="Body Text Indent Char"/>
    <w:basedOn w:val="DefaultParagraphFont"/>
    <w:link w:val="BodyTextIndent"/>
    <w:uiPriority w:val="99"/>
    <w:rsid w:val="00FA57D5"/>
    <w:rPr>
      <w:sz w:val="24"/>
    </w:rPr>
  </w:style>
  <w:style w:type="paragraph" w:styleId="BodyTextIndent2">
    <w:name w:val="Body Text Indent 2"/>
    <w:basedOn w:val="Normal"/>
    <w:link w:val="BodyTextIndent2Char"/>
    <w:uiPriority w:val="99"/>
    <w:semiHidden/>
    <w:unhideWhenUsed/>
    <w:rsid w:val="00FA57D5"/>
    <w:pPr>
      <w:spacing w:after="120" w:line="480" w:lineRule="auto"/>
      <w:ind w:left="360"/>
    </w:pPr>
  </w:style>
  <w:style w:type="character" w:customStyle="1" w:styleId="BodyTextIndent2Char">
    <w:name w:val="Body Text Indent 2 Char"/>
    <w:basedOn w:val="DefaultParagraphFont"/>
    <w:link w:val="BodyTextIndent2"/>
    <w:uiPriority w:val="99"/>
    <w:semiHidden/>
    <w:rsid w:val="00FA57D5"/>
    <w:rPr>
      <w:sz w:val="24"/>
    </w:rPr>
  </w:style>
  <w:style w:type="character" w:customStyle="1" w:styleId="Heading2Char">
    <w:name w:val="Heading 2 Char"/>
    <w:basedOn w:val="DefaultParagraphFont"/>
    <w:link w:val="Heading2"/>
    <w:uiPriority w:val="9"/>
    <w:semiHidden/>
    <w:rsid w:val="00E6796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722EA"/>
    <w:rPr>
      <w:szCs w:val="24"/>
    </w:rPr>
  </w:style>
  <w:style w:type="character" w:styleId="Hyperlink">
    <w:name w:val="Hyperlink"/>
    <w:basedOn w:val="DefaultParagraphFont"/>
    <w:uiPriority w:val="99"/>
    <w:unhideWhenUsed/>
    <w:rsid w:val="009C44AF"/>
    <w:rPr>
      <w:color w:val="0000FF" w:themeColor="hyperlink"/>
      <w:u w:val="single"/>
    </w:rPr>
  </w:style>
  <w:style w:type="character" w:customStyle="1" w:styleId="Heading4Char">
    <w:name w:val="Heading 4 Char"/>
    <w:basedOn w:val="DefaultParagraphFont"/>
    <w:link w:val="Heading4"/>
    <w:uiPriority w:val="9"/>
    <w:semiHidden/>
    <w:rsid w:val="006A1751"/>
    <w:rPr>
      <w:rFonts w:asciiTheme="majorHAnsi" w:eastAsiaTheme="majorEastAsia" w:hAnsiTheme="majorHAnsi" w:cstheme="majorBidi"/>
      <w:b/>
      <w:bCs/>
      <w:i/>
      <w:iCs/>
      <w:color w:val="4F81BD" w:themeColor="accent1"/>
      <w:sz w:val="24"/>
    </w:rPr>
  </w:style>
  <w:style w:type="paragraph" w:customStyle="1" w:styleId="Default">
    <w:name w:val="Default"/>
    <w:rsid w:val="009B79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26369">
      <w:bodyDiv w:val="1"/>
      <w:marLeft w:val="0"/>
      <w:marRight w:val="0"/>
      <w:marTop w:val="0"/>
      <w:marBottom w:val="0"/>
      <w:divBdr>
        <w:top w:val="none" w:sz="0" w:space="0" w:color="auto"/>
        <w:left w:val="none" w:sz="0" w:space="0" w:color="auto"/>
        <w:bottom w:val="none" w:sz="0" w:space="0" w:color="auto"/>
        <w:right w:val="none" w:sz="0" w:space="0" w:color="auto"/>
      </w:divBdr>
    </w:div>
    <w:div w:id="204563082">
      <w:bodyDiv w:val="1"/>
      <w:marLeft w:val="0"/>
      <w:marRight w:val="0"/>
      <w:marTop w:val="0"/>
      <w:marBottom w:val="0"/>
      <w:divBdr>
        <w:top w:val="none" w:sz="0" w:space="0" w:color="auto"/>
        <w:left w:val="none" w:sz="0" w:space="0" w:color="auto"/>
        <w:bottom w:val="none" w:sz="0" w:space="0" w:color="auto"/>
        <w:right w:val="none" w:sz="0" w:space="0" w:color="auto"/>
      </w:divBdr>
    </w:div>
    <w:div w:id="661930900">
      <w:bodyDiv w:val="1"/>
      <w:marLeft w:val="0"/>
      <w:marRight w:val="0"/>
      <w:marTop w:val="0"/>
      <w:marBottom w:val="0"/>
      <w:divBdr>
        <w:top w:val="none" w:sz="0" w:space="0" w:color="auto"/>
        <w:left w:val="none" w:sz="0" w:space="0" w:color="auto"/>
        <w:bottom w:val="none" w:sz="0" w:space="0" w:color="auto"/>
        <w:right w:val="none" w:sz="0" w:space="0" w:color="auto"/>
      </w:divBdr>
    </w:div>
    <w:div w:id="1171871178">
      <w:bodyDiv w:val="1"/>
      <w:marLeft w:val="0"/>
      <w:marRight w:val="0"/>
      <w:marTop w:val="0"/>
      <w:marBottom w:val="0"/>
      <w:divBdr>
        <w:top w:val="none" w:sz="0" w:space="0" w:color="auto"/>
        <w:left w:val="none" w:sz="0" w:space="0" w:color="auto"/>
        <w:bottom w:val="none" w:sz="0" w:space="0" w:color="auto"/>
        <w:right w:val="none" w:sz="0" w:space="0" w:color="auto"/>
      </w:divBdr>
    </w:div>
    <w:div w:id="1189876361">
      <w:bodyDiv w:val="1"/>
      <w:marLeft w:val="0"/>
      <w:marRight w:val="0"/>
      <w:marTop w:val="0"/>
      <w:marBottom w:val="0"/>
      <w:divBdr>
        <w:top w:val="none" w:sz="0" w:space="0" w:color="auto"/>
        <w:left w:val="none" w:sz="0" w:space="0" w:color="auto"/>
        <w:bottom w:val="none" w:sz="0" w:space="0" w:color="auto"/>
        <w:right w:val="none" w:sz="0" w:space="0" w:color="auto"/>
      </w:divBdr>
    </w:div>
    <w:div w:id="1224484008">
      <w:bodyDiv w:val="1"/>
      <w:marLeft w:val="0"/>
      <w:marRight w:val="0"/>
      <w:marTop w:val="0"/>
      <w:marBottom w:val="0"/>
      <w:divBdr>
        <w:top w:val="none" w:sz="0" w:space="0" w:color="auto"/>
        <w:left w:val="none" w:sz="0" w:space="0" w:color="auto"/>
        <w:bottom w:val="none" w:sz="0" w:space="0" w:color="auto"/>
        <w:right w:val="none" w:sz="0" w:space="0" w:color="auto"/>
      </w:divBdr>
      <w:divsChild>
        <w:div w:id="484008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334331">
      <w:bodyDiv w:val="1"/>
      <w:marLeft w:val="0"/>
      <w:marRight w:val="0"/>
      <w:marTop w:val="0"/>
      <w:marBottom w:val="0"/>
      <w:divBdr>
        <w:top w:val="none" w:sz="0" w:space="0" w:color="auto"/>
        <w:left w:val="none" w:sz="0" w:space="0" w:color="auto"/>
        <w:bottom w:val="none" w:sz="0" w:space="0" w:color="auto"/>
        <w:right w:val="none" w:sz="0" w:space="0" w:color="auto"/>
      </w:divBdr>
    </w:div>
    <w:div w:id="1480616305">
      <w:bodyDiv w:val="1"/>
      <w:marLeft w:val="0"/>
      <w:marRight w:val="0"/>
      <w:marTop w:val="0"/>
      <w:marBottom w:val="0"/>
      <w:divBdr>
        <w:top w:val="none" w:sz="0" w:space="0" w:color="auto"/>
        <w:left w:val="none" w:sz="0" w:space="0" w:color="auto"/>
        <w:bottom w:val="none" w:sz="0" w:space="0" w:color="auto"/>
        <w:right w:val="none" w:sz="0" w:space="0" w:color="auto"/>
      </w:divBdr>
      <w:divsChild>
        <w:div w:id="1621759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031309">
      <w:bodyDiv w:val="1"/>
      <w:marLeft w:val="0"/>
      <w:marRight w:val="0"/>
      <w:marTop w:val="0"/>
      <w:marBottom w:val="0"/>
      <w:divBdr>
        <w:top w:val="none" w:sz="0" w:space="0" w:color="auto"/>
        <w:left w:val="none" w:sz="0" w:space="0" w:color="auto"/>
        <w:bottom w:val="none" w:sz="0" w:space="0" w:color="auto"/>
        <w:right w:val="none" w:sz="0" w:space="0" w:color="auto"/>
      </w:divBdr>
      <w:divsChild>
        <w:div w:id="127875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63D2-0B05-4E92-9C2C-32821815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32570</TotalTime>
  <Pages>19</Pages>
  <Words>5163</Words>
  <Characters>29431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Office of Management and Technical Services</vt:lpstr>
    </vt:vector>
  </TitlesOfParts>
  <Company>DEP - Commonwealth of PA</Company>
  <LinksUpToDate>false</LinksUpToDate>
  <CharactersWithSpaces>34525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Technical Services</dc:title>
  <dc:creator>Schlosser, Joseph</dc:creator>
  <cp:lastModifiedBy>Schlosser, Joseph</cp:lastModifiedBy>
  <cp:revision>147</cp:revision>
  <cp:lastPrinted>2019-09-30T17:59:00Z</cp:lastPrinted>
  <dcterms:created xsi:type="dcterms:W3CDTF">2016-10-18T13:24:00Z</dcterms:created>
  <dcterms:modified xsi:type="dcterms:W3CDTF">2019-09-30T18:25:00Z</dcterms:modified>
</cp:coreProperties>
</file>