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1210E" w14:textId="19DF9DE3" w:rsidR="00C961FD" w:rsidRPr="00D60EDB" w:rsidRDefault="00D60EDB" w:rsidP="00D60EDB">
      <w:pPr>
        <w:jc w:val="center"/>
        <w:rPr>
          <w:b/>
          <w:bCs/>
          <w:sz w:val="28"/>
          <w:szCs w:val="28"/>
        </w:rPr>
      </w:pPr>
      <w:r w:rsidRPr="00D60EDB">
        <w:rPr>
          <w:b/>
          <w:bCs/>
          <w:sz w:val="28"/>
          <w:szCs w:val="28"/>
        </w:rPr>
        <w:t>Multi-municipal</w:t>
      </w:r>
      <w:r w:rsidR="00F71924" w:rsidRPr="00F71924">
        <w:rPr>
          <w:b/>
          <w:bCs/>
          <w:sz w:val="28"/>
          <w:szCs w:val="28"/>
        </w:rPr>
        <w:t xml:space="preserve"> Requirements Guidance Document</w:t>
      </w:r>
    </w:p>
    <w:p w14:paraId="5389189F" w14:textId="5DCA25DF" w:rsidR="00D60EDB" w:rsidRPr="00D60EDB" w:rsidRDefault="00D60EDB" w:rsidP="00D60EDB">
      <w:pPr>
        <w:rPr>
          <w:b/>
          <w:bCs/>
        </w:rPr>
      </w:pPr>
      <w:r w:rsidRPr="00D60EDB">
        <w:rPr>
          <w:b/>
          <w:bCs/>
        </w:rPr>
        <w:t>Eligibility</w:t>
      </w:r>
    </w:p>
    <w:p w14:paraId="71028BEB" w14:textId="77777777" w:rsidR="00D60EDB" w:rsidRPr="00D60EDB" w:rsidRDefault="00D60EDB" w:rsidP="0058352B">
      <w:pPr>
        <w:rPr>
          <w:lang w:bidi="en-US"/>
        </w:rPr>
      </w:pPr>
      <w:r w:rsidRPr="00D60EDB">
        <w:rPr>
          <w:lang w:bidi="en-US"/>
        </w:rPr>
        <w:t>Multi-municipal applications under the Act 101, Section 904 Recycling Performance Grant Program will only be accepted by the Department from the following:</w:t>
      </w:r>
    </w:p>
    <w:p w14:paraId="09BEA019" w14:textId="054D760D" w:rsidR="00D60EDB" w:rsidRPr="00D60EDB" w:rsidRDefault="00D60EDB" w:rsidP="0058352B">
      <w:pPr>
        <w:numPr>
          <w:ilvl w:val="2"/>
          <w:numId w:val="1"/>
        </w:numPr>
        <w:rPr>
          <w:lang w:bidi="en-US"/>
        </w:rPr>
      </w:pPr>
      <w:r w:rsidRPr="00D60EDB">
        <w:rPr>
          <w:lang w:bidi="en-US"/>
        </w:rPr>
        <w:t xml:space="preserve">Council of governments, consortiums or other similar entities established by two or more municipalities under 53 </w:t>
      </w:r>
      <w:proofErr w:type="spellStart"/>
      <w:r w:rsidRPr="00D60EDB">
        <w:rPr>
          <w:lang w:bidi="en-US"/>
        </w:rPr>
        <w:t>Pa.C.S</w:t>
      </w:r>
      <w:proofErr w:type="spellEnd"/>
      <w:r w:rsidRPr="00D60EDB">
        <w:rPr>
          <w:lang w:bidi="en-US"/>
        </w:rPr>
        <w:t>. Chapter 23 Subchapter A.</w:t>
      </w:r>
      <w:r w:rsidR="009160C1">
        <w:rPr>
          <w:lang w:bidi="en-US"/>
        </w:rPr>
        <w:t xml:space="preserve"> </w:t>
      </w:r>
      <w:r w:rsidR="009160C1" w:rsidRPr="00D60EDB">
        <w:rPr>
          <w:lang w:bidi="en-US"/>
        </w:rPr>
        <w:t>where the collection of recyclables has been accomplished either through a joint bid for services or a joint municipally operated collection system (curbside or drop-off) accompanied by a joint recycling education program.</w:t>
      </w:r>
    </w:p>
    <w:p w14:paraId="71109DF2" w14:textId="77777777" w:rsidR="00D60EDB" w:rsidRPr="00D60EDB" w:rsidRDefault="00D60EDB" w:rsidP="0058352B">
      <w:pPr>
        <w:numPr>
          <w:ilvl w:val="2"/>
          <w:numId w:val="1"/>
        </w:numPr>
        <w:rPr>
          <w:lang w:bidi="en-US"/>
        </w:rPr>
      </w:pPr>
      <w:r w:rsidRPr="00D60EDB">
        <w:rPr>
          <w:lang w:bidi="en-US"/>
        </w:rPr>
        <w:t>Two or more municipalities where the collection of recyclables has been accomplished either through a joint bid for services or a joint municipally operated collection system (curbside or drop-off) accompanied by a joint recycling education program.</w:t>
      </w:r>
    </w:p>
    <w:p w14:paraId="258835F7" w14:textId="77777777" w:rsidR="00D60EDB" w:rsidRPr="00D60EDB" w:rsidRDefault="00D60EDB" w:rsidP="0058352B">
      <w:pPr>
        <w:rPr>
          <w:lang w:bidi="en-US"/>
        </w:rPr>
      </w:pPr>
      <w:r w:rsidRPr="00D60EDB">
        <w:rPr>
          <w:lang w:bidi="en-US"/>
        </w:rPr>
        <w:t>Additionally, multi-municipal applicants meeting (A) or (B) must have the following:</w:t>
      </w:r>
    </w:p>
    <w:p w14:paraId="742C9051" w14:textId="77777777" w:rsidR="005D4374" w:rsidRDefault="00D60EDB" w:rsidP="005D4374">
      <w:pPr>
        <w:pStyle w:val="ListParagraph"/>
        <w:numPr>
          <w:ilvl w:val="0"/>
          <w:numId w:val="4"/>
        </w:numPr>
        <w:rPr>
          <w:lang w:bidi="en-US"/>
        </w:rPr>
      </w:pPr>
      <w:r w:rsidRPr="00D60EDB">
        <w:rPr>
          <w:lang w:bidi="en-US"/>
        </w:rPr>
        <w:t>An inter-municipal or inter-governmental agreement between the participating municipalities.</w:t>
      </w:r>
    </w:p>
    <w:p w14:paraId="7E6A811A" w14:textId="77777777" w:rsidR="005D4374" w:rsidRDefault="00D60EDB" w:rsidP="005D4374">
      <w:pPr>
        <w:pStyle w:val="ListParagraph"/>
        <w:numPr>
          <w:ilvl w:val="0"/>
          <w:numId w:val="4"/>
        </w:numPr>
        <w:rPr>
          <w:lang w:bidi="en-US"/>
        </w:rPr>
      </w:pPr>
      <w:r w:rsidRPr="6675FFB6">
        <w:rPr>
          <w:lang w:bidi="en-US"/>
        </w:rPr>
        <w:t>A shared recycling ordinance(s) meeting the provisions of Act 101 and Act 140.</w:t>
      </w:r>
    </w:p>
    <w:p w14:paraId="07C2B157" w14:textId="77777777" w:rsidR="005D4374" w:rsidRDefault="00D60EDB" w:rsidP="005D4374">
      <w:pPr>
        <w:pStyle w:val="ListParagraph"/>
        <w:numPr>
          <w:ilvl w:val="0"/>
          <w:numId w:val="4"/>
        </w:numPr>
        <w:rPr>
          <w:lang w:bidi="en-US"/>
        </w:rPr>
      </w:pPr>
      <w:r w:rsidRPr="6675FFB6">
        <w:rPr>
          <w:lang w:bidi="en-US"/>
        </w:rPr>
        <w:t>A shared recycling ordinance enforcement program including fines and penalties.</w:t>
      </w:r>
    </w:p>
    <w:p w14:paraId="6BE348D7" w14:textId="77777777" w:rsidR="005D4374" w:rsidRDefault="00D60EDB" w:rsidP="005D4374">
      <w:pPr>
        <w:pStyle w:val="ListParagraph"/>
        <w:numPr>
          <w:ilvl w:val="0"/>
          <w:numId w:val="4"/>
        </w:numPr>
        <w:rPr>
          <w:lang w:bidi="en-US"/>
        </w:rPr>
      </w:pPr>
      <w:r w:rsidRPr="6675FFB6">
        <w:rPr>
          <w:lang w:bidi="en-US"/>
        </w:rPr>
        <w:t>A shared recycling education program that is uniform in information, preparation, collection, and reporting.</w:t>
      </w:r>
    </w:p>
    <w:p w14:paraId="43F40214" w14:textId="2F5F08D9" w:rsidR="00D60EDB" w:rsidRPr="00D60EDB" w:rsidRDefault="00D60EDB" w:rsidP="005D4374">
      <w:pPr>
        <w:pStyle w:val="ListParagraph"/>
        <w:numPr>
          <w:ilvl w:val="0"/>
          <w:numId w:val="4"/>
        </w:numPr>
        <w:rPr>
          <w:lang w:bidi="en-US"/>
        </w:rPr>
      </w:pPr>
      <w:r w:rsidRPr="6675FFB6">
        <w:rPr>
          <w:lang w:bidi="en-US"/>
        </w:rPr>
        <w:t>A contract for joint bid for recycling services or a joint municipally operated collection system.</w:t>
      </w:r>
    </w:p>
    <w:p w14:paraId="03009090" w14:textId="10FBF40C" w:rsidR="00D60EDB" w:rsidRPr="00D60EDB" w:rsidRDefault="00D60EDB" w:rsidP="005D4374">
      <w:pPr>
        <w:rPr>
          <w:lang w:bidi="en-US"/>
        </w:rPr>
      </w:pPr>
      <w:r w:rsidRPr="00D60EDB">
        <w:rPr>
          <w:lang w:bidi="en-US"/>
        </w:rPr>
        <w:t xml:space="preserve">The Department will not accept an application submitted by two or </w:t>
      </w:r>
      <w:r w:rsidR="00C625C2">
        <w:rPr>
          <w:lang w:bidi="en-US"/>
        </w:rPr>
        <w:t xml:space="preserve">more </w:t>
      </w:r>
      <w:r w:rsidRPr="00D60EDB">
        <w:rPr>
          <w:lang w:bidi="en-US"/>
        </w:rPr>
        <w:t>municipalities unless they meet all the previously listed criteria.  Submittals from county governments are not considered multi-municipal applications and are therefore not subject to these criteria.</w:t>
      </w:r>
    </w:p>
    <w:p w14:paraId="55921890" w14:textId="77777777" w:rsidR="00D60EDB" w:rsidRDefault="00D60EDB" w:rsidP="00D60EDB"/>
    <w:p w14:paraId="3A6088A9" w14:textId="7AD85795" w:rsidR="00D60EDB" w:rsidRPr="00D60EDB" w:rsidRDefault="00D60EDB" w:rsidP="00D60EDB">
      <w:pPr>
        <w:rPr>
          <w:b/>
          <w:bCs/>
        </w:rPr>
      </w:pPr>
      <w:r w:rsidRPr="00D60EDB">
        <w:rPr>
          <w:b/>
          <w:bCs/>
        </w:rPr>
        <w:t>Pre-application Conference</w:t>
      </w:r>
      <w:r>
        <w:rPr>
          <w:b/>
          <w:bCs/>
        </w:rPr>
        <w:t xml:space="preserve"> Requirement</w:t>
      </w:r>
    </w:p>
    <w:p w14:paraId="21D1CE59" w14:textId="77777777" w:rsidR="00DE0E24" w:rsidRDefault="00D60EDB" w:rsidP="00D60EDB">
      <w:pPr>
        <w:rPr>
          <w:b/>
          <w:bCs/>
          <w:lang w:bidi="en-US"/>
        </w:rPr>
      </w:pPr>
      <w:r w:rsidRPr="00D60EDB">
        <w:rPr>
          <w:lang w:bidi="en-US"/>
        </w:rPr>
        <w:t>Potential multi-municipal applicants must contact the Department’s Central Office Recycling Program to schedule a required pre-application conference to discuss application requirements and program guidelines.  Multi-municipal applicants that fail to schedule a pre-application conference must submit individual applications for each of the participating municipalities.</w:t>
      </w:r>
      <w:r w:rsidR="00DE0E24" w:rsidRPr="00DE0E24">
        <w:rPr>
          <w:b/>
          <w:bCs/>
          <w:lang w:bidi="en-US"/>
        </w:rPr>
        <w:t xml:space="preserve"> </w:t>
      </w:r>
    </w:p>
    <w:p w14:paraId="17A8CA1A" w14:textId="261994E1" w:rsidR="00D60EDB" w:rsidRPr="00D60EDB" w:rsidRDefault="00DE0E24" w:rsidP="00D60EDB">
      <w:pPr>
        <w:rPr>
          <w:lang w:bidi="en-US"/>
        </w:rPr>
      </w:pPr>
      <w:r w:rsidRPr="00DE0E24">
        <w:rPr>
          <w:u w:val="single"/>
          <w:lang w:bidi="en-US"/>
        </w:rPr>
        <w:t>Pre-application meetings may be scheduled up until December 1</w:t>
      </w:r>
      <w:r w:rsidRPr="00DE0E24">
        <w:rPr>
          <w:u w:val="single"/>
          <w:vertAlign w:val="superscript"/>
          <w:lang w:bidi="en-US"/>
        </w:rPr>
        <w:t>st</w:t>
      </w:r>
      <w:r w:rsidRPr="00DE0E24">
        <w:rPr>
          <w:u w:val="single"/>
          <w:lang w:bidi="en-US"/>
        </w:rPr>
        <w:t xml:space="preserve"> of the current application period.</w:t>
      </w:r>
    </w:p>
    <w:p w14:paraId="190158AC" w14:textId="77777777" w:rsidR="00D60EDB" w:rsidRDefault="00D60EDB" w:rsidP="00D60EDB"/>
    <w:p w14:paraId="5B59FA07" w14:textId="77777777" w:rsidR="008C6266" w:rsidRDefault="008C6266">
      <w:pPr>
        <w:rPr>
          <w:b/>
          <w:bCs/>
        </w:rPr>
      </w:pPr>
      <w:r>
        <w:rPr>
          <w:b/>
          <w:bCs/>
        </w:rPr>
        <w:br w:type="page"/>
      </w:r>
    </w:p>
    <w:p w14:paraId="4B10FB1B" w14:textId="30A59536" w:rsidR="00D60EDB" w:rsidRDefault="00D60EDB" w:rsidP="00D60EDB">
      <w:pPr>
        <w:rPr>
          <w:b/>
          <w:bCs/>
        </w:rPr>
      </w:pPr>
      <w:r w:rsidRPr="00D60EDB">
        <w:rPr>
          <w:b/>
          <w:bCs/>
        </w:rPr>
        <w:lastRenderedPageBreak/>
        <w:t>Scheduling the Pre-application Conference</w:t>
      </w:r>
    </w:p>
    <w:p w14:paraId="1C34FDBE" w14:textId="5A2F5A0D" w:rsidR="001249E7" w:rsidRDefault="001249E7" w:rsidP="00D60EDB">
      <w:pPr>
        <w:rPr>
          <w:lang w:bidi="en-US"/>
        </w:rPr>
      </w:pPr>
      <w:r>
        <w:t xml:space="preserve">Please contact </w:t>
      </w:r>
      <w:r w:rsidR="003626CE" w:rsidRPr="00D60EDB">
        <w:rPr>
          <w:lang w:bidi="en-US"/>
        </w:rPr>
        <w:t>Department’s Central Office Recycling Program to schedule a required pre-application conference</w:t>
      </w:r>
      <w:r w:rsidR="003626CE">
        <w:rPr>
          <w:lang w:bidi="en-US"/>
        </w:rPr>
        <w:t xml:space="preserve">. </w:t>
      </w:r>
      <w:r w:rsidR="003626CE" w:rsidRPr="00D85B53">
        <w:rPr>
          <w:u w:val="single"/>
          <w:lang w:bidi="en-US"/>
        </w:rPr>
        <w:t>The following must be provided to the Department 10 days prior to the scheduled meeting</w:t>
      </w:r>
      <w:r w:rsidR="003626CE">
        <w:rPr>
          <w:lang w:bidi="en-US"/>
        </w:rPr>
        <w:t>:</w:t>
      </w:r>
    </w:p>
    <w:p w14:paraId="09E41C5F" w14:textId="49563519" w:rsidR="003626CE" w:rsidRPr="00D60EDB" w:rsidRDefault="003626CE" w:rsidP="005D4374">
      <w:pPr>
        <w:pStyle w:val="ListParagraph"/>
        <w:numPr>
          <w:ilvl w:val="0"/>
          <w:numId w:val="6"/>
        </w:numPr>
        <w:rPr>
          <w:lang w:bidi="en-US"/>
        </w:rPr>
      </w:pPr>
      <w:r>
        <w:rPr>
          <w:lang w:bidi="en-US"/>
        </w:rPr>
        <w:t>The</w:t>
      </w:r>
      <w:r w:rsidRPr="00D60EDB">
        <w:rPr>
          <w:lang w:bidi="en-US"/>
        </w:rPr>
        <w:t xml:space="preserve"> inter-municipal or inter-governmental agreement between the participating municipalities.</w:t>
      </w:r>
    </w:p>
    <w:p w14:paraId="0F212B5A" w14:textId="5C0F607D" w:rsidR="003626CE" w:rsidRPr="00D60EDB" w:rsidRDefault="003626CE" w:rsidP="005D4374">
      <w:pPr>
        <w:numPr>
          <w:ilvl w:val="0"/>
          <w:numId w:val="6"/>
        </w:numPr>
        <w:rPr>
          <w:lang w:bidi="en-US"/>
        </w:rPr>
      </w:pPr>
      <w:r>
        <w:rPr>
          <w:lang w:bidi="en-US"/>
        </w:rPr>
        <w:t>The</w:t>
      </w:r>
      <w:r w:rsidRPr="00D60EDB">
        <w:rPr>
          <w:lang w:bidi="en-US"/>
        </w:rPr>
        <w:t xml:space="preserve"> shared recycling ordinance(s) meeting the provisions of Act 101 and Act 140.</w:t>
      </w:r>
    </w:p>
    <w:p w14:paraId="0688D013" w14:textId="2C005D16" w:rsidR="003626CE" w:rsidRPr="00D60EDB" w:rsidRDefault="003626CE" w:rsidP="005D4374">
      <w:pPr>
        <w:numPr>
          <w:ilvl w:val="0"/>
          <w:numId w:val="6"/>
        </w:numPr>
        <w:rPr>
          <w:lang w:bidi="en-US"/>
        </w:rPr>
      </w:pPr>
      <w:r>
        <w:rPr>
          <w:lang w:bidi="en-US"/>
        </w:rPr>
        <w:t>The</w:t>
      </w:r>
      <w:r w:rsidRPr="00D60EDB">
        <w:rPr>
          <w:lang w:bidi="en-US"/>
        </w:rPr>
        <w:t xml:space="preserve"> shared recycling ordinance enforcement program including fines and penalties.</w:t>
      </w:r>
    </w:p>
    <w:p w14:paraId="49A31B1B" w14:textId="383A88FB" w:rsidR="003626CE" w:rsidRPr="00D60EDB" w:rsidRDefault="003626CE" w:rsidP="005D4374">
      <w:pPr>
        <w:numPr>
          <w:ilvl w:val="0"/>
          <w:numId w:val="6"/>
        </w:numPr>
        <w:rPr>
          <w:lang w:bidi="en-US"/>
        </w:rPr>
      </w:pPr>
      <w:r>
        <w:rPr>
          <w:lang w:bidi="en-US"/>
        </w:rPr>
        <w:t>Examples of the</w:t>
      </w:r>
      <w:r w:rsidRPr="00D60EDB">
        <w:rPr>
          <w:lang w:bidi="en-US"/>
        </w:rPr>
        <w:t xml:space="preserve"> shared recycling education program that is uniform in information, preparation, collection, and reporting.</w:t>
      </w:r>
    </w:p>
    <w:p w14:paraId="1153A91D" w14:textId="7824DC8F" w:rsidR="003626CE" w:rsidRDefault="003626CE" w:rsidP="003626CE">
      <w:pPr>
        <w:numPr>
          <w:ilvl w:val="0"/>
          <w:numId w:val="6"/>
        </w:numPr>
        <w:rPr>
          <w:lang w:bidi="en-US"/>
        </w:rPr>
      </w:pPr>
      <w:r>
        <w:rPr>
          <w:lang w:bidi="en-US"/>
        </w:rPr>
        <w:t>The</w:t>
      </w:r>
      <w:r w:rsidRPr="00D60EDB">
        <w:rPr>
          <w:lang w:bidi="en-US"/>
        </w:rPr>
        <w:t xml:space="preserve"> contract for joint bid for recycling services or a joint municipally operated collection system.</w:t>
      </w:r>
    </w:p>
    <w:p w14:paraId="7C93DFDB" w14:textId="77777777" w:rsidR="00DE0E24" w:rsidRDefault="003626CE" w:rsidP="003626CE">
      <w:pPr>
        <w:rPr>
          <w:u w:val="single"/>
          <w:lang w:bidi="en-US"/>
        </w:rPr>
      </w:pPr>
      <w:r>
        <w:rPr>
          <w:lang w:bidi="en-US"/>
        </w:rPr>
        <w:t>If the potential applicant(s) fail to provide the supporting documents in a timely manner, the preapplication conference will be postponed or cancelled at the Department’s discretion.</w:t>
      </w:r>
      <w:r w:rsidRPr="00DE0E24">
        <w:rPr>
          <w:u w:val="single"/>
          <w:lang w:bidi="en-US"/>
        </w:rPr>
        <w:t xml:space="preserve"> </w:t>
      </w:r>
    </w:p>
    <w:p w14:paraId="5BAE7A3A" w14:textId="218814D4" w:rsidR="003626CE" w:rsidRDefault="003626CE" w:rsidP="003626CE">
      <w:pPr>
        <w:rPr>
          <w:lang w:bidi="en-US"/>
        </w:rPr>
      </w:pPr>
      <w:r w:rsidRPr="00DE0E24">
        <w:rPr>
          <w:u w:val="single"/>
          <w:lang w:bidi="en-US"/>
        </w:rPr>
        <w:t xml:space="preserve">Pre-application meetings </w:t>
      </w:r>
      <w:r w:rsidR="007A3475" w:rsidRPr="00DE0E24">
        <w:rPr>
          <w:u w:val="single"/>
          <w:lang w:bidi="en-US"/>
        </w:rPr>
        <w:t>may be scheduled up until December 1</w:t>
      </w:r>
      <w:r w:rsidR="007A3475" w:rsidRPr="00DE0E24">
        <w:rPr>
          <w:u w:val="single"/>
          <w:vertAlign w:val="superscript"/>
          <w:lang w:bidi="en-US"/>
        </w:rPr>
        <w:t>st</w:t>
      </w:r>
      <w:r w:rsidR="007A3475" w:rsidRPr="00DE0E24">
        <w:rPr>
          <w:u w:val="single"/>
          <w:lang w:bidi="en-US"/>
        </w:rPr>
        <w:t xml:space="preserve"> of the current application period. </w:t>
      </w:r>
      <w:r w:rsidR="007A3475">
        <w:rPr>
          <w:lang w:bidi="en-US"/>
        </w:rPr>
        <w:t>This allows the potential multi-municipal applicant ample time to review and submit their application or submit separate applications for each of the participating municipalities if necessary.</w:t>
      </w:r>
    </w:p>
    <w:p w14:paraId="7AAAB8FB" w14:textId="77777777" w:rsidR="003626CE" w:rsidRPr="003626CE" w:rsidRDefault="003626CE" w:rsidP="003626CE">
      <w:pPr>
        <w:rPr>
          <w:b/>
          <w:bCs/>
          <w:lang w:bidi="en-US"/>
        </w:rPr>
      </w:pPr>
    </w:p>
    <w:p w14:paraId="490048D3" w14:textId="5A324B12" w:rsidR="003626CE" w:rsidRPr="003626CE" w:rsidRDefault="003626CE" w:rsidP="003626CE">
      <w:pPr>
        <w:rPr>
          <w:b/>
          <w:bCs/>
          <w:lang w:bidi="en-US"/>
        </w:rPr>
      </w:pPr>
      <w:r w:rsidRPr="003626CE">
        <w:rPr>
          <w:b/>
          <w:bCs/>
          <w:lang w:bidi="en-US"/>
        </w:rPr>
        <w:t>The Pre-application Conference</w:t>
      </w:r>
    </w:p>
    <w:p w14:paraId="3F401EC7" w14:textId="77230D51" w:rsidR="003626CE" w:rsidRDefault="003626CE" w:rsidP="003626CE">
      <w:pPr>
        <w:rPr>
          <w:lang w:bidi="en-US"/>
        </w:rPr>
      </w:pPr>
      <w:r>
        <w:rPr>
          <w:lang w:bidi="en-US"/>
        </w:rPr>
        <w:t xml:space="preserve">The pre-application meeting must include a representative from each of the participating municipalities </w:t>
      </w:r>
      <w:r w:rsidR="007A3475">
        <w:rPr>
          <w:lang w:bidi="en-US"/>
        </w:rPr>
        <w:t xml:space="preserve">and at least one individual from the </w:t>
      </w:r>
      <w:r w:rsidR="007A3475" w:rsidRPr="00D60EDB">
        <w:rPr>
          <w:lang w:bidi="en-US"/>
        </w:rPr>
        <w:t>Department’s Central Office Recycling Program</w:t>
      </w:r>
      <w:r w:rsidR="007A3475">
        <w:rPr>
          <w:lang w:bidi="en-US"/>
        </w:rPr>
        <w:t>.</w:t>
      </w:r>
    </w:p>
    <w:p w14:paraId="48A02BF6" w14:textId="34637701" w:rsidR="007A3475" w:rsidRDefault="007A3475" w:rsidP="003626CE">
      <w:pPr>
        <w:rPr>
          <w:lang w:bidi="en-US"/>
        </w:rPr>
      </w:pPr>
      <w:r>
        <w:rPr>
          <w:lang w:bidi="en-US"/>
        </w:rPr>
        <w:t>The Department will review the documentation provided by the municipality and discuss the materials. The Department will also explain the additional materials multi-municipal applicants must upload in their application.</w:t>
      </w:r>
    </w:p>
    <w:p w14:paraId="329F3B28" w14:textId="77777777" w:rsidR="00DE0E24" w:rsidRDefault="007A3475" w:rsidP="003626CE">
      <w:pPr>
        <w:rPr>
          <w:lang w:bidi="en-US"/>
        </w:rPr>
      </w:pPr>
      <w:r>
        <w:rPr>
          <w:lang w:bidi="en-US"/>
        </w:rPr>
        <w:t xml:space="preserve">After the meeting, the Department </w:t>
      </w:r>
      <w:r w:rsidR="00DE0E24">
        <w:rPr>
          <w:lang w:bidi="en-US"/>
        </w:rPr>
        <w:t>will</w:t>
      </w:r>
      <w:r>
        <w:rPr>
          <w:lang w:bidi="en-US"/>
        </w:rPr>
        <w:t xml:space="preserve"> supply an approval letter to </w:t>
      </w:r>
      <w:r w:rsidR="00DE0E24">
        <w:rPr>
          <w:lang w:bidi="en-US"/>
        </w:rPr>
        <w:t>an eligible</w:t>
      </w:r>
      <w:r>
        <w:rPr>
          <w:lang w:bidi="en-US"/>
        </w:rPr>
        <w:t xml:space="preserve"> multi-muni</w:t>
      </w:r>
      <w:r w:rsidR="00DE0E24">
        <w:rPr>
          <w:lang w:bidi="en-US"/>
        </w:rPr>
        <w:t xml:space="preserve">cipal applicant that must be uploaded in their application. Failure to upload the approval letter will result in a denial of the application. </w:t>
      </w:r>
    </w:p>
    <w:p w14:paraId="35AD7184" w14:textId="72D41637" w:rsidR="007A3475" w:rsidRPr="00D60EDB" w:rsidRDefault="00DE0E24" w:rsidP="003626CE">
      <w:pPr>
        <w:rPr>
          <w:lang w:bidi="en-US"/>
        </w:rPr>
      </w:pPr>
      <w:r>
        <w:rPr>
          <w:lang w:bidi="en-US"/>
        </w:rPr>
        <w:t>The participating municipalities of an ineligible multi-municipal application may submit separate, individual applications.</w:t>
      </w:r>
    </w:p>
    <w:p w14:paraId="57142823" w14:textId="77777777" w:rsidR="003626CE" w:rsidRPr="001249E7" w:rsidRDefault="003626CE" w:rsidP="00D60EDB"/>
    <w:sectPr w:rsidR="003626CE" w:rsidRPr="00124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16810"/>
    <w:multiLevelType w:val="hybridMultilevel"/>
    <w:tmpl w:val="F69A0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02C89"/>
    <w:multiLevelType w:val="hybridMultilevel"/>
    <w:tmpl w:val="8840A484"/>
    <w:lvl w:ilvl="0" w:tplc="BEEE42D6">
      <w:start w:val="1"/>
      <w:numFmt w:val="decimal"/>
      <w:lvlText w:val="%1."/>
      <w:lvlJc w:val="left"/>
      <w:pPr>
        <w:ind w:left="1079" w:hanging="629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600" w:hanging="360"/>
      </w:pPr>
    </w:lvl>
    <w:lvl w:ilvl="2" w:tplc="0409001B" w:tentative="1">
      <w:start w:val="1"/>
      <w:numFmt w:val="lowerRoman"/>
      <w:lvlText w:val="%3."/>
      <w:lvlJc w:val="right"/>
      <w:pPr>
        <w:ind w:left="1320" w:hanging="180"/>
      </w:pPr>
    </w:lvl>
    <w:lvl w:ilvl="3" w:tplc="0409000F" w:tentative="1">
      <w:start w:val="1"/>
      <w:numFmt w:val="decimal"/>
      <w:lvlText w:val="%4."/>
      <w:lvlJc w:val="left"/>
      <w:pPr>
        <w:ind w:left="2040" w:hanging="360"/>
      </w:pPr>
    </w:lvl>
    <w:lvl w:ilvl="4" w:tplc="04090019" w:tentative="1">
      <w:start w:val="1"/>
      <w:numFmt w:val="lowerLetter"/>
      <w:lvlText w:val="%5."/>
      <w:lvlJc w:val="left"/>
      <w:pPr>
        <w:ind w:left="2760" w:hanging="360"/>
      </w:pPr>
    </w:lvl>
    <w:lvl w:ilvl="5" w:tplc="0409001B" w:tentative="1">
      <w:start w:val="1"/>
      <w:numFmt w:val="lowerRoman"/>
      <w:lvlText w:val="%6."/>
      <w:lvlJc w:val="right"/>
      <w:pPr>
        <w:ind w:left="3480" w:hanging="180"/>
      </w:pPr>
    </w:lvl>
    <w:lvl w:ilvl="6" w:tplc="0409000F" w:tentative="1">
      <w:start w:val="1"/>
      <w:numFmt w:val="decimal"/>
      <w:lvlText w:val="%7."/>
      <w:lvlJc w:val="left"/>
      <w:pPr>
        <w:ind w:left="4200" w:hanging="360"/>
      </w:pPr>
    </w:lvl>
    <w:lvl w:ilvl="7" w:tplc="04090019" w:tentative="1">
      <w:start w:val="1"/>
      <w:numFmt w:val="lowerLetter"/>
      <w:lvlText w:val="%8."/>
      <w:lvlJc w:val="left"/>
      <w:pPr>
        <w:ind w:left="4920" w:hanging="360"/>
      </w:pPr>
    </w:lvl>
    <w:lvl w:ilvl="8" w:tplc="0409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2" w15:restartNumberingAfterBreak="0">
    <w:nsid w:val="4723559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4321745"/>
    <w:multiLevelType w:val="hybridMultilevel"/>
    <w:tmpl w:val="B9A0D5B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714C3FB4"/>
    <w:multiLevelType w:val="hybridMultilevel"/>
    <w:tmpl w:val="F69A08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612B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D81171F"/>
    <w:multiLevelType w:val="hybridMultilevel"/>
    <w:tmpl w:val="F69A08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66AB8"/>
    <w:multiLevelType w:val="hybridMultilevel"/>
    <w:tmpl w:val="DADCA726"/>
    <w:lvl w:ilvl="0" w:tplc="6288766E">
      <w:start w:val="1"/>
      <w:numFmt w:val="upperLetter"/>
      <w:lvlText w:val="%1."/>
      <w:lvlJc w:val="left"/>
      <w:pPr>
        <w:ind w:left="1291" w:hanging="452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n-US" w:eastAsia="en-US" w:bidi="en-US"/>
      </w:rPr>
    </w:lvl>
    <w:lvl w:ilvl="1" w:tplc="BEEE42D6">
      <w:start w:val="1"/>
      <w:numFmt w:val="decimal"/>
      <w:lvlText w:val="%2."/>
      <w:lvlJc w:val="left"/>
      <w:pPr>
        <w:ind w:left="1919" w:hanging="629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 w:tplc="04090015">
      <w:start w:val="1"/>
      <w:numFmt w:val="upperLetter"/>
      <w:lvlText w:val="%3."/>
      <w:lvlJc w:val="left"/>
      <w:pPr>
        <w:ind w:left="720" w:hanging="360"/>
      </w:pPr>
    </w:lvl>
    <w:lvl w:ilvl="3" w:tplc="E6DE74A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en-US"/>
      </w:rPr>
    </w:lvl>
    <w:lvl w:ilvl="4" w:tplc="D1BEE7DE">
      <w:numFmt w:val="bullet"/>
      <w:lvlText w:val="•"/>
      <w:lvlJc w:val="left"/>
      <w:pPr>
        <w:ind w:left="3534" w:hanging="360"/>
      </w:pPr>
      <w:rPr>
        <w:rFonts w:hint="default"/>
        <w:lang w:val="en-US" w:eastAsia="en-US" w:bidi="en-US"/>
      </w:rPr>
    </w:lvl>
    <w:lvl w:ilvl="5" w:tplc="E49AACB4">
      <w:numFmt w:val="bullet"/>
      <w:lvlText w:val="•"/>
      <w:lvlJc w:val="left"/>
      <w:pPr>
        <w:ind w:left="4788" w:hanging="360"/>
      </w:pPr>
      <w:rPr>
        <w:rFonts w:hint="default"/>
        <w:lang w:val="en-US" w:eastAsia="en-US" w:bidi="en-US"/>
      </w:rPr>
    </w:lvl>
    <w:lvl w:ilvl="6" w:tplc="051AF9CC">
      <w:numFmt w:val="bullet"/>
      <w:lvlText w:val="•"/>
      <w:lvlJc w:val="left"/>
      <w:pPr>
        <w:ind w:left="6042" w:hanging="360"/>
      </w:pPr>
      <w:rPr>
        <w:rFonts w:hint="default"/>
        <w:lang w:val="en-US" w:eastAsia="en-US" w:bidi="en-US"/>
      </w:rPr>
    </w:lvl>
    <w:lvl w:ilvl="7" w:tplc="CED8D7C8">
      <w:numFmt w:val="bullet"/>
      <w:lvlText w:val="•"/>
      <w:lvlJc w:val="left"/>
      <w:pPr>
        <w:ind w:left="7297" w:hanging="360"/>
      </w:pPr>
      <w:rPr>
        <w:rFonts w:hint="default"/>
        <w:lang w:val="en-US" w:eastAsia="en-US" w:bidi="en-US"/>
      </w:rPr>
    </w:lvl>
    <w:lvl w:ilvl="8" w:tplc="BA501CCC">
      <w:numFmt w:val="bullet"/>
      <w:lvlText w:val="•"/>
      <w:lvlJc w:val="left"/>
      <w:pPr>
        <w:ind w:left="8551" w:hanging="360"/>
      </w:pPr>
      <w:rPr>
        <w:rFonts w:hint="default"/>
        <w:lang w:val="en-US" w:eastAsia="en-US" w:bidi="en-US"/>
      </w:rPr>
    </w:lvl>
  </w:abstractNum>
  <w:num w:numId="1" w16cid:durableId="1419517930">
    <w:abstractNumId w:val="7"/>
  </w:num>
  <w:num w:numId="2" w16cid:durableId="502283672">
    <w:abstractNumId w:val="1"/>
  </w:num>
  <w:num w:numId="3" w16cid:durableId="1800414242">
    <w:abstractNumId w:val="3"/>
  </w:num>
  <w:num w:numId="4" w16cid:durableId="2023705878">
    <w:abstractNumId w:val="0"/>
  </w:num>
  <w:num w:numId="5" w16cid:durableId="761494737">
    <w:abstractNumId w:val="6"/>
  </w:num>
  <w:num w:numId="6" w16cid:durableId="322859038">
    <w:abstractNumId w:val="4"/>
  </w:num>
  <w:num w:numId="7" w16cid:durableId="510145725">
    <w:abstractNumId w:val="5"/>
  </w:num>
  <w:num w:numId="8" w16cid:durableId="1729762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5715749">
    <w:abstractNumId w:val="2"/>
  </w:num>
  <w:num w:numId="10" w16cid:durableId="3297171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EDB"/>
    <w:rsid w:val="001249E7"/>
    <w:rsid w:val="003626CE"/>
    <w:rsid w:val="003840B4"/>
    <w:rsid w:val="0058352B"/>
    <w:rsid w:val="005D4374"/>
    <w:rsid w:val="00651231"/>
    <w:rsid w:val="00677629"/>
    <w:rsid w:val="006C77A8"/>
    <w:rsid w:val="0077700A"/>
    <w:rsid w:val="007A3475"/>
    <w:rsid w:val="008C6266"/>
    <w:rsid w:val="009160C1"/>
    <w:rsid w:val="00B7273E"/>
    <w:rsid w:val="00C152DA"/>
    <w:rsid w:val="00C625C2"/>
    <w:rsid w:val="00C961FD"/>
    <w:rsid w:val="00D60EDB"/>
    <w:rsid w:val="00D85B53"/>
    <w:rsid w:val="00DE0E24"/>
    <w:rsid w:val="00F302EF"/>
    <w:rsid w:val="00F71924"/>
    <w:rsid w:val="201D46A4"/>
    <w:rsid w:val="5DF1870D"/>
    <w:rsid w:val="6675FFB6"/>
    <w:rsid w:val="691B66CC"/>
    <w:rsid w:val="717B4C3F"/>
    <w:rsid w:val="7ED08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79106"/>
  <w15:chartTrackingRefBased/>
  <w15:docId w15:val="{4AA31125-DC0F-4771-B1AC-8AA48654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6CE"/>
  </w:style>
  <w:style w:type="paragraph" w:styleId="Heading1">
    <w:name w:val="heading 1"/>
    <w:basedOn w:val="Normal"/>
    <w:next w:val="Normal"/>
    <w:link w:val="Heading1Char"/>
    <w:uiPriority w:val="9"/>
    <w:qFormat/>
    <w:rsid w:val="00D60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E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E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E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E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E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E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E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E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E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E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ED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770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1B7D2-BB13-46D0-8978-CCECFC371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621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Dyer, Evelyn</dc:creator>
  <cp:keywords/>
  <dc:description/>
  <cp:lastModifiedBy>Dyer, Evelyn</cp:lastModifiedBy>
  <cp:revision>11</cp:revision>
  <dcterms:created xsi:type="dcterms:W3CDTF">2025-05-05T11:24:00Z</dcterms:created>
  <dcterms:modified xsi:type="dcterms:W3CDTF">2025-05-08T15:13:00Z</dcterms:modified>
</cp:coreProperties>
</file>