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260CA7" w:rsidP="001017FD">
      <w:pPr>
        <w:pStyle w:val="ListParagraph"/>
        <w:jc w:val="center"/>
        <w:rPr>
          <w:rFonts w:ascii="Arial" w:hAnsi="Arial" w:cs="Arial"/>
          <w:b/>
          <w:sz w:val="24"/>
        </w:rPr>
      </w:pPr>
      <w:r>
        <w:rPr>
          <w:rFonts w:ascii="Arial" w:hAnsi="Arial" w:cs="Arial"/>
          <w:b/>
          <w:sz w:val="24"/>
        </w:rPr>
        <w:t>MARY BUDDENDORF/JIM MCCOY</w:t>
      </w:r>
      <w:r w:rsidR="00B51982">
        <w:rPr>
          <w:rFonts w:ascii="Arial" w:hAnsi="Arial" w:cs="Arial"/>
          <w:b/>
          <w:sz w:val="24"/>
        </w:rPr>
        <w:t xml:space="preserve"> BEEF </w:t>
      </w:r>
      <w:r w:rsidR="002D3970">
        <w:rPr>
          <w:rFonts w:ascii="Arial" w:hAnsi="Arial" w:cs="Arial"/>
          <w:b/>
          <w:sz w:val="24"/>
        </w:rPr>
        <w:t xml:space="preserve">FARM CERTIFICATION </w:t>
      </w:r>
      <w:r w:rsidR="0092000F">
        <w:rPr>
          <w:rFonts w:ascii="Arial" w:hAnsi="Arial" w:cs="Arial"/>
          <w:b/>
          <w:sz w:val="24"/>
        </w:rPr>
        <w:t>REQUEST REQUIRED DOCUMENTATION</w:t>
      </w:r>
    </w:p>
    <w:p w:rsidR="001017FD" w:rsidRPr="001C069C" w:rsidRDefault="001017FD" w:rsidP="001017FD">
      <w:pPr>
        <w:pStyle w:val="ListParagraph"/>
        <w:jc w:val="center"/>
        <w:rPr>
          <w:rFonts w:ascii="Arial" w:hAnsi="Arial" w:cs="Arial"/>
          <w:b/>
          <w:sz w:val="28"/>
        </w:rPr>
      </w:pPr>
    </w:p>
    <w:p w:rsidR="001C069C" w:rsidRPr="001C069C" w:rsidRDefault="001C069C" w:rsidP="001C069C">
      <w:pPr>
        <w:ind w:firstLine="720"/>
        <w:rPr>
          <w:rFonts w:ascii="Arial" w:hAnsi="Arial" w:cs="Arial"/>
          <w:sz w:val="24"/>
        </w:rPr>
      </w:pPr>
      <w:r w:rsidRPr="001C069C">
        <w:rPr>
          <w:rFonts w:ascii="Arial" w:hAnsi="Arial" w:cs="Arial"/>
          <w:sz w:val="24"/>
        </w:rPr>
        <w:t xml:space="preserve">Jim McCoy’s operation is </w:t>
      </w:r>
      <w:r>
        <w:rPr>
          <w:rFonts w:ascii="Arial" w:hAnsi="Arial" w:cs="Arial"/>
          <w:sz w:val="24"/>
        </w:rPr>
        <w:t xml:space="preserve">located in Mill Creek Township, Lycoming County.  It is </w:t>
      </w:r>
      <w:r w:rsidRPr="001C069C">
        <w:rPr>
          <w:rFonts w:ascii="Arial" w:hAnsi="Arial" w:cs="Arial"/>
          <w:sz w:val="24"/>
        </w:rPr>
        <w:t xml:space="preserve">primarily a beef and grain operation.  The beef cows </w:t>
      </w:r>
      <w:proofErr w:type="gramStart"/>
      <w:r w:rsidRPr="001C069C">
        <w:rPr>
          <w:rFonts w:ascii="Arial" w:hAnsi="Arial" w:cs="Arial"/>
          <w:sz w:val="24"/>
        </w:rPr>
        <w:t>are housed</w:t>
      </w:r>
      <w:proofErr w:type="gramEnd"/>
      <w:r w:rsidRPr="001C069C">
        <w:rPr>
          <w:rFonts w:ascii="Arial" w:hAnsi="Arial" w:cs="Arial"/>
          <w:sz w:val="24"/>
        </w:rPr>
        <w:t xml:space="preserve"> at his home farm, Tract 1625.  There are 40 cow/calf pairs, one bull and 15-25 finishing cows.  The cows </w:t>
      </w:r>
      <w:proofErr w:type="gramStart"/>
      <w:r w:rsidRPr="001C069C">
        <w:rPr>
          <w:rFonts w:ascii="Arial" w:hAnsi="Arial" w:cs="Arial"/>
          <w:sz w:val="24"/>
        </w:rPr>
        <w:t>are put</w:t>
      </w:r>
      <w:proofErr w:type="gramEnd"/>
      <w:r w:rsidRPr="001C069C">
        <w:rPr>
          <w:rFonts w:ascii="Arial" w:hAnsi="Arial" w:cs="Arial"/>
          <w:sz w:val="24"/>
        </w:rPr>
        <w:t xml:space="preserve"> on pasture at the beginning of May through the middle of November.  Calves </w:t>
      </w:r>
      <w:proofErr w:type="gramStart"/>
      <w:r w:rsidRPr="001C069C">
        <w:rPr>
          <w:rFonts w:ascii="Arial" w:hAnsi="Arial" w:cs="Arial"/>
          <w:sz w:val="24"/>
        </w:rPr>
        <w:t>are weaned and moved inside at the end of September</w:t>
      </w:r>
      <w:proofErr w:type="gramEnd"/>
      <w:r w:rsidRPr="001C069C">
        <w:rPr>
          <w:rFonts w:ascii="Arial" w:hAnsi="Arial" w:cs="Arial"/>
          <w:sz w:val="24"/>
        </w:rPr>
        <w:t xml:space="preserve">.  They remain there until they </w:t>
      </w:r>
      <w:proofErr w:type="gramStart"/>
      <w:r w:rsidRPr="001C069C">
        <w:rPr>
          <w:rFonts w:ascii="Arial" w:hAnsi="Arial" w:cs="Arial"/>
          <w:sz w:val="24"/>
        </w:rPr>
        <w:t>are sold</w:t>
      </w:r>
      <w:proofErr w:type="gramEnd"/>
      <w:r w:rsidRPr="001C069C">
        <w:rPr>
          <w:rFonts w:ascii="Arial" w:hAnsi="Arial" w:cs="Arial"/>
          <w:sz w:val="24"/>
        </w:rPr>
        <w:t xml:space="preserve"> the following year.  The bull is out with the cows from June through November when they go in for the winter.</w:t>
      </w: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51982" w:rsidP="00205596">
      <w:pPr>
        <w:pStyle w:val="ListParagraph"/>
        <w:ind w:left="0"/>
        <w:rPr>
          <w:rFonts w:ascii="Arial" w:hAnsi="Arial" w:cs="Arial"/>
          <w:sz w:val="24"/>
        </w:rPr>
      </w:pPr>
      <w:r>
        <w:rPr>
          <w:rFonts w:ascii="Arial" w:hAnsi="Arial" w:cs="Arial"/>
          <w:sz w:val="24"/>
        </w:rPr>
        <w:t xml:space="preserve">Mr. </w:t>
      </w:r>
      <w:r w:rsidR="00260CA7">
        <w:rPr>
          <w:rFonts w:ascii="Arial" w:hAnsi="Arial" w:cs="Arial"/>
          <w:sz w:val="24"/>
        </w:rPr>
        <w:t>McCoy</w:t>
      </w:r>
      <w:r>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B51982" w:rsidP="0091557E">
      <w:pPr>
        <w:pStyle w:val="ListParagraph"/>
        <w:ind w:left="0"/>
        <w:rPr>
          <w:rFonts w:ascii="Arial" w:hAnsi="Arial" w:cs="Arial"/>
          <w:sz w:val="24"/>
        </w:rPr>
      </w:pPr>
      <w:r>
        <w:rPr>
          <w:rFonts w:ascii="Arial" w:hAnsi="Arial" w:cs="Arial"/>
          <w:sz w:val="24"/>
        </w:rPr>
        <w:t xml:space="preserve">Mr. </w:t>
      </w:r>
      <w:r w:rsidR="00260CA7">
        <w:rPr>
          <w:rFonts w:ascii="Arial" w:hAnsi="Arial" w:cs="Arial"/>
          <w:sz w:val="24"/>
        </w:rPr>
        <w:t>McCoy</w:t>
      </w:r>
      <w:r>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Mr. </w:t>
      </w:r>
      <w:r w:rsidR="00260CA7">
        <w:rPr>
          <w:rFonts w:ascii="Arial" w:hAnsi="Arial" w:cs="Arial"/>
          <w:sz w:val="24"/>
          <w:szCs w:val="24"/>
        </w:rPr>
        <w:t>McCoy</w:t>
      </w:r>
      <w:r>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B2058F" w:rsidP="00B2058F">
      <w:pPr>
        <w:rPr>
          <w:rFonts w:ascii="Arial" w:hAnsi="Arial" w:cs="Arial"/>
          <w:sz w:val="24"/>
          <w:szCs w:val="24"/>
        </w:rPr>
      </w:pPr>
      <w:r>
        <w:rPr>
          <w:rFonts w:ascii="Arial" w:hAnsi="Arial" w:cs="Arial"/>
          <w:sz w:val="24"/>
          <w:szCs w:val="24"/>
        </w:rPr>
        <w:t xml:space="preserve">Mr. </w:t>
      </w:r>
      <w:r w:rsidR="00260CA7">
        <w:rPr>
          <w:rFonts w:ascii="Arial" w:hAnsi="Arial" w:cs="Arial"/>
          <w:sz w:val="24"/>
          <w:szCs w:val="24"/>
        </w:rPr>
        <w:t>McCoy</w:t>
      </w:r>
      <w:r>
        <w:rPr>
          <w:rFonts w:ascii="Arial" w:hAnsi="Arial" w:cs="Arial"/>
          <w:sz w:val="24"/>
          <w:szCs w:val="24"/>
        </w:rPr>
        <w:t xml:space="preserve">’s operation generates credits based on practice that </w:t>
      </w:r>
      <w:proofErr w:type="gramStart"/>
      <w:r>
        <w:rPr>
          <w:rFonts w:ascii="Arial" w:hAnsi="Arial" w:cs="Arial"/>
          <w:sz w:val="24"/>
          <w:szCs w:val="24"/>
        </w:rPr>
        <w:t>have been implemented</w:t>
      </w:r>
      <w:proofErr w:type="gramEnd"/>
      <w:r>
        <w:rPr>
          <w:rFonts w:ascii="Arial" w:hAnsi="Arial" w:cs="Arial"/>
          <w:sz w:val="24"/>
          <w:szCs w:val="24"/>
        </w:rPr>
        <w:t xml:space="preserve"> into the grazing operation.  These include Precision Grazing, Off-</w:t>
      </w:r>
      <w:r w:rsidR="001C069C">
        <w:rPr>
          <w:rFonts w:ascii="Arial" w:hAnsi="Arial" w:cs="Arial"/>
          <w:sz w:val="24"/>
          <w:szCs w:val="24"/>
        </w:rPr>
        <w:t xml:space="preserve">Stream Watering with </w:t>
      </w:r>
      <w:r>
        <w:rPr>
          <w:rFonts w:ascii="Arial" w:hAnsi="Arial" w:cs="Arial"/>
          <w:sz w:val="24"/>
          <w:szCs w:val="24"/>
        </w:rPr>
        <w:t xml:space="preserve">Stream Fencing, and having a Riparian Forested Buffer.  The credits </w:t>
      </w:r>
      <w:proofErr w:type="gramStart"/>
      <w:r>
        <w:rPr>
          <w:rFonts w:ascii="Arial" w:hAnsi="Arial" w:cs="Arial"/>
          <w:sz w:val="24"/>
          <w:szCs w:val="24"/>
        </w:rPr>
        <w:t>are generated</w:t>
      </w:r>
      <w:proofErr w:type="gramEnd"/>
      <w:r>
        <w:rPr>
          <w:rFonts w:ascii="Arial" w:hAnsi="Arial" w:cs="Arial"/>
          <w:sz w:val="24"/>
          <w:szCs w:val="24"/>
        </w:rPr>
        <w:t xml:space="preserve"> based on the difference between how the operation was run before the best management practices (BMPs) were implemented and how it is run now that the BMPs have been implemented.</w:t>
      </w:r>
      <w:r w:rsidR="001C069C">
        <w:rPr>
          <w:rFonts w:ascii="Arial" w:hAnsi="Arial" w:cs="Arial"/>
          <w:sz w:val="24"/>
          <w:szCs w:val="24"/>
        </w:rPr>
        <w:t xml:space="preserve">  He also generates conservation tillage, continuous no-till</w:t>
      </w:r>
      <w:r w:rsidR="00366556">
        <w:rPr>
          <w:rFonts w:ascii="Arial" w:hAnsi="Arial" w:cs="Arial"/>
          <w:sz w:val="24"/>
          <w:szCs w:val="24"/>
        </w:rPr>
        <w:t>, and cover crop credits for his grain operation going above the baseline for his cropping practices.</w:t>
      </w:r>
    </w:p>
    <w:p w:rsidR="004B1B15" w:rsidRDefault="00003709" w:rsidP="00B2058F">
      <w:pP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w:t>
      </w:r>
      <w:r w:rsidR="00AB20E2">
        <w:rPr>
          <w:rFonts w:ascii="Arial" w:hAnsi="Arial" w:cs="Arial"/>
          <w:sz w:val="24"/>
          <w:szCs w:val="24"/>
        </w:rPr>
        <w:lastRenderedPageBreak/>
        <w:t xml:space="preserve">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Nitrogen delivery ratio of 0.93. The Nitrogen Edge of Stream Ratios for this watershed is 55% for conventional tillage, 31% for conservation tillage, 78% for hay, and 15%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 xml:space="preserve">The following maps </w:t>
      </w:r>
      <w:proofErr w:type="gramStart"/>
      <w:r>
        <w:rPr>
          <w:rFonts w:ascii="Arial" w:hAnsi="Arial" w:cs="Arial"/>
          <w:sz w:val="24"/>
        </w:rPr>
        <w:t>have been submitted</w:t>
      </w:r>
      <w:proofErr w:type="gramEnd"/>
      <w:r>
        <w:rPr>
          <w:rFonts w:ascii="Arial" w:hAnsi="Arial" w:cs="Arial"/>
          <w:sz w:val="24"/>
        </w:rPr>
        <w:t xml:space="preserve"> to show the locations of the proposed PRA for each tract:</w:t>
      </w:r>
    </w:p>
    <w:p w:rsidR="00260CA7" w:rsidRPr="00072B38" w:rsidRDefault="00260CA7" w:rsidP="00260CA7">
      <w:pPr>
        <w:pStyle w:val="ListParagraph"/>
        <w:numPr>
          <w:ilvl w:val="0"/>
          <w:numId w:val="2"/>
        </w:numPr>
        <w:tabs>
          <w:tab w:val="left" w:pos="0"/>
        </w:tabs>
        <w:rPr>
          <w:rFonts w:ascii="Arial" w:hAnsi="Arial" w:cs="Arial"/>
          <w:b/>
          <w:sz w:val="24"/>
        </w:rPr>
      </w:pPr>
      <w:r>
        <w:rPr>
          <w:rFonts w:ascii="Arial" w:hAnsi="Arial" w:cs="Arial"/>
          <w:sz w:val="24"/>
        </w:rPr>
        <w:t>An FSA map showing the farm boundaries, the field boundaries of tracts that generate credits, adjacent or nearby road names, and any visible receiving streams.</w:t>
      </w:r>
    </w:p>
    <w:p w:rsidR="00260CA7" w:rsidRPr="00072B38" w:rsidRDefault="00260CA7" w:rsidP="00260CA7">
      <w:pPr>
        <w:pStyle w:val="ListParagraph"/>
        <w:tabs>
          <w:tab w:val="left" w:pos="0"/>
        </w:tabs>
        <w:rPr>
          <w:rFonts w:ascii="Arial" w:hAnsi="Arial" w:cs="Arial"/>
          <w:b/>
          <w:sz w:val="24"/>
        </w:rPr>
      </w:pPr>
    </w:p>
    <w:p w:rsidR="00260CA7" w:rsidRPr="00072B38" w:rsidRDefault="00260CA7" w:rsidP="00260CA7">
      <w:pPr>
        <w:pStyle w:val="ListParagraph"/>
        <w:numPr>
          <w:ilvl w:val="0"/>
          <w:numId w:val="2"/>
        </w:numPr>
        <w:tabs>
          <w:tab w:val="left" w:pos="0"/>
        </w:tabs>
        <w:rPr>
          <w:rFonts w:ascii="Arial" w:hAnsi="Arial" w:cs="Arial"/>
          <w:b/>
          <w:sz w:val="24"/>
        </w:rPr>
      </w:pPr>
      <w:r>
        <w:rPr>
          <w:rFonts w:ascii="Arial" w:hAnsi="Arial" w:cs="Arial"/>
          <w:sz w:val="24"/>
        </w:rPr>
        <w:t xml:space="preserve">A soil map showing the soils in the fields generating credits. A chart with all of the operation’s soil type symbols and their names </w:t>
      </w:r>
      <w:proofErr w:type="gramStart"/>
      <w:r>
        <w:rPr>
          <w:rFonts w:ascii="Arial" w:hAnsi="Arial" w:cs="Arial"/>
          <w:sz w:val="24"/>
        </w:rPr>
        <w:t>is also attached</w:t>
      </w:r>
      <w:proofErr w:type="gramEnd"/>
      <w:r>
        <w:rPr>
          <w:rFonts w:ascii="Arial" w:hAnsi="Arial" w:cs="Arial"/>
          <w:sz w:val="24"/>
        </w:rPr>
        <w:t xml:space="preserve"> with this proposal.</w:t>
      </w:r>
    </w:p>
    <w:p w:rsidR="00260CA7" w:rsidRPr="00072B38" w:rsidRDefault="00260CA7" w:rsidP="00260CA7">
      <w:pPr>
        <w:pStyle w:val="ListParagraph"/>
        <w:rPr>
          <w:rFonts w:ascii="Arial" w:hAnsi="Arial" w:cs="Arial"/>
          <w:b/>
          <w:sz w:val="24"/>
        </w:rPr>
      </w:pPr>
    </w:p>
    <w:p w:rsidR="00260CA7" w:rsidRPr="00B623BB" w:rsidRDefault="00260CA7" w:rsidP="00260CA7">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w:t>
      </w:r>
      <w:r w:rsidR="00F23DF8">
        <w:rPr>
          <w:rFonts w:ascii="Arial" w:hAnsi="Arial" w:cs="Arial"/>
          <w:sz w:val="24"/>
        </w:rPr>
        <w:t>pography of the tract, and a latit</w:t>
      </w:r>
      <w:r>
        <w:rPr>
          <w:rFonts w:ascii="Arial" w:hAnsi="Arial" w:cs="Arial"/>
          <w:sz w:val="24"/>
        </w:rPr>
        <w:t>ude and longitude reading for the center of the PRA activity.</w:t>
      </w:r>
    </w:p>
    <w:p w:rsidR="00260CA7" w:rsidRDefault="00260CA7" w:rsidP="00072B38">
      <w:pPr>
        <w:pStyle w:val="ListParagraph"/>
        <w:tabs>
          <w:tab w:val="left" w:pos="0"/>
        </w:tabs>
        <w:ind w:left="0"/>
        <w:rPr>
          <w:rFonts w:ascii="Arial" w:hAnsi="Arial" w:cs="Arial"/>
          <w:sz w:val="24"/>
        </w:rPr>
      </w:pP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This will be done by visiting the farm to make sure that all credit generating BMPs are being maintained and </w:t>
      </w:r>
      <w:r w:rsidR="00C53DDD">
        <w:rPr>
          <w:rFonts w:ascii="Arial" w:hAnsi="Arial" w:cs="Arial"/>
          <w:sz w:val="24"/>
        </w:rPr>
        <w:t>obtaining animal numbers and animal movement information.  This visit will take place in the May-July timeframe.</w:t>
      </w:r>
    </w:p>
    <w:p w:rsidR="00997887" w:rsidRDefault="00997887"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58"/>
        <w:gridCol w:w="2610"/>
        <w:gridCol w:w="2340"/>
        <w:gridCol w:w="2332"/>
      </w:tblGrid>
      <w:tr w:rsidR="003F27F8" w:rsidTr="00704397">
        <w:tc>
          <w:tcPr>
            <w:tcW w:w="2358" w:type="dxa"/>
          </w:tcPr>
          <w:p w:rsidR="003F27F8" w:rsidRDefault="000D1C8D" w:rsidP="00B5750B">
            <w:pPr>
              <w:pStyle w:val="ListParagraph"/>
              <w:tabs>
                <w:tab w:val="left" w:pos="0"/>
              </w:tabs>
              <w:ind w:left="0"/>
              <w:rPr>
                <w:rFonts w:ascii="Arial" w:hAnsi="Arial" w:cs="Arial"/>
                <w:sz w:val="24"/>
              </w:rPr>
            </w:pPr>
            <w:r>
              <w:rPr>
                <w:rFonts w:ascii="Arial" w:hAnsi="Arial" w:cs="Arial"/>
                <w:sz w:val="24"/>
              </w:rPr>
              <w:t>Tract numbers</w:t>
            </w:r>
          </w:p>
        </w:tc>
        <w:tc>
          <w:tcPr>
            <w:tcW w:w="261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40"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332"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704397">
        <w:tc>
          <w:tcPr>
            <w:tcW w:w="2358" w:type="dxa"/>
          </w:tcPr>
          <w:p w:rsidR="003F27F8" w:rsidRDefault="00704397" w:rsidP="00B5750B">
            <w:pPr>
              <w:pStyle w:val="ListParagraph"/>
              <w:tabs>
                <w:tab w:val="left" w:pos="0"/>
              </w:tabs>
              <w:ind w:left="0"/>
              <w:rPr>
                <w:rFonts w:ascii="Arial" w:hAnsi="Arial" w:cs="Arial"/>
                <w:sz w:val="24"/>
              </w:rPr>
            </w:pPr>
            <w:r>
              <w:rPr>
                <w:rFonts w:ascii="Arial" w:hAnsi="Arial" w:cs="Arial"/>
                <w:sz w:val="24"/>
              </w:rPr>
              <w:t>1614, 1625, 3780 &amp; 4026</w:t>
            </w:r>
          </w:p>
        </w:tc>
        <w:tc>
          <w:tcPr>
            <w:tcW w:w="2610" w:type="dxa"/>
          </w:tcPr>
          <w:p w:rsidR="003F27F8" w:rsidRDefault="00366556" w:rsidP="00160CDD">
            <w:pPr>
              <w:pStyle w:val="ListParagraph"/>
              <w:tabs>
                <w:tab w:val="left" w:pos="0"/>
              </w:tabs>
              <w:ind w:left="0"/>
              <w:rPr>
                <w:rFonts w:ascii="Arial" w:hAnsi="Arial" w:cs="Arial"/>
                <w:sz w:val="24"/>
              </w:rPr>
            </w:pPr>
            <w:r>
              <w:rPr>
                <w:rFonts w:ascii="Arial" w:hAnsi="Arial" w:cs="Arial"/>
                <w:sz w:val="24"/>
              </w:rPr>
              <w:t>Mill Creek and UNTs</w:t>
            </w:r>
          </w:p>
        </w:tc>
        <w:tc>
          <w:tcPr>
            <w:tcW w:w="2340" w:type="dxa"/>
          </w:tcPr>
          <w:p w:rsidR="003F27F8" w:rsidRDefault="00366556" w:rsidP="00B5750B">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Pr>
                <w:rFonts w:ascii="Arial" w:hAnsi="Arial" w:cs="Arial"/>
                <w:sz w:val="24"/>
              </w:rPr>
              <w:t xml:space="preserve"> Creek</w:t>
            </w:r>
          </w:p>
        </w:tc>
        <w:tc>
          <w:tcPr>
            <w:tcW w:w="2332"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366556" w:rsidTr="00704397">
        <w:tc>
          <w:tcPr>
            <w:tcW w:w="2358"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1828</w:t>
            </w:r>
          </w:p>
        </w:tc>
        <w:tc>
          <w:tcPr>
            <w:tcW w:w="2610"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Pine Run</w:t>
            </w:r>
          </w:p>
        </w:tc>
        <w:tc>
          <w:tcPr>
            <w:tcW w:w="2340"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Mill Creek</w:t>
            </w:r>
          </w:p>
        </w:tc>
        <w:tc>
          <w:tcPr>
            <w:tcW w:w="2332"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Susquehanna River</w:t>
            </w:r>
          </w:p>
        </w:tc>
      </w:tr>
      <w:tr w:rsidR="00366556" w:rsidTr="00704397">
        <w:tc>
          <w:tcPr>
            <w:tcW w:w="2358"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1828</w:t>
            </w:r>
          </w:p>
        </w:tc>
        <w:tc>
          <w:tcPr>
            <w:tcW w:w="2610"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Rush Run</w:t>
            </w:r>
          </w:p>
        </w:tc>
        <w:tc>
          <w:tcPr>
            <w:tcW w:w="2340"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Mill Creek</w:t>
            </w:r>
          </w:p>
        </w:tc>
        <w:tc>
          <w:tcPr>
            <w:tcW w:w="2332"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Susquehanna River</w:t>
            </w:r>
          </w:p>
        </w:tc>
      </w:tr>
      <w:tr w:rsidR="00366556" w:rsidTr="00704397">
        <w:tc>
          <w:tcPr>
            <w:tcW w:w="2358" w:type="dxa"/>
          </w:tcPr>
          <w:p w:rsidR="00366556" w:rsidRDefault="00704397" w:rsidP="00A07905">
            <w:pPr>
              <w:pStyle w:val="ListParagraph"/>
              <w:tabs>
                <w:tab w:val="left" w:pos="0"/>
              </w:tabs>
              <w:ind w:left="0"/>
              <w:rPr>
                <w:rFonts w:ascii="Arial" w:hAnsi="Arial" w:cs="Arial"/>
                <w:sz w:val="24"/>
              </w:rPr>
            </w:pPr>
            <w:r>
              <w:rPr>
                <w:rFonts w:ascii="Arial" w:hAnsi="Arial" w:cs="Arial"/>
                <w:sz w:val="24"/>
              </w:rPr>
              <w:t>3704</w:t>
            </w:r>
          </w:p>
        </w:tc>
        <w:tc>
          <w:tcPr>
            <w:tcW w:w="2610"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UNT to W. Branch Susquehanna River</w:t>
            </w:r>
            <w:r w:rsidR="00704397">
              <w:rPr>
                <w:rFonts w:ascii="Arial" w:hAnsi="Arial" w:cs="Arial"/>
                <w:sz w:val="24"/>
              </w:rPr>
              <w:t xml:space="preserve"> (Carpenter’s Run)</w:t>
            </w:r>
          </w:p>
        </w:tc>
        <w:tc>
          <w:tcPr>
            <w:tcW w:w="2340"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West Branch Susquehanna River</w:t>
            </w:r>
          </w:p>
        </w:tc>
        <w:tc>
          <w:tcPr>
            <w:tcW w:w="2332" w:type="dxa"/>
          </w:tcPr>
          <w:p w:rsidR="00366556" w:rsidRDefault="00366556" w:rsidP="00A07905">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704397" w:rsidP="00B5750B">
      <w:pPr>
        <w:pStyle w:val="ListParagraph"/>
        <w:tabs>
          <w:tab w:val="left" w:pos="0"/>
        </w:tabs>
        <w:ind w:left="0"/>
        <w:rPr>
          <w:rFonts w:ascii="Arial" w:hAnsi="Arial" w:cs="Arial"/>
          <w:sz w:val="24"/>
        </w:rPr>
      </w:pPr>
      <w:r>
        <w:rPr>
          <w:rFonts w:ascii="Arial" w:hAnsi="Arial" w:cs="Arial"/>
          <w:sz w:val="24"/>
        </w:rPr>
        <w:t xml:space="preserve">Mill Creek and UNTs, Pine Run, and Rush Run </w:t>
      </w:r>
      <w:proofErr w:type="gramStart"/>
      <w:r>
        <w:rPr>
          <w:rFonts w:ascii="Arial" w:hAnsi="Arial" w:cs="Arial"/>
          <w:sz w:val="24"/>
        </w:rPr>
        <w:t>are</w:t>
      </w:r>
      <w:r w:rsidR="00F23DF8">
        <w:rPr>
          <w:rFonts w:ascii="Arial" w:hAnsi="Arial" w:cs="Arial"/>
          <w:sz w:val="24"/>
        </w:rPr>
        <w:t xml:space="preserve"> </w:t>
      </w:r>
      <w:r w:rsidR="000D1C8D">
        <w:rPr>
          <w:rFonts w:ascii="Arial" w:hAnsi="Arial" w:cs="Arial"/>
          <w:sz w:val="24"/>
        </w:rPr>
        <w:t>listed</w:t>
      </w:r>
      <w:proofErr w:type="gramEnd"/>
      <w:r w:rsidR="000D1C8D">
        <w:rPr>
          <w:rFonts w:ascii="Arial" w:hAnsi="Arial" w:cs="Arial"/>
          <w:sz w:val="24"/>
        </w:rPr>
        <w:t xml:space="preserve"> in</w:t>
      </w:r>
      <w:r w:rsidR="00B5750B">
        <w:rPr>
          <w:rFonts w:ascii="Arial" w:hAnsi="Arial" w:cs="Arial"/>
          <w:sz w:val="24"/>
        </w:rPr>
        <w:t xml:space="preserve"> Chapter 93 as h</w:t>
      </w:r>
      <w:r>
        <w:rPr>
          <w:rFonts w:ascii="Arial" w:hAnsi="Arial" w:cs="Arial"/>
          <w:sz w:val="24"/>
        </w:rPr>
        <w:t>aving a designated use of TSF (</w:t>
      </w:r>
      <w:r w:rsidR="00366556">
        <w:rPr>
          <w:rFonts w:ascii="Arial" w:hAnsi="Arial" w:cs="Arial"/>
          <w:sz w:val="24"/>
        </w:rPr>
        <w:t>Trout Stocked</w:t>
      </w:r>
      <w:r w:rsidR="00B5750B">
        <w:rPr>
          <w:rFonts w:ascii="Arial" w:hAnsi="Arial" w:cs="Arial"/>
          <w:sz w:val="24"/>
        </w:rPr>
        <w:t xml:space="preserve"> Fishes)</w:t>
      </w:r>
      <w:r w:rsidR="009B647C">
        <w:rPr>
          <w:rFonts w:ascii="Arial" w:hAnsi="Arial" w:cs="Arial"/>
          <w:sz w:val="24"/>
        </w:rPr>
        <w:t>.</w:t>
      </w:r>
      <w:r>
        <w:rPr>
          <w:rFonts w:ascii="Arial" w:hAnsi="Arial" w:cs="Arial"/>
          <w:sz w:val="24"/>
        </w:rPr>
        <w:t xml:space="preserve"> UNT to W. Branch Susquehanna River </w:t>
      </w:r>
      <w:proofErr w:type="gramStart"/>
      <w:r>
        <w:rPr>
          <w:rFonts w:ascii="Arial" w:hAnsi="Arial" w:cs="Arial"/>
          <w:sz w:val="24"/>
        </w:rPr>
        <w:t>is liste</w:t>
      </w:r>
      <w:r w:rsidR="00F23DF8">
        <w:rPr>
          <w:rFonts w:ascii="Arial" w:hAnsi="Arial" w:cs="Arial"/>
          <w:sz w:val="24"/>
        </w:rPr>
        <w:t>d</w:t>
      </w:r>
      <w:proofErr w:type="gramEnd"/>
      <w:r>
        <w:rPr>
          <w:rFonts w:ascii="Arial" w:hAnsi="Arial" w:cs="Arial"/>
          <w:sz w:val="24"/>
        </w:rPr>
        <w:t xml:space="preserve"> as having a designated use of WWF (Warm Water Fishes).</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704397">
        <w:rPr>
          <w:rFonts w:ascii="Arial" w:hAnsi="Arial" w:cs="Arial"/>
          <w:sz w:val="24"/>
        </w:rPr>
        <w:t xml:space="preserve">s </w:t>
      </w:r>
      <w:r w:rsidR="00F23DF8">
        <w:rPr>
          <w:rFonts w:ascii="Arial" w:hAnsi="Arial" w:cs="Arial"/>
          <w:sz w:val="24"/>
        </w:rPr>
        <w:t xml:space="preserve">on </w:t>
      </w:r>
      <w:bookmarkStart w:id="0" w:name="_GoBack"/>
      <w:bookmarkEnd w:id="0"/>
      <w:r w:rsidR="00704397">
        <w:rPr>
          <w:rFonts w:ascii="Arial" w:hAnsi="Arial" w:cs="Arial"/>
          <w:sz w:val="24"/>
        </w:rPr>
        <w:t xml:space="preserve">UNT to W. Branch Susquehanna River (Carpenter’s Run) </w:t>
      </w:r>
      <w:proofErr w:type="gramStart"/>
      <w:r w:rsidR="00704397">
        <w:rPr>
          <w:rFonts w:ascii="Arial" w:hAnsi="Arial" w:cs="Arial"/>
          <w:sz w:val="24"/>
        </w:rPr>
        <w:t>is listed</w:t>
      </w:r>
      <w:proofErr w:type="gramEnd"/>
      <w:r w:rsidR="00704397">
        <w:rPr>
          <w:rFonts w:ascii="Arial" w:hAnsi="Arial" w:cs="Arial"/>
          <w:sz w:val="24"/>
        </w:rPr>
        <w:t xml:space="preserve"> as having an impairment listed as Agriculture: Siltation</w:t>
      </w:r>
      <w:r>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C53DDD" w:rsidP="005B5AEC">
      <w:pPr>
        <w:pStyle w:val="ListParagraph"/>
        <w:tabs>
          <w:tab w:val="left" w:pos="0"/>
        </w:tabs>
        <w:ind w:left="0"/>
        <w:rPr>
          <w:rFonts w:ascii="Arial" w:hAnsi="Arial" w:cs="Arial"/>
          <w:sz w:val="24"/>
        </w:rPr>
      </w:pPr>
      <w:r>
        <w:rPr>
          <w:rFonts w:ascii="Arial" w:hAnsi="Arial" w:cs="Arial"/>
          <w:sz w:val="24"/>
        </w:rPr>
        <w:t xml:space="preserve">Mr. </w:t>
      </w:r>
      <w:r w:rsidR="00260CA7">
        <w:rPr>
          <w:rFonts w:ascii="Arial" w:hAnsi="Arial" w:cs="Arial"/>
          <w:sz w:val="24"/>
        </w:rPr>
        <w:t>McCoy</w:t>
      </w:r>
      <w:r>
        <w:rPr>
          <w:rFonts w:ascii="Arial" w:hAnsi="Arial" w:cs="Arial"/>
          <w:sz w:val="24"/>
        </w:rPr>
        <w:t xml:space="preserve"> has received</w:t>
      </w:r>
      <w:r w:rsidR="002E3614">
        <w:rPr>
          <w:rFonts w:ascii="Arial" w:hAnsi="Arial" w:cs="Arial"/>
          <w:sz w:val="24"/>
        </w:rPr>
        <w:t xml:space="preserve"> public funding sources to generate these credits.  </w:t>
      </w:r>
      <w:r>
        <w:rPr>
          <w:rFonts w:ascii="Arial" w:hAnsi="Arial" w:cs="Arial"/>
          <w:sz w:val="24"/>
        </w:rPr>
        <w:t xml:space="preserve">The funding was through the USDA’s CREP Program.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704397" w:rsidRDefault="00704397" w:rsidP="00FD21C6">
      <w:pPr>
        <w:rPr>
          <w:rFonts w:ascii="Arial" w:hAnsi="Arial" w:cs="Arial"/>
          <w:sz w:val="24"/>
        </w:rPr>
      </w:pPr>
      <w:r>
        <w:rPr>
          <w:rFonts w:ascii="Arial" w:hAnsi="Arial" w:cs="Arial"/>
          <w:sz w:val="24"/>
        </w:rPr>
        <w:t xml:space="preserve">None of the tracts </w:t>
      </w:r>
      <w:proofErr w:type="gramStart"/>
      <w:r>
        <w:rPr>
          <w:rFonts w:ascii="Arial" w:hAnsi="Arial" w:cs="Arial"/>
          <w:sz w:val="24"/>
        </w:rPr>
        <w:t>are</w:t>
      </w:r>
      <w:proofErr w:type="gramEnd"/>
      <w:r>
        <w:rPr>
          <w:rFonts w:ascii="Arial" w:hAnsi="Arial" w:cs="Arial"/>
          <w:sz w:val="24"/>
        </w:rPr>
        <w:t xml:space="preserve"> enrolled in an Ag Security Area or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 xml:space="preserve">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Default="009D3B9F" w:rsidP="009D3B9F">
      <w:pPr>
        <w:pStyle w:val="ListParagraph"/>
        <w:rPr>
          <w:rFonts w:ascii="Arial" w:hAnsi="Arial" w:cs="Arial"/>
          <w:b/>
          <w:sz w:val="24"/>
          <w:u w:val="single"/>
        </w:rPr>
      </w:pPr>
    </w:p>
    <w:p w:rsidR="00236F27" w:rsidRPr="009D3B9F" w:rsidRDefault="00236F27"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260CA7">
        <w:rPr>
          <w:rFonts w:ascii="Arial" w:eastAsia="Times New Roman" w:hAnsi="Arial" w:cs="Arial"/>
          <w:sz w:val="24"/>
          <w:szCs w:val="24"/>
        </w:rPr>
        <w:t xml:space="preserve">Mary </w:t>
      </w:r>
      <w:proofErr w:type="spellStart"/>
      <w:r w:rsidR="00260CA7">
        <w:rPr>
          <w:rFonts w:ascii="Arial" w:eastAsia="Times New Roman" w:hAnsi="Arial" w:cs="Arial"/>
          <w:sz w:val="24"/>
          <w:szCs w:val="24"/>
        </w:rPr>
        <w:t>Buddendorf</w:t>
      </w:r>
      <w:proofErr w:type="spellEnd"/>
      <w:r w:rsidR="00260CA7">
        <w:rPr>
          <w:rFonts w:ascii="Arial" w:eastAsia="Times New Roman" w:hAnsi="Arial" w:cs="Arial"/>
          <w:sz w:val="24"/>
          <w:szCs w:val="24"/>
        </w:rPr>
        <w:t>/</w:t>
      </w:r>
      <w:r w:rsidR="00260CA7">
        <w:rPr>
          <w:rFonts w:ascii="Arial" w:hAnsi="Arial" w:cs="Arial"/>
          <w:sz w:val="24"/>
        </w:rPr>
        <w:t>Jim McCoy</w:t>
      </w:r>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260CA7">
        <w:rPr>
          <w:rFonts w:ascii="Arial" w:hAnsi="Arial" w:cs="Arial"/>
          <w:sz w:val="24"/>
        </w:rPr>
        <w:t>2938 Woodley Hollow Road</w:t>
      </w:r>
    </w:p>
    <w:p w:rsidR="00FD21C6" w:rsidRDefault="00FD21C6"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sidR="00260CA7">
        <w:rPr>
          <w:rFonts w:ascii="Arial" w:hAnsi="Arial" w:cs="Arial"/>
          <w:sz w:val="24"/>
        </w:rPr>
        <w:tab/>
      </w:r>
      <w:r w:rsidR="00260CA7">
        <w:rPr>
          <w:rFonts w:ascii="Arial" w:hAnsi="Arial" w:cs="Arial"/>
          <w:sz w:val="24"/>
        </w:rPr>
        <w:tab/>
        <w:t>Montoursville, PA  17754</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260CA7">
        <w:rPr>
          <w:rFonts w:ascii="Arial" w:eastAsia="Times New Roman" w:hAnsi="Arial" w:cs="Arial"/>
          <w:sz w:val="24"/>
          <w:szCs w:val="24"/>
        </w:rPr>
        <w:t>Jim McCoy</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260CA7"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t xml:space="preserve">Mary </w:t>
      </w:r>
      <w:proofErr w:type="spellStart"/>
      <w:r>
        <w:rPr>
          <w:rFonts w:ascii="Arial" w:eastAsia="Times New Roman" w:hAnsi="Arial" w:cs="Arial"/>
          <w:sz w:val="24"/>
          <w:szCs w:val="24"/>
        </w:rPr>
        <w:t>Buddendorf</w:t>
      </w:r>
      <w:proofErr w:type="spellEnd"/>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w:t>
      </w:r>
      <w:r w:rsidR="00CD1CAB">
        <w:rPr>
          <w:rFonts w:ascii="Arial" w:hAnsi="Arial" w:cs="Arial"/>
          <w:sz w:val="24"/>
        </w:rPr>
        <w:t>checks</w:t>
      </w:r>
      <w:r w:rsidR="00814A9D">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w:t>
      </w:r>
      <w:r w:rsidR="00FD21C6">
        <w:rPr>
          <w:rFonts w:ascii="Arial" w:hAnsi="Arial" w:cs="Arial"/>
          <w:sz w:val="24"/>
        </w:rPr>
        <w:t xml:space="preserve">take place in the May-July time frame.  An on-farm inspection of BMPs and meeting with Mr. </w:t>
      </w:r>
      <w:r w:rsidR="00260CA7">
        <w:rPr>
          <w:rFonts w:ascii="Arial" w:hAnsi="Arial" w:cs="Arial"/>
          <w:sz w:val="24"/>
        </w:rPr>
        <w:t>McCoy</w:t>
      </w:r>
      <w:r w:rsidR="00FD21C6">
        <w:rPr>
          <w:rFonts w:ascii="Arial" w:hAnsi="Arial" w:cs="Arial"/>
          <w:sz w:val="24"/>
        </w:rPr>
        <w:t xml:space="preserve"> to get animal numbers and animal movement information will occur during this visit.</w:t>
      </w:r>
    </w:p>
    <w:p w:rsidR="00E868D4" w:rsidRDefault="00E868D4" w:rsidP="00E868D4">
      <w:pPr>
        <w:pStyle w:val="ListParagraph"/>
        <w:rPr>
          <w:rFonts w:ascii="Arial" w:hAnsi="Arial" w:cs="Arial"/>
          <w:b/>
          <w:sz w:val="24"/>
        </w:rPr>
      </w:pPr>
    </w:p>
    <w:p w:rsidR="00236F27" w:rsidRDefault="00236F27" w:rsidP="00E868D4">
      <w:pPr>
        <w:pStyle w:val="ListParagraph"/>
        <w:rPr>
          <w:rFonts w:ascii="Arial" w:hAnsi="Arial" w:cs="Arial"/>
          <w:b/>
          <w:sz w:val="24"/>
        </w:rPr>
      </w:pPr>
    </w:p>
    <w:p w:rsidR="00236F27" w:rsidRPr="00E868D4" w:rsidRDefault="00236F27" w:rsidP="00E868D4">
      <w:pPr>
        <w:pStyle w:val="ListParagraph"/>
        <w:rPr>
          <w:rFonts w:ascii="Arial" w:hAnsi="Arial" w:cs="Arial"/>
          <w:b/>
          <w:sz w:val="24"/>
        </w:rPr>
      </w:pP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2D3970">
        <w:rPr>
          <w:rFonts w:ascii="Arial" w:hAnsi="Arial" w:cs="Arial"/>
          <w:b/>
          <w:sz w:val="24"/>
          <w:u w:val="single"/>
        </w:rPr>
        <w:t xml:space="preserve">to Supplement the Certification </w:t>
      </w:r>
      <w:r w:rsidR="003900A5">
        <w:rPr>
          <w:rFonts w:ascii="Arial" w:hAnsi="Arial" w:cs="Arial"/>
          <w:b/>
          <w:sz w:val="24"/>
          <w:u w:val="single"/>
        </w:rPr>
        <w:t>Request Form</w:t>
      </w:r>
      <w:r w:rsidR="00ED177E">
        <w:rPr>
          <w:rFonts w:ascii="Arial" w:hAnsi="Arial" w:cs="Arial"/>
          <w:b/>
          <w:sz w:val="24"/>
          <w:u w:val="single"/>
        </w:rPr>
        <w:t xml:space="preserve"> and</w:t>
      </w:r>
    </w:p>
    <w:p w:rsidR="00E868D4" w:rsidRDefault="002D3970" w:rsidP="00ED177E">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ED177E">
        <w:rPr>
          <w:rFonts w:ascii="Arial" w:hAnsi="Arial" w:cs="Arial"/>
          <w:b/>
          <w:sz w:val="24"/>
          <w:u w:val="single"/>
        </w:rPr>
        <w:t>Request Requ</w:t>
      </w:r>
      <w:r w:rsidR="00FB2ADA">
        <w:rPr>
          <w:rFonts w:ascii="Arial" w:hAnsi="Arial" w:cs="Arial"/>
          <w:b/>
          <w:sz w:val="24"/>
          <w:u w:val="single"/>
        </w:rPr>
        <w:t>ired Documentation</w:t>
      </w:r>
    </w:p>
    <w:p w:rsidR="00B02771" w:rsidRDefault="00B02771" w:rsidP="00B02771">
      <w:pPr>
        <w:pStyle w:val="ListParagraph"/>
        <w:tabs>
          <w:tab w:val="left" w:pos="0"/>
        </w:tabs>
        <w:ind w:hanging="720"/>
        <w:rPr>
          <w:rFonts w:ascii="Arial" w:hAnsi="Arial" w:cs="Arial"/>
          <w:b/>
          <w:sz w:val="24"/>
          <w:u w:val="single"/>
        </w:rPr>
      </w:pPr>
    </w:p>
    <w:p w:rsidR="00933FF2" w:rsidRDefault="00933FF2" w:rsidP="00933FF2">
      <w:pPr>
        <w:pStyle w:val="ListParagraph"/>
        <w:numPr>
          <w:ilvl w:val="0"/>
          <w:numId w:val="4"/>
        </w:numPr>
        <w:tabs>
          <w:tab w:val="left" w:pos="0"/>
        </w:tabs>
        <w:ind w:left="360"/>
        <w:rPr>
          <w:rFonts w:ascii="Arial" w:hAnsi="Arial" w:cs="Arial"/>
          <w:b/>
          <w:sz w:val="24"/>
        </w:rPr>
      </w:pPr>
      <w:r>
        <w:rPr>
          <w:rFonts w:ascii="Arial" w:hAnsi="Arial" w:cs="Arial"/>
          <w:b/>
          <w:sz w:val="24"/>
        </w:rPr>
        <w:t>Map</w:t>
      </w:r>
      <w:r w:rsidR="005A4B29" w:rsidRPr="005A4B29">
        <w:rPr>
          <w:rFonts w:ascii="Arial" w:hAnsi="Arial" w:cs="Arial"/>
          <w:b/>
          <w:sz w:val="24"/>
        </w:rPr>
        <w:t xml:space="preserve"> Folder</w:t>
      </w:r>
      <w:r>
        <w:rPr>
          <w:rFonts w:ascii="Arial" w:hAnsi="Arial" w:cs="Arial"/>
          <w:b/>
          <w:sz w:val="24"/>
        </w:rPr>
        <w:t xml:space="preserve"> </w:t>
      </w:r>
      <w:r w:rsidRPr="00A554DC">
        <w:rPr>
          <w:rFonts w:ascii="Arial" w:hAnsi="Arial" w:cs="Arial"/>
          <w:b/>
          <w:sz w:val="24"/>
        </w:rPr>
        <w:t>(Each fol</w:t>
      </w:r>
      <w:r>
        <w:rPr>
          <w:rFonts w:ascii="Arial" w:hAnsi="Arial" w:cs="Arial"/>
          <w:b/>
          <w:sz w:val="24"/>
        </w:rPr>
        <w:t>der listed below contains an FSA</w:t>
      </w:r>
      <w:r w:rsidRPr="00A554DC">
        <w:rPr>
          <w:rFonts w:ascii="Arial" w:hAnsi="Arial" w:cs="Arial"/>
          <w:b/>
          <w:sz w:val="24"/>
        </w:rPr>
        <w:t xml:space="preserve"> map, Soil Map, and a Topographic Map)</w:t>
      </w:r>
    </w:p>
    <w:p w:rsidR="00933FF2" w:rsidRDefault="00933FF2" w:rsidP="00933FF2">
      <w:pPr>
        <w:pStyle w:val="ListParagraph"/>
        <w:tabs>
          <w:tab w:val="left" w:pos="0"/>
        </w:tabs>
        <w:ind w:left="360"/>
        <w:rPr>
          <w:rFonts w:ascii="Arial" w:hAnsi="Arial" w:cs="Arial"/>
          <w:b/>
          <w:sz w:val="24"/>
        </w:rPr>
      </w:pPr>
    </w:p>
    <w:p w:rsidR="00933FF2" w:rsidRDefault="00933FF2" w:rsidP="00933FF2">
      <w:pPr>
        <w:pStyle w:val="ListParagraph"/>
        <w:tabs>
          <w:tab w:val="left" w:pos="0"/>
        </w:tabs>
        <w:ind w:hanging="360"/>
        <w:rPr>
          <w:rFonts w:ascii="Arial" w:hAnsi="Arial" w:cs="Arial"/>
          <w:sz w:val="24"/>
        </w:rPr>
      </w:pPr>
      <w:r>
        <w:rPr>
          <w:rFonts w:ascii="Arial" w:hAnsi="Arial" w:cs="Arial"/>
          <w:sz w:val="24"/>
        </w:rPr>
        <w:t>Tract 1614</w:t>
      </w:r>
      <w:r>
        <w:rPr>
          <w:rFonts w:ascii="Arial" w:hAnsi="Arial" w:cs="Arial"/>
          <w:sz w:val="24"/>
        </w:rPr>
        <w:tab/>
        <w:t>Tract 1625</w:t>
      </w:r>
      <w:r>
        <w:rPr>
          <w:rFonts w:ascii="Arial" w:hAnsi="Arial" w:cs="Arial"/>
          <w:sz w:val="24"/>
        </w:rPr>
        <w:tab/>
      </w:r>
      <w:r>
        <w:rPr>
          <w:rFonts w:ascii="Arial" w:hAnsi="Arial" w:cs="Arial"/>
          <w:sz w:val="24"/>
        </w:rPr>
        <w:tab/>
        <w:t>Tract 1828</w:t>
      </w:r>
      <w:r>
        <w:rPr>
          <w:rFonts w:ascii="Arial" w:hAnsi="Arial" w:cs="Arial"/>
          <w:sz w:val="24"/>
        </w:rPr>
        <w:tab/>
        <w:t>Tract 3704</w:t>
      </w:r>
      <w:r>
        <w:rPr>
          <w:rFonts w:ascii="Arial" w:hAnsi="Arial" w:cs="Arial"/>
          <w:sz w:val="24"/>
        </w:rPr>
        <w:tab/>
      </w:r>
    </w:p>
    <w:p w:rsidR="00933FF2" w:rsidRDefault="00933FF2" w:rsidP="00933FF2">
      <w:pPr>
        <w:pStyle w:val="ListParagraph"/>
        <w:tabs>
          <w:tab w:val="left" w:pos="0"/>
        </w:tabs>
        <w:ind w:hanging="360"/>
        <w:rPr>
          <w:rFonts w:ascii="Arial" w:hAnsi="Arial" w:cs="Arial"/>
          <w:sz w:val="24"/>
        </w:rPr>
      </w:pPr>
    </w:p>
    <w:p w:rsidR="00933FF2" w:rsidRPr="00933FF2" w:rsidRDefault="00933FF2" w:rsidP="00933FF2">
      <w:pPr>
        <w:pStyle w:val="ListParagraph"/>
        <w:tabs>
          <w:tab w:val="left" w:pos="0"/>
        </w:tabs>
        <w:ind w:hanging="360"/>
        <w:rPr>
          <w:rFonts w:ascii="Arial" w:hAnsi="Arial" w:cs="Arial"/>
          <w:sz w:val="24"/>
        </w:rPr>
      </w:pPr>
      <w:r>
        <w:rPr>
          <w:rFonts w:ascii="Arial" w:hAnsi="Arial" w:cs="Arial"/>
          <w:sz w:val="24"/>
        </w:rPr>
        <w:t>Tract 3780</w:t>
      </w:r>
      <w:r>
        <w:rPr>
          <w:rFonts w:ascii="Arial" w:hAnsi="Arial" w:cs="Arial"/>
          <w:sz w:val="24"/>
        </w:rPr>
        <w:tab/>
        <w:t>Tract 4206</w:t>
      </w:r>
      <w:r w:rsidRPr="00933FF2">
        <w:rPr>
          <w:rFonts w:ascii="Arial" w:hAnsi="Arial" w:cs="Arial"/>
          <w:sz w:val="24"/>
        </w:rPr>
        <w:tab/>
      </w:r>
      <w:r w:rsidRPr="00933FF2">
        <w:rPr>
          <w:rFonts w:ascii="Arial" w:hAnsi="Arial" w:cs="Arial"/>
          <w:sz w:val="24"/>
        </w:rPr>
        <w:tab/>
      </w:r>
    </w:p>
    <w:p w:rsidR="00706575" w:rsidRDefault="00706575" w:rsidP="005A4B29">
      <w:pPr>
        <w:tabs>
          <w:tab w:val="left" w:pos="360"/>
          <w:tab w:val="left" w:pos="450"/>
        </w:tabs>
        <w:ind w:left="360" w:hanging="360"/>
        <w:rPr>
          <w:rFonts w:ascii="Arial" w:hAnsi="Arial" w:cs="Arial"/>
          <w:b/>
          <w:sz w:val="24"/>
        </w:rPr>
      </w:pPr>
      <w:r w:rsidRPr="00933FF2">
        <w:rPr>
          <w:rFonts w:ascii="Arial" w:hAnsi="Arial" w:cs="Arial"/>
          <w:b/>
          <w:sz w:val="24"/>
        </w:rPr>
        <w:t>2.</w:t>
      </w:r>
      <w:r>
        <w:rPr>
          <w:rFonts w:ascii="Arial" w:hAnsi="Arial" w:cs="Arial"/>
          <w:sz w:val="24"/>
        </w:rPr>
        <w:t xml:space="preserve"> </w:t>
      </w:r>
      <w:r w:rsidR="00933FF2">
        <w:rPr>
          <w:rFonts w:ascii="Arial" w:hAnsi="Arial" w:cs="Arial"/>
          <w:b/>
          <w:sz w:val="24"/>
        </w:rPr>
        <w:t>RUSLE2</w:t>
      </w:r>
      <w:r w:rsidRPr="00706575">
        <w:rPr>
          <w:rFonts w:ascii="Arial" w:hAnsi="Arial" w:cs="Arial"/>
          <w:b/>
          <w:sz w:val="24"/>
        </w:rPr>
        <w:t xml:space="preserve"> Folder</w:t>
      </w:r>
    </w:p>
    <w:p w:rsidR="00933FF2" w:rsidRDefault="00933FF2" w:rsidP="00706575">
      <w:pPr>
        <w:tabs>
          <w:tab w:val="left" w:pos="360"/>
          <w:tab w:val="left" w:pos="450"/>
        </w:tabs>
        <w:ind w:left="360" w:hanging="360"/>
        <w:rPr>
          <w:rFonts w:ascii="Arial" w:hAnsi="Arial" w:cs="Arial"/>
          <w:b/>
          <w:sz w:val="24"/>
        </w:rPr>
      </w:pPr>
      <w:r>
        <w:rPr>
          <w:rFonts w:ascii="Arial" w:hAnsi="Arial" w:cs="Arial"/>
          <w:sz w:val="24"/>
        </w:rPr>
        <w:tab/>
      </w:r>
      <w:r>
        <w:rPr>
          <w:rFonts w:ascii="Arial" w:hAnsi="Arial" w:cs="Arial"/>
          <w:b/>
          <w:sz w:val="24"/>
        </w:rPr>
        <w:t>This folder includes the following RULSE2 PDFs:</w:t>
      </w:r>
    </w:p>
    <w:p w:rsidR="00933FF2" w:rsidRDefault="00933FF2" w:rsidP="00706575">
      <w:pPr>
        <w:tabs>
          <w:tab w:val="left" w:pos="360"/>
          <w:tab w:val="left" w:pos="450"/>
        </w:tabs>
        <w:ind w:left="360" w:hanging="360"/>
        <w:rPr>
          <w:rFonts w:ascii="Arial" w:hAnsi="Arial" w:cs="Arial"/>
          <w:sz w:val="24"/>
        </w:rPr>
      </w:pPr>
      <w:r>
        <w:rPr>
          <w:rFonts w:ascii="Arial" w:hAnsi="Arial" w:cs="Arial"/>
          <w:b/>
          <w:sz w:val="24"/>
        </w:rPr>
        <w:tab/>
      </w:r>
      <w:r>
        <w:rPr>
          <w:rFonts w:ascii="Arial" w:hAnsi="Arial" w:cs="Arial"/>
          <w:sz w:val="24"/>
        </w:rPr>
        <w:t xml:space="preserve"> </w:t>
      </w:r>
      <w:r w:rsidR="00260CA7">
        <w:rPr>
          <w:rFonts w:ascii="Arial" w:hAnsi="Arial" w:cs="Arial"/>
          <w:sz w:val="24"/>
        </w:rPr>
        <w:t>McCoy</w:t>
      </w:r>
      <w:r w:rsidR="00706575">
        <w:rPr>
          <w:rFonts w:ascii="Arial" w:hAnsi="Arial" w:cs="Arial"/>
          <w:sz w:val="24"/>
        </w:rPr>
        <w:t xml:space="preserve"> </w:t>
      </w:r>
      <w:r>
        <w:rPr>
          <w:rFonts w:ascii="Arial" w:hAnsi="Arial" w:cs="Arial"/>
          <w:sz w:val="24"/>
        </w:rPr>
        <w:t xml:space="preserve">T 1614 F 1-5 </w:t>
      </w:r>
      <w:r w:rsidR="00706575">
        <w:rPr>
          <w:rFonts w:ascii="Arial" w:hAnsi="Arial" w:cs="Arial"/>
          <w:sz w:val="24"/>
        </w:rPr>
        <w:t>RUSLE2</w:t>
      </w:r>
      <w:r>
        <w:rPr>
          <w:rFonts w:ascii="Arial" w:hAnsi="Arial" w:cs="Arial"/>
          <w:sz w:val="24"/>
        </w:rPr>
        <w:tab/>
      </w:r>
    </w:p>
    <w:p w:rsidR="00933FF2" w:rsidRDefault="00933FF2" w:rsidP="00706575">
      <w:pPr>
        <w:tabs>
          <w:tab w:val="left" w:pos="360"/>
          <w:tab w:val="left" w:pos="450"/>
        </w:tabs>
        <w:ind w:left="360" w:hanging="360"/>
        <w:rPr>
          <w:rFonts w:ascii="Arial" w:hAnsi="Arial" w:cs="Arial"/>
          <w:sz w:val="24"/>
        </w:rPr>
      </w:pPr>
      <w:r>
        <w:rPr>
          <w:rFonts w:ascii="Arial" w:hAnsi="Arial" w:cs="Arial"/>
          <w:sz w:val="24"/>
        </w:rPr>
        <w:tab/>
        <w:t>McCoy T 1625 F 1-5, 10, 12 &amp; Horse Pasture RUSLE2</w:t>
      </w:r>
      <w:r>
        <w:rPr>
          <w:rFonts w:ascii="Arial" w:hAnsi="Arial" w:cs="Arial"/>
          <w:sz w:val="24"/>
        </w:rPr>
        <w:tab/>
      </w:r>
    </w:p>
    <w:p w:rsidR="00706575" w:rsidRDefault="00933FF2" w:rsidP="00706575">
      <w:pPr>
        <w:tabs>
          <w:tab w:val="left" w:pos="360"/>
          <w:tab w:val="left" w:pos="450"/>
        </w:tabs>
        <w:ind w:left="360" w:hanging="360"/>
        <w:rPr>
          <w:rFonts w:ascii="Arial" w:hAnsi="Arial" w:cs="Arial"/>
          <w:sz w:val="24"/>
        </w:rPr>
      </w:pPr>
      <w:r>
        <w:rPr>
          <w:rFonts w:ascii="Arial" w:hAnsi="Arial" w:cs="Arial"/>
          <w:sz w:val="24"/>
        </w:rPr>
        <w:tab/>
        <w:t>McCoy T 1828 F1 &amp; 2 RUSLE2</w:t>
      </w:r>
    </w:p>
    <w:p w:rsidR="00933FF2" w:rsidRDefault="00933FF2" w:rsidP="00706575">
      <w:pPr>
        <w:tabs>
          <w:tab w:val="left" w:pos="360"/>
          <w:tab w:val="left" w:pos="450"/>
        </w:tabs>
        <w:ind w:left="360" w:hanging="360"/>
        <w:rPr>
          <w:rFonts w:ascii="Arial" w:hAnsi="Arial" w:cs="Arial"/>
          <w:sz w:val="24"/>
        </w:rPr>
      </w:pPr>
      <w:r>
        <w:rPr>
          <w:rFonts w:ascii="Arial" w:hAnsi="Arial" w:cs="Arial"/>
          <w:sz w:val="24"/>
        </w:rPr>
        <w:tab/>
        <w:t>McCoy T 3704 F 1 &amp; 2 RUSLE2</w:t>
      </w:r>
      <w:r>
        <w:rPr>
          <w:rFonts w:ascii="Arial" w:hAnsi="Arial" w:cs="Arial"/>
          <w:sz w:val="24"/>
        </w:rPr>
        <w:tab/>
        <w:t>McCoy T3780 F 1 &amp; 2RUSLE2</w:t>
      </w:r>
      <w:r>
        <w:rPr>
          <w:rFonts w:ascii="Arial" w:hAnsi="Arial" w:cs="Arial"/>
          <w:sz w:val="24"/>
        </w:rPr>
        <w:tab/>
      </w:r>
    </w:p>
    <w:p w:rsidR="00933FF2" w:rsidRDefault="00933FF2" w:rsidP="00706575">
      <w:pPr>
        <w:tabs>
          <w:tab w:val="left" w:pos="360"/>
          <w:tab w:val="left" w:pos="450"/>
        </w:tabs>
        <w:ind w:left="360" w:hanging="360"/>
        <w:rPr>
          <w:rFonts w:ascii="Arial" w:hAnsi="Arial" w:cs="Arial"/>
          <w:sz w:val="24"/>
        </w:rPr>
      </w:pPr>
      <w:r>
        <w:rPr>
          <w:rFonts w:ascii="Arial" w:hAnsi="Arial" w:cs="Arial"/>
          <w:sz w:val="24"/>
        </w:rPr>
        <w:tab/>
        <w:t>McCoy T 4026 F 1-3 RUSLE2</w:t>
      </w:r>
    </w:p>
    <w:p w:rsidR="00674C6F" w:rsidRPr="00706575" w:rsidRDefault="00706575" w:rsidP="00706575">
      <w:pPr>
        <w:tabs>
          <w:tab w:val="left" w:pos="360"/>
          <w:tab w:val="left" w:pos="450"/>
        </w:tabs>
        <w:ind w:left="360" w:hanging="360"/>
        <w:rPr>
          <w:rFonts w:ascii="Arial" w:hAnsi="Arial" w:cs="Arial"/>
          <w:sz w:val="24"/>
        </w:rPr>
      </w:pPr>
      <w:r w:rsidRPr="00933FF2">
        <w:rPr>
          <w:rFonts w:ascii="Arial" w:hAnsi="Arial" w:cs="Arial"/>
          <w:b/>
          <w:sz w:val="24"/>
        </w:rPr>
        <w:t>3</w:t>
      </w:r>
      <w:r>
        <w:rPr>
          <w:rFonts w:ascii="Arial" w:hAnsi="Arial" w:cs="Arial"/>
          <w:sz w:val="24"/>
        </w:rPr>
        <w:t xml:space="preserve">. </w:t>
      </w:r>
      <w:r w:rsidR="00933FF2">
        <w:rPr>
          <w:rFonts w:ascii="Arial" w:hAnsi="Arial" w:cs="Arial"/>
          <w:b/>
          <w:sz w:val="24"/>
        </w:rPr>
        <w:t>Spreadsheet</w:t>
      </w:r>
      <w:r w:rsidR="00674C6F" w:rsidRPr="00706575">
        <w:rPr>
          <w:rFonts w:ascii="Arial" w:hAnsi="Arial" w:cs="Arial"/>
          <w:b/>
          <w:sz w:val="24"/>
        </w:rPr>
        <w:t xml:space="preserve"> Folder</w:t>
      </w:r>
    </w:p>
    <w:p w:rsidR="00674C6F" w:rsidRDefault="00674C6F" w:rsidP="00674C6F">
      <w:pPr>
        <w:pStyle w:val="ListParagraph"/>
        <w:tabs>
          <w:tab w:val="left" w:pos="0"/>
          <w:tab w:val="left" w:pos="450"/>
          <w:tab w:val="left" w:pos="720"/>
        </w:tabs>
        <w:ind w:left="360"/>
        <w:rPr>
          <w:rFonts w:ascii="Arial" w:hAnsi="Arial" w:cs="Arial"/>
          <w:b/>
          <w:sz w:val="24"/>
        </w:rPr>
      </w:pPr>
      <w:r>
        <w:rPr>
          <w:rFonts w:ascii="Arial" w:hAnsi="Arial" w:cs="Arial"/>
          <w:b/>
          <w:sz w:val="24"/>
        </w:rPr>
        <w:t xml:space="preserve">This folder includes </w:t>
      </w:r>
      <w:r w:rsidR="00933FF2">
        <w:rPr>
          <w:rFonts w:ascii="Arial" w:hAnsi="Arial" w:cs="Arial"/>
          <w:b/>
          <w:sz w:val="24"/>
        </w:rPr>
        <w:t>the following spreadsheets</w:t>
      </w:r>
      <w:r w:rsidRPr="00674C6F">
        <w:rPr>
          <w:rFonts w:ascii="Arial" w:hAnsi="Arial" w:cs="Arial"/>
          <w:b/>
          <w:sz w:val="24"/>
        </w:rPr>
        <w:t>:</w:t>
      </w:r>
    </w:p>
    <w:p w:rsidR="00906507" w:rsidRDefault="00906507" w:rsidP="00906507">
      <w:pPr>
        <w:tabs>
          <w:tab w:val="left" w:pos="0"/>
        </w:tabs>
        <w:spacing w:line="240" w:lineRule="auto"/>
        <w:ind w:left="-144"/>
        <w:rPr>
          <w:rFonts w:ascii="Arial" w:hAnsi="Arial" w:cs="Arial"/>
          <w:sz w:val="24"/>
        </w:rPr>
      </w:pPr>
      <w:r>
        <w:rPr>
          <w:rFonts w:ascii="Arial" w:hAnsi="Arial" w:cs="Arial"/>
          <w:b/>
          <w:sz w:val="24"/>
        </w:rPr>
        <w:tab/>
      </w:r>
      <w:r>
        <w:rPr>
          <w:rFonts w:ascii="Arial" w:hAnsi="Arial" w:cs="Arial"/>
          <w:sz w:val="24"/>
        </w:rPr>
        <w:t xml:space="preserve">       Mc</w:t>
      </w:r>
      <w:r w:rsidR="00933FF2" w:rsidRPr="00933FF2">
        <w:rPr>
          <w:rFonts w:ascii="Arial" w:hAnsi="Arial" w:cs="Arial"/>
          <w:sz w:val="24"/>
        </w:rPr>
        <w:t>Coy T1614 F 1 &amp; 3</w:t>
      </w:r>
      <w:r w:rsidR="00933FF2" w:rsidRPr="00933FF2">
        <w:rPr>
          <w:rFonts w:ascii="Arial" w:hAnsi="Arial" w:cs="Arial"/>
          <w:sz w:val="24"/>
        </w:rPr>
        <w:tab/>
      </w:r>
      <w:r>
        <w:rPr>
          <w:rFonts w:ascii="Arial" w:hAnsi="Arial" w:cs="Arial"/>
          <w:sz w:val="24"/>
        </w:rPr>
        <w:tab/>
      </w:r>
      <w:r w:rsidR="00933FF2" w:rsidRPr="00933FF2">
        <w:rPr>
          <w:rFonts w:ascii="Arial" w:hAnsi="Arial" w:cs="Arial"/>
          <w:sz w:val="24"/>
        </w:rPr>
        <w:t>M</w:t>
      </w:r>
      <w:r>
        <w:rPr>
          <w:rFonts w:ascii="Arial" w:hAnsi="Arial" w:cs="Arial"/>
          <w:sz w:val="24"/>
        </w:rPr>
        <w:t>cCoy T 1614 F 2</w:t>
      </w:r>
      <w:r>
        <w:rPr>
          <w:rFonts w:ascii="Arial" w:hAnsi="Arial" w:cs="Arial"/>
          <w:sz w:val="24"/>
        </w:rPr>
        <w:tab/>
        <w:t>McCoy T 1614 F 4</w:t>
      </w:r>
    </w:p>
    <w:p w:rsidR="00906507" w:rsidRDefault="00906507" w:rsidP="00906507">
      <w:pPr>
        <w:tabs>
          <w:tab w:val="left" w:pos="0"/>
        </w:tabs>
        <w:spacing w:line="240" w:lineRule="auto"/>
        <w:ind w:left="-144"/>
        <w:rPr>
          <w:rFonts w:ascii="Arial" w:hAnsi="Arial" w:cs="Arial"/>
          <w:sz w:val="24"/>
        </w:rPr>
      </w:pPr>
      <w:r>
        <w:rPr>
          <w:rFonts w:ascii="Arial" w:hAnsi="Arial" w:cs="Arial"/>
          <w:sz w:val="24"/>
        </w:rPr>
        <w:tab/>
        <w:t xml:space="preserve">       McCoy T 1614 F 5</w:t>
      </w:r>
      <w:r>
        <w:rPr>
          <w:rFonts w:ascii="Arial" w:hAnsi="Arial" w:cs="Arial"/>
          <w:sz w:val="24"/>
        </w:rPr>
        <w:tab/>
        <w:t>McCoy T 1625 F 1</w:t>
      </w:r>
      <w:r>
        <w:rPr>
          <w:rFonts w:ascii="Arial" w:hAnsi="Arial" w:cs="Arial"/>
          <w:sz w:val="24"/>
        </w:rPr>
        <w:tab/>
      </w:r>
      <w:r>
        <w:rPr>
          <w:rFonts w:ascii="Arial" w:hAnsi="Arial" w:cs="Arial"/>
          <w:sz w:val="24"/>
        </w:rPr>
        <w:tab/>
        <w:t>McCoy T 1625 F 2 &amp; 5</w:t>
      </w:r>
    </w:p>
    <w:p w:rsidR="00906507" w:rsidRDefault="00906507" w:rsidP="00906507">
      <w:pPr>
        <w:tabs>
          <w:tab w:val="left" w:pos="0"/>
        </w:tabs>
        <w:spacing w:line="240" w:lineRule="auto"/>
        <w:ind w:left="-144"/>
        <w:rPr>
          <w:rFonts w:ascii="Arial" w:hAnsi="Arial" w:cs="Arial"/>
          <w:sz w:val="24"/>
        </w:rPr>
      </w:pPr>
      <w:r>
        <w:rPr>
          <w:rFonts w:ascii="Arial" w:hAnsi="Arial" w:cs="Arial"/>
          <w:sz w:val="24"/>
        </w:rPr>
        <w:tab/>
        <w:t xml:space="preserve">       McCoy T 1625 F3</w:t>
      </w:r>
      <w:r>
        <w:rPr>
          <w:rFonts w:ascii="Arial" w:hAnsi="Arial" w:cs="Arial"/>
          <w:sz w:val="24"/>
        </w:rPr>
        <w:tab/>
        <w:t>McCoy T 1625 F 4, 10 &amp; 12</w:t>
      </w:r>
    </w:p>
    <w:p w:rsidR="00906507" w:rsidRDefault="00906507" w:rsidP="00906507">
      <w:pPr>
        <w:tabs>
          <w:tab w:val="left" w:pos="0"/>
        </w:tabs>
        <w:spacing w:line="240" w:lineRule="auto"/>
        <w:ind w:left="-144"/>
        <w:rPr>
          <w:rFonts w:ascii="Arial" w:hAnsi="Arial" w:cs="Arial"/>
          <w:sz w:val="24"/>
        </w:rPr>
      </w:pPr>
      <w:r>
        <w:rPr>
          <w:rFonts w:ascii="Arial" w:hAnsi="Arial" w:cs="Arial"/>
          <w:sz w:val="24"/>
        </w:rPr>
        <w:t xml:space="preserve">         McCoy T1625 Horse Pasture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McCoy T 1828 F 1 &amp; 2</w:t>
      </w:r>
      <w:r>
        <w:rPr>
          <w:rFonts w:ascii="Arial" w:hAnsi="Arial" w:cs="Arial"/>
          <w:sz w:val="24"/>
        </w:rPr>
        <w:tab/>
      </w:r>
    </w:p>
    <w:p w:rsidR="00906507" w:rsidRDefault="00906507" w:rsidP="00906507">
      <w:pPr>
        <w:tabs>
          <w:tab w:val="left" w:pos="0"/>
        </w:tabs>
        <w:spacing w:line="240" w:lineRule="auto"/>
        <w:ind w:left="-144"/>
        <w:rPr>
          <w:rFonts w:ascii="Arial" w:hAnsi="Arial" w:cs="Arial"/>
          <w:sz w:val="24"/>
        </w:rPr>
      </w:pPr>
      <w:r>
        <w:rPr>
          <w:rFonts w:ascii="Arial" w:hAnsi="Arial" w:cs="Arial"/>
          <w:sz w:val="24"/>
        </w:rPr>
        <w:t xml:space="preserve">         McCoy T 3704 F 1</w:t>
      </w:r>
      <w:r>
        <w:rPr>
          <w:rFonts w:ascii="Arial" w:hAnsi="Arial" w:cs="Arial"/>
          <w:sz w:val="24"/>
        </w:rPr>
        <w:tab/>
        <w:t>McCoy T 3704 F 2</w:t>
      </w:r>
      <w:r>
        <w:rPr>
          <w:rFonts w:ascii="Arial" w:hAnsi="Arial" w:cs="Arial"/>
          <w:sz w:val="24"/>
        </w:rPr>
        <w:tab/>
      </w:r>
      <w:r>
        <w:rPr>
          <w:rFonts w:ascii="Arial" w:hAnsi="Arial" w:cs="Arial"/>
          <w:sz w:val="24"/>
        </w:rPr>
        <w:tab/>
        <w:t>McCoy T 3780 F 1 &amp; 2</w:t>
      </w:r>
    </w:p>
    <w:p w:rsidR="00706575" w:rsidRPr="00933FF2" w:rsidRDefault="00906507" w:rsidP="00906507">
      <w:pPr>
        <w:tabs>
          <w:tab w:val="left" w:pos="0"/>
        </w:tabs>
        <w:spacing w:line="240" w:lineRule="auto"/>
        <w:ind w:left="-144"/>
        <w:rPr>
          <w:rFonts w:ascii="Arial" w:hAnsi="Arial" w:cs="Arial"/>
          <w:sz w:val="24"/>
        </w:rPr>
      </w:pPr>
      <w:r>
        <w:rPr>
          <w:rFonts w:ascii="Arial" w:hAnsi="Arial" w:cs="Arial"/>
          <w:sz w:val="24"/>
        </w:rPr>
        <w:t xml:space="preserve">         McCoy T4026 F 1</w:t>
      </w:r>
      <w:r>
        <w:rPr>
          <w:rFonts w:ascii="Arial" w:hAnsi="Arial" w:cs="Arial"/>
          <w:sz w:val="24"/>
        </w:rPr>
        <w:tab/>
        <w:t>McCoy T 4206 F 2</w:t>
      </w:r>
      <w:r>
        <w:rPr>
          <w:rFonts w:ascii="Arial" w:hAnsi="Arial" w:cs="Arial"/>
          <w:sz w:val="24"/>
        </w:rPr>
        <w:tab/>
      </w:r>
      <w:r>
        <w:rPr>
          <w:rFonts w:ascii="Arial" w:hAnsi="Arial" w:cs="Arial"/>
          <w:sz w:val="24"/>
        </w:rPr>
        <w:tab/>
        <w:t>McCoy T 4206 F 3</w:t>
      </w:r>
      <w:r>
        <w:rPr>
          <w:rFonts w:ascii="Arial" w:hAnsi="Arial" w:cs="Arial"/>
          <w:sz w:val="24"/>
        </w:rPr>
        <w:tab/>
        <w:t xml:space="preserve"> </w:t>
      </w:r>
    </w:p>
    <w:p w:rsidR="00706575" w:rsidRDefault="00706575" w:rsidP="00706575">
      <w:pPr>
        <w:tabs>
          <w:tab w:val="left" w:pos="0"/>
        </w:tabs>
        <w:spacing w:line="240" w:lineRule="auto"/>
        <w:rPr>
          <w:rFonts w:ascii="Arial" w:hAnsi="Arial" w:cs="Arial"/>
          <w:b/>
          <w:sz w:val="24"/>
        </w:rPr>
      </w:pPr>
      <w:r>
        <w:rPr>
          <w:rFonts w:ascii="Arial" w:hAnsi="Arial" w:cs="Arial"/>
          <w:b/>
          <w:sz w:val="24"/>
        </w:rPr>
        <w:t xml:space="preserve">4. </w:t>
      </w:r>
      <w:r w:rsidR="00260CA7">
        <w:rPr>
          <w:rFonts w:ascii="Arial" w:hAnsi="Arial" w:cs="Arial"/>
          <w:b/>
          <w:sz w:val="24"/>
        </w:rPr>
        <w:t>McCoy</w:t>
      </w:r>
      <w:r w:rsidR="00CD1CAB">
        <w:rPr>
          <w:rFonts w:ascii="Arial" w:hAnsi="Arial" w:cs="Arial"/>
          <w:b/>
          <w:sz w:val="24"/>
        </w:rPr>
        <w:t xml:space="preserve"> animal</w:t>
      </w:r>
      <w:r w:rsidR="00906507">
        <w:rPr>
          <w:rFonts w:ascii="Arial" w:hAnsi="Arial" w:cs="Arial"/>
          <w:b/>
          <w:sz w:val="24"/>
        </w:rPr>
        <w:t xml:space="preserve"> manure figures</w:t>
      </w:r>
    </w:p>
    <w:p w:rsidR="00706575" w:rsidRDefault="00706575" w:rsidP="00706575">
      <w:pPr>
        <w:tabs>
          <w:tab w:val="left" w:pos="0"/>
        </w:tabs>
        <w:spacing w:line="240" w:lineRule="auto"/>
        <w:rPr>
          <w:rFonts w:ascii="Arial" w:hAnsi="Arial" w:cs="Arial"/>
          <w:b/>
          <w:sz w:val="24"/>
        </w:rPr>
      </w:pPr>
      <w:r>
        <w:rPr>
          <w:rFonts w:ascii="Arial" w:hAnsi="Arial" w:cs="Arial"/>
          <w:b/>
          <w:sz w:val="24"/>
        </w:rPr>
        <w:t xml:space="preserve">5. </w:t>
      </w:r>
      <w:r w:rsidR="00260CA7">
        <w:rPr>
          <w:rFonts w:ascii="Arial" w:hAnsi="Arial" w:cs="Arial"/>
          <w:b/>
          <w:sz w:val="24"/>
        </w:rPr>
        <w:t>McCoy</w:t>
      </w:r>
      <w:r w:rsidR="00D542EE" w:rsidRPr="00706575">
        <w:rPr>
          <w:rFonts w:ascii="Arial" w:hAnsi="Arial" w:cs="Arial"/>
          <w:b/>
          <w:sz w:val="24"/>
        </w:rPr>
        <w:t xml:space="preserve"> </w:t>
      </w:r>
      <w:r w:rsidR="00ED177E" w:rsidRPr="00706575">
        <w:rPr>
          <w:rFonts w:ascii="Arial" w:hAnsi="Arial" w:cs="Arial"/>
          <w:b/>
          <w:sz w:val="24"/>
        </w:rPr>
        <w:t>BMP Summary Spreadsheet</w:t>
      </w:r>
    </w:p>
    <w:p w:rsidR="00ED177E" w:rsidRPr="00706575" w:rsidRDefault="00706575" w:rsidP="00706575">
      <w:pPr>
        <w:tabs>
          <w:tab w:val="left" w:pos="0"/>
        </w:tabs>
        <w:spacing w:line="240" w:lineRule="auto"/>
        <w:rPr>
          <w:rFonts w:ascii="Arial" w:hAnsi="Arial" w:cs="Arial"/>
          <w:b/>
          <w:sz w:val="24"/>
        </w:rPr>
      </w:pPr>
      <w:r>
        <w:rPr>
          <w:rFonts w:ascii="Arial" w:hAnsi="Arial" w:cs="Arial"/>
          <w:b/>
          <w:sz w:val="24"/>
        </w:rPr>
        <w:t xml:space="preserve">6. </w:t>
      </w:r>
      <w:r w:rsidR="00260CA7">
        <w:rPr>
          <w:rFonts w:ascii="Arial" w:hAnsi="Arial" w:cs="Arial"/>
          <w:b/>
          <w:sz w:val="24"/>
        </w:rPr>
        <w:t>McCoy</w:t>
      </w:r>
      <w:r w:rsidR="00D542EE" w:rsidRPr="00706575">
        <w:rPr>
          <w:rFonts w:ascii="Arial" w:hAnsi="Arial" w:cs="Arial"/>
          <w:b/>
          <w:sz w:val="24"/>
        </w:rPr>
        <w:t xml:space="preserve"> </w:t>
      </w:r>
      <w:r w:rsidR="00ED177E" w:rsidRPr="00706575">
        <w:rPr>
          <w:rFonts w:ascii="Arial" w:hAnsi="Arial" w:cs="Arial"/>
          <w:b/>
          <w:sz w:val="24"/>
        </w:rPr>
        <w:t>Spreadsheet Summary</w:t>
      </w:r>
    </w:p>
    <w:p w:rsid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E62A0">
      <w:pPr>
        <w:tabs>
          <w:tab w:val="left" w:pos="0"/>
          <w:tab w:val="left" w:pos="720"/>
        </w:tabs>
        <w:spacing w:line="240" w:lineRule="auto"/>
        <w:ind w:left="720"/>
        <w:rPr>
          <w:rFonts w:ascii="Arial" w:hAnsi="Arial" w:cs="Arial"/>
          <w:sz w:val="24"/>
        </w:rPr>
      </w:pPr>
    </w:p>
    <w:sectPr w:rsidR="00AE62A0" w:rsidRPr="00AE6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EC7636D"/>
    <w:multiLevelType w:val="hybridMultilevel"/>
    <w:tmpl w:val="3C063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22A1E"/>
    <w:multiLevelType w:val="hybridMultilevel"/>
    <w:tmpl w:val="D21AD2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14716"/>
    <w:multiLevelType w:val="hybridMultilevel"/>
    <w:tmpl w:val="9E3E206A"/>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0"/>
  </w:num>
  <w:num w:numId="4">
    <w:abstractNumId w:val="5"/>
  </w:num>
  <w:num w:numId="5">
    <w:abstractNumId w:val="7"/>
  </w:num>
  <w:num w:numId="6">
    <w:abstractNumId w:val="11"/>
  </w:num>
  <w:num w:numId="7">
    <w:abstractNumId w:val="1"/>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C6A9D"/>
    <w:rsid w:val="000D1C8D"/>
    <w:rsid w:val="001017FD"/>
    <w:rsid w:val="00145556"/>
    <w:rsid w:val="00160CDD"/>
    <w:rsid w:val="001B712A"/>
    <w:rsid w:val="001C069C"/>
    <w:rsid w:val="001D1400"/>
    <w:rsid w:val="00205596"/>
    <w:rsid w:val="00236F27"/>
    <w:rsid w:val="00260CA7"/>
    <w:rsid w:val="002813D2"/>
    <w:rsid w:val="0028141E"/>
    <w:rsid w:val="002D0ED0"/>
    <w:rsid w:val="002D3970"/>
    <w:rsid w:val="002E3614"/>
    <w:rsid w:val="00311132"/>
    <w:rsid w:val="00366556"/>
    <w:rsid w:val="00377766"/>
    <w:rsid w:val="003900A5"/>
    <w:rsid w:val="003B03C7"/>
    <w:rsid w:val="003F27F8"/>
    <w:rsid w:val="00491AF1"/>
    <w:rsid w:val="004B1B15"/>
    <w:rsid w:val="00555AF8"/>
    <w:rsid w:val="005A4B29"/>
    <w:rsid w:val="005B5AEC"/>
    <w:rsid w:val="005E5773"/>
    <w:rsid w:val="005E5A94"/>
    <w:rsid w:val="005F2268"/>
    <w:rsid w:val="00674C6F"/>
    <w:rsid w:val="0068516B"/>
    <w:rsid w:val="006C128F"/>
    <w:rsid w:val="00704397"/>
    <w:rsid w:val="00706575"/>
    <w:rsid w:val="007241D6"/>
    <w:rsid w:val="00736102"/>
    <w:rsid w:val="007E6F26"/>
    <w:rsid w:val="00814A9D"/>
    <w:rsid w:val="008453FB"/>
    <w:rsid w:val="008F4B0F"/>
    <w:rsid w:val="00906507"/>
    <w:rsid w:val="0091557E"/>
    <w:rsid w:val="0092000F"/>
    <w:rsid w:val="00933FF2"/>
    <w:rsid w:val="009353D2"/>
    <w:rsid w:val="00936913"/>
    <w:rsid w:val="0094062C"/>
    <w:rsid w:val="00997887"/>
    <w:rsid w:val="009B647C"/>
    <w:rsid w:val="009D3B9F"/>
    <w:rsid w:val="00A45F70"/>
    <w:rsid w:val="00A554DC"/>
    <w:rsid w:val="00A905E2"/>
    <w:rsid w:val="00AB20E2"/>
    <w:rsid w:val="00AE62A0"/>
    <w:rsid w:val="00B02771"/>
    <w:rsid w:val="00B15C64"/>
    <w:rsid w:val="00B2058F"/>
    <w:rsid w:val="00B51982"/>
    <w:rsid w:val="00B549E0"/>
    <w:rsid w:val="00B5750B"/>
    <w:rsid w:val="00B578D4"/>
    <w:rsid w:val="00B623BB"/>
    <w:rsid w:val="00B67005"/>
    <w:rsid w:val="00B8239F"/>
    <w:rsid w:val="00B94990"/>
    <w:rsid w:val="00C22C6A"/>
    <w:rsid w:val="00C53DDD"/>
    <w:rsid w:val="00CB3BE8"/>
    <w:rsid w:val="00CD116F"/>
    <w:rsid w:val="00CD1CAB"/>
    <w:rsid w:val="00CD57EB"/>
    <w:rsid w:val="00D542EE"/>
    <w:rsid w:val="00D85A38"/>
    <w:rsid w:val="00D8668F"/>
    <w:rsid w:val="00DC60E9"/>
    <w:rsid w:val="00E868D4"/>
    <w:rsid w:val="00EC0F21"/>
    <w:rsid w:val="00ED177E"/>
    <w:rsid w:val="00F146E6"/>
    <w:rsid w:val="00F23DF8"/>
    <w:rsid w:val="00FB2ADA"/>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76A2"/>
  <w15:docId w15:val="{90A95B57-89F7-4C8E-A491-63D31E8E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8781">
      <w:bodyDiv w:val="1"/>
      <w:marLeft w:val="0"/>
      <w:marRight w:val="0"/>
      <w:marTop w:val="0"/>
      <w:marBottom w:val="0"/>
      <w:divBdr>
        <w:top w:val="none" w:sz="0" w:space="0" w:color="auto"/>
        <w:left w:val="none" w:sz="0" w:space="0" w:color="auto"/>
        <w:bottom w:val="none" w:sz="0" w:space="0" w:color="auto"/>
        <w:right w:val="none" w:sz="0" w:space="0" w:color="auto"/>
      </w:divBdr>
    </w:div>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DE5C-2544-4FE4-BA90-ADDE1C71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16</cp:revision>
  <dcterms:created xsi:type="dcterms:W3CDTF">2019-02-22T16:56:00Z</dcterms:created>
  <dcterms:modified xsi:type="dcterms:W3CDTF">2021-07-20T16:09:00Z</dcterms:modified>
</cp:coreProperties>
</file>