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912" w:rsidRPr="005615A4" w:rsidRDefault="00A412B2">
      <w:pPr>
        <w:rPr>
          <w:rFonts w:ascii="Arial" w:hAnsi="Arial" w:cs="Arial"/>
        </w:rPr>
      </w:pPr>
      <w:r w:rsidRPr="005615A4">
        <w:rPr>
          <w:rFonts w:ascii="Arial" w:hAnsi="Arial" w:cs="Arial"/>
          <w:noProof/>
        </w:rPr>
        <w:drawing>
          <wp:inline distT="0" distB="0" distL="0" distR="0" wp14:anchorId="3C49F79D" wp14:editId="7CAD1294">
            <wp:extent cx="2705100" cy="571500"/>
            <wp:effectExtent l="0" t="0" r="0" b="0"/>
            <wp:docPr id="1" name="Picture 1" descr="DEP left-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 left-cmyk"/>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705100" cy="571500"/>
                    </a:xfrm>
                    <a:prstGeom prst="rect">
                      <a:avLst/>
                    </a:prstGeom>
                    <a:noFill/>
                    <a:ln>
                      <a:noFill/>
                    </a:ln>
                  </pic:spPr>
                </pic:pic>
              </a:graphicData>
            </a:graphic>
          </wp:inline>
        </w:drawing>
      </w:r>
    </w:p>
    <w:p w:rsidR="00A412B2" w:rsidRPr="005615A4" w:rsidRDefault="00A412B2" w:rsidP="00A412B2">
      <w:pPr>
        <w:pStyle w:val="NormalWeb"/>
        <w:spacing w:before="0" w:beforeAutospacing="0" w:after="0" w:afterAutospacing="0"/>
        <w:rPr>
          <w:rFonts w:ascii="Arial" w:hAnsi="Arial" w:cs="Arial"/>
          <w:sz w:val="22"/>
          <w:szCs w:val="22"/>
        </w:rPr>
      </w:pPr>
      <w:r w:rsidRPr="005615A4">
        <w:rPr>
          <w:rFonts w:ascii="Arial" w:hAnsi="Arial" w:cs="Arial"/>
          <w:b/>
          <w:bCs/>
          <w:sz w:val="22"/>
          <w:szCs w:val="22"/>
        </w:rPr>
        <w:t>FOR IMMEDIATE RELEASE</w:t>
      </w:r>
    </w:p>
    <w:p w:rsidR="00A412B2" w:rsidRPr="005615A4" w:rsidRDefault="00D055BF" w:rsidP="00A412B2">
      <w:pPr>
        <w:pStyle w:val="NormalWeb"/>
        <w:spacing w:before="0" w:beforeAutospacing="0" w:after="0" w:afterAutospacing="0"/>
        <w:rPr>
          <w:rFonts w:ascii="Arial" w:hAnsi="Arial" w:cs="Arial"/>
          <w:b/>
          <w:bCs/>
          <w:sz w:val="22"/>
          <w:szCs w:val="22"/>
        </w:rPr>
      </w:pPr>
      <w:r>
        <w:rPr>
          <w:rFonts w:ascii="Arial" w:hAnsi="Arial" w:cs="Arial"/>
          <w:b/>
          <w:bCs/>
          <w:sz w:val="22"/>
          <w:szCs w:val="22"/>
        </w:rPr>
        <w:t>Aug. 2</w:t>
      </w:r>
      <w:r w:rsidR="00A412B2" w:rsidRPr="00D055BF">
        <w:rPr>
          <w:rFonts w:ascii="Arial" w:hAnsi="Arial" w:cs="Arial"/>
          <w:b/>
          <w:bCs/>
          <w:sz w:val="22"/>
          <w:szCs w:val="22"/>
        </w:rPr>
        <w:t>, 2016</w:t>
      </w:r>
    </w:p>
    <w:p w:rsidR="00A412B2" w:rsidRPr="005615A4" w:rsidRDefault="00A412B2">
      <w:pPr>
        <w:rPr>
          <w:rFonts w:ascii="Arial" w:hAnsi="Arial" w:cs="Arial"/>
        </w:rPr>
      </w:pPr>
    </w:p>
    <w:p w:rsidR="00E91C26" w:rsidRDefault="00E91C26" w:rsidP="007335F6">
      <w:pPr>
        <w:spacing w:after="0" w:line="240" w:lineRule="auto"/>
        <w:jc w:val="center"/>
        <w:rPr>
          <w:rFonts w:ascii="Arial" w:hAnsi="Arial" w:cs="Arial"/>
          <w:b/>
          <w:sz w:val="28"/>
          <w:szCs w:val="28"/>
        </w:rPr>
      </w:pPr>
      <w:r w:rsidRPr="00E91C26">
        <w:rPr>
          <w:rFonts w:ascii="Arial" w:hAnsi="Arial" w:cs="Arial"/>
          <w:b/>
          <w:sz w:val="28"/>
          <w:szCs w:val="28"/>
        </w:rPr>
        <w:t xml:space="preserve">DEP Declares Drought Watch for </w:t>
      </w:r>
      <w:r w:rsidR="00B34FA5">
        <w:rPr>
          <w:rFonts w:ascii="Arial" w:hAnsi="Arial" w:cs="Arial"/>
          <w:b/>
          <w:sz w:val="28"/>
          <w:szCs w:val="28"/>
        </w:rPr>
        <w:t>3</w:t>
      </w:r>
      <w:r w:rsidR="00EC0994">
        <w:rPr>
          <w:rFonts w:ascii="Arial" w:hAnsi="Arial" w:cs="Arial"/>
          <w:b/>
          <w:sz w:val="28"/>
          <w:szCs w:val="28"/>
        </w:rPr>
        <w:t>4</w:t>
      </w:r>
      <w:r w:rsidR="00D47CE1">
        <w:rPr>
          <w:rFonts w:ascii="Arial" w:hAnsi="Arial" w:cs="Arial"/>
          <w:b/>
          <w:sz w:val="28"/>
          <w:szCs w:val="28"/>
        </w:rPr>
        <w:t xml:space="preserve"> </w:t>
      </w:r>
      <w:r w:rsidRPr="00E91C26">
        <w:rPr>
          <w:rFonts w:ascii="Arial" w:hAnsi="Arial" w:cs="Arial"/>
          <w:b/>
          <w:sz w:val="28"/>
          <w:szCs w:val="28"/>
        </w:rPr>
        <w:t>Pennsylvania Counties</w:t>
      </w:r>
    </w:p>
    <w:p w:rsidR="00E91C26" w:rsidRPr="00E91C26" w:rsidRDefault="00E91C26" w:rsidP="007335F6">
      <w:pPr>
        <w:spacing w:after="0" w:line="240" w:lineRule="auto"/>
        <w:jc w:val="center"/>
        <w:rPr>
          <w:rFonts w:ascii="Arial" w:hAnsi="Arial" w:cs="Arial"/>
          <w:i/>
        </w:rPr>
      </w:pPr>
      <w:r w:rsidRPr="00E91C26">
        <w:rPr>
          <w:rFonts w:ascii="Arial" w:hAnsi="Arial" w:cs="Arial"/>
          <w:i/>
        </w:rPr>
        <w:t>Drought Warning Issued for Potter County</w:t>
      </w:r>
    </w:p>
    <w:p w:rsidR="00E91C26" w:rsidRPr="00E91C26" w:rsidRDefault="00E91C26" w:rsidP="00E91C26">
      <w:pPr>
        <w:spacing w:after="120" w:line="240" w:lineRule="auto"/>
        <w:jc w:val="center"/>
        <w:rPr>
          <w:rFonts w:ascii="Arial" w:hAnsi="Arial" w:cs="Arial"/>
          <w:b/>
          <w:sz w:val="24"/>
          <w:szCs w:val="24"/>
        </w:rPr>
      </w:pPr>
    </w:p>
    <w:p w:rsidR="000F00C3" w:rsidRPr="000F00C3" w:rsidRDefault="00D055BF" w:rsidP="000F00C3">
      <w:pPr>
        <w:spacing w:after="120" w:line="240" w:lineRule="auto"/>
        <w:rPr>
          <w:rFonts w:ascii="Arial" w:hAnsi="Arial" w:cs="Arial"/>
        </w:rPr>
      </w:pPr>
      <w:r>
        <w:rPr>
          <w:rFonts w:ascii="Arial" w:hAnsi="Arial" w:cs="Arial"/>
          <w:b/>
        </w:rPr>
        <w:t>Harrisburg</w:t>
      </w:r>
      <w:r w:rsidR="00A412B2" w:rsidRPr="005615A4">
        <w:rPr>
          <w:rFonts w:ascii="Arial" w:hAnsi="Arial" w:cs="Arial"/>
          <w:b/>
        </w:rPr>
        <w:t xml:space="preserve">, PA </w:t>
      </w:r>
      <w:r w:rsidR="00A412B2" w:rsidRPr="00D055BF">
        <w:rPr>
          <w:rFonts w:ascii="Arial" w:hAnsi="Arial" w:cs="Arial"/>
          <w:b/>
        </w:rPr>
        <w:t xml:space="preserve">– </w:t>
      </w:r>
      <w:r w:rsidR="000F00C3" w:rsidRPr="000F00C3">
        <w:rPr>
          <w:rFonts w:ascii="Arial" w:hAnsi="Arial" w:cs="Arial"/>
        </w:rPr>
        <w:t xml:space="preserve"> </w:t>
      </w:r>
      <w:r w:rsidR="00E91C26">
        <w:rPr>
          <w:rFonts w:ascii="Arial" w:hAnsi="Arial" w:cs="Arial"/>
        </w:rPr>
        <w:t>T</w:t>
      </w:r>
      <w:r w:rsidR="000F00C3" w:rsidRPr="000F00C3">
        <w:rPr>
          <w:rFonts w:ascii="Arial" w:hAnsi="Arial" w:cs="Arial"/>
        </w:rPr>
        <w:t xml:space="preserve">he Department of Environmental Protection (DEP) today issued a drought watch declaration for </w:t>
      </w:r>
      <w:r w:rsidR="00B34FA5">
        <w:rPr>
          <w:rFonts w:ascii="Arial" w:hAnsi="Arial" w:cs="Arial"/>
        </w:rPr>
        <w:t>3</w:t>
      </w:r>
      <w:r w:rsidR="00EC0994">
        <w:rPr>
          <w:rFonts w:ascii="Arial" w:hAnsi="Arial" w:cs="Arial"/>
        </w:rPr>
        <w:t>4</w:t>
      </w:r>
      <w:r w:rsidR="00B34FA5" w:rsidRPr="000F00C3">
        <w:rPr>
          <w:rFonts w:ascii="Arial" w:hAnsi="Arial" w:cs="Arial"/>
        </w:rPr>
        <w:t xml:space="preserve"> </w:t>
      </w:r>
      <w:r w:rsidR="000F00C3" w:rsidRPr="000F00C3">
        <w:rPr>
          <w:rFonts w:ascii="Arial" w:hAnsi="Arial" w:cs="Arial"/>
        </w:rPr>
        <w:t xml:space="preserve">Pennsylvania </w:t>
      </w:r>
      <w:r w:rsidR="00E91C26">
        <w:rPr>
          <w:rFonts w:ascii="Arial" w:hAnsi="Arial" w:cs="Arial"/>
        </w:rPr>
        <w:t>c</w:t>
      </w:r>
      <w:r w:rsidR="000F00C3" w:rsidRPr="000F00C3">
        <w:rPr>
          <w:rFonts w:ascii="Arial" w:hAnsi="Arial" w:cs="Arial"/>
        </w:rPr>
        <w:t xml:space="preserve">ounties and a drought warning declaration for </w:t>
      </w:r>
      <w:r w:rsidR="00E91C26">
        <w:rPr>
          <w:rFonts w:ascii="Arial" w:hAnsi="Arial" w:cs="Arial"/>
        </w:rPr>
        <w:t xml:space="preserve">Potter </w:t>
      </w:r>
      <w:r w:rsidR="00E91C26" w:rsidRPr="006F5142">
        <w:rPr>
          <w:rFonts w:ascii="Arial" w:hAnsi="Arial" w:cs="Arial"/>
        </w:rPr>
        <w:t>County</w:t>
      </w:r>
      <w:r w:rsidR="000F00C3" w:rsidRPr="006F5142">
        <w:rPr>
          <w:rFonts w:ascii="Arial" w:hAnsi="Arial" w:cs="Arial"/>
        </w:rPr>
        <w:t xml:space="preserve"> following </w:t>
      </w:r>
      <w:r w:rsidR="00E91C26" w:rsidRPr="006F5142">
        <w:rPr>
          <w:rFonts w:ascii="Arial" w:hAnsi="Arial" w:cs="Arial"/>
        </w:rPr>
        <w:t xml:space="preserve">a meeting of </w:t>
      </w:r>
      <w:r w:rsidR="000F00C3" w:rsidRPr="006F5142">
        <w:rPr>
          <w:rFonts w:ascii="Arial" w:hAnsi="Arial" w:cs="Arial"/>
        </w:rPr>
        <w:t xml:space="preserve">the </w:t>
      </w:r>
      <w:r w:rsidR="00E91C26" w:rsidRPr="006F5142">
        <w:rPr>
          <w:rFonts w:ascii="Arial" w:hAnsi="Arial" w:cs="Arial"/>
        </w:rPr>
        <w:t>Commonwealth Drought Task Force</w:t>
      </w:r>
      <w:r w:rsidR="005B5B27" w:rsidRPr="006F5142">
        <w:rPr>
          <w:rFonts w:ascii="Arial" w:hAnsi="Arial" w:cs="Arial"/>
        </w:rPr>
        <w:t xml:space="preserve"> where members </w:t>
      </w:r>
      <w:r w:rsidR="006F5142" w:rsidRPr="006F5142">
        <w:rPr>
          <w:rFonts w:ascii="Arial" w:eastAsia="Times New Roman" w:hAnsi="Arial" w:cs="Arial"/>
        </w:rPr>
        <w:t>evaluated</w:t>
      </w:r>
      <w:r w:rsidR="005B5B27" w:rsidRPr="006F5142">
        <w:rPr>
          <w:rFonts w:ascii="Arial" w:hAnsi="Arial" w:cs="Arial"/>
        </w:rPr>
        <w:t xml:space="preserve"> recent data</w:t>
      </w:r>
      <w:r w:rsidR="005B5B27">
        <w:rPr>
          <w:rFonts w:ascii="Arial" w:hAnsi="Arial" w:cs="Arial"/>
        </w:rPr>
        <w:t xml:space="preserve"> that indicate conditions </w:t>
      </w:r>
      <w:r w:rsidR="00B34FA5">
        <w:rPr>
          <w:rFonts w:ascii="Arial" w:hAnsi="Arial" w:cs="Arial"/>
        </w:rPr>
        <w:t xml:space="preserve">for </w:t>
      </w:r>
      <w:r w:rsidR="007335F6">
        <w:rPr>
          <w:rFonts w:ascii="Arial" w:hAnsi="Arial" w:cs="Arial"/>
        </w:rPr>
        <w:t xml:space="preserve">water supplies </w:t>
      </w:r>
      <w:r w:rsidR="005B5B27">
        <w:rPr>
          <w:rFonts w:ascii="Arial" w:hAnsi="Arial" w:cs="Arial"/>
        </w:rPr>
        <w:t>are continuing to deteriorate.</w:t>
      </w:r>
      <w:r w:rsidR="00E91C26">
        <w:rPr>
          <w:rFonts w:ascii="Arial" w:hAnsi="Arial" w:cs="Arial"/>
        </w:rPr>
        <w:t xml:space="preserve">  </w:t>
      </w:r>
    </w:p>
    <w:p w:rsidR="000F00C3" w:rsidRDefault="000F00C3" w:rsidP="000F00C3">
      <w:pPr>
        <w:spacing w:after="120" w:line="240" w:lineRule="auto"/>
        <w:rPr>
          <w:rFonts w:ascii="Arial" w:hAnsi="Arial" w:cs="Arial"/>
        </w:rPr>
      </w:pPr>
      <w:r w:rsidRPr="000F00C3">
        <w:rPr>
          <w:rFonts w:ascii="Arial" w:hAnsi="Arial" w:cs="Arial"/>
        </w:rPr>
        <w:t xml:space="preserve">The declarations </w:t>
      </w:r>
      <w:r w:rsidR="00E91C26">
        <w:rPr>
          <w:rFonts w:ascii="Arial" w:hAnsi="Arial" w:cs="Arial"/>
        </w:rPr>
        <w:t>are in</w:t>
      </w:r>
      <w:r w:rsidRPr="000F00C3">
        <w:rPr>
          <w:rFonts w:ascii="Arial" w:hAnsi="Arial" w:cs="Arial"/>
        </w:rPr>
        <w:t xml:space="preserve"> response to low</w:t>
      </w:r>
      <w:r w:rsidR="005B5B27">
        <w:rPr>
          <w:rFonts w:ascii="Arial" w:hAnsi="Arial" w:cs="Arial"/>
        </w:rPr>
        <w:t xml:space="preserve"> stream flows, declining ground</w:t>
      </w:r>
      <w:r w:rsidRPr="000F00C3">
        <w:rPr>
          <w:rFonts w:ascii="Arial" w:hAnsi="Arial" w:cs="Arial"/>
        </w:rPr>
        <w:t>water levels and below-normal precipitation primarily across counties in the upper half and south-cent</w:t>
      </w:r>
      <w:r w:rsidR="00A16CE0">
        <w:rPr>
          <w:rFonts w:ascii="Arial" w:hAnsi="Arial" w:cs="Arial"/>
        </w:rPr>
        <w:t xml:space="preserve">ral portions of Pennsylvania. </w:t>
      </w:r>
      <w:r w:rsidRPr="000F00C3">
        <w:rPr>
          <w:rFonts w:ascii="Arial" w:hAnsi="Arial" w:cs="Arial"/>
        </w:rPr>
        <w:t xml:space="preserve">These conditions have resulted in rainfall deficits </w:t>
      </w:r>
      <w:r w:rsidR="00E91C26">
        <w:rPr>
          <w:rFonts w:ascii="Arial" w:hAnsi="Arial" w:cs="Arial"/>
        </w:rPr>
        <w:t xml:space="preserve">of as much as </w:t>
      </w:r>
      <w:r w:rsidR="00B34FA5">
        <w:rPr>
          <w:rFonts w:ascii="Arial" w:hAnsi="Arial" w:cs="Arial"/>
        </w:rPr>
        <w:t>6.0</w:t>
      </w:r>
      <w:r w:rsidR="00E91C26">
        <w:rPr>
          <w:rFonts w:ascii="Arial" w:hAnsi="Arial" w:cs="Arial"/>
        </w:rPr>
        <w:t xml:space="preserve"> inches </w:t>
      </w:r>
      <w:r w:rsidR="005B5B27">
        <w:rPr>
          <w:rFonts w:ascii="Arial" w:hAnsi="Arial" w:cs="Arial"/>
        </w:rPr>
        <w:t>during</w:t>
      </w:r>
      <w:r w:rsidR="00E91C26">
        <w:rPr>
          <w:rFonts w:ascii="Arial" w:hAnsi="Arial" w:cs="Arial"/>
        </w:rPr>
        <w:t xml:space="preserve"> the past 90 days.  </w:t>
      </w:r>
    </w:p>
    <w:p w:rsidR="00E91C26" w:rsidRDefault="00E91C26" w:rsidP="00E91C26">
      <w:pPr>
        <w:spacing w:after="120" w:line="240" w:lineRule="auto"/>
        <w:rPr>
          <w:rFonts w:ascii="Arial" w:hAnsi="Arial" w:cs="Arial"/>
        </w:rPr>
      </w:pPr>
      <w:r>
        <w:rPr>
          <w:rFonts w:ascii="Arial" w:hAnsi="Arial" w:cs="Arial"/>
        </w:rPr>
        <w:t xml:space="preserve">“A number of public water </w:t>
      </w:r>
      <w:r w:rsidR="005B5B27">
        <w:rPr>
          <w:rFonts w:ascii="Arial" w:hAnsi="Arial" w:cs="Arial"/>
        </w:rPr>
        <w:t>systems</w:t>
      </w:r>
      <w:r>
        <w:rPr>
          <w:rFonts w:ascii="Arial" w:hAnsi="Arial" w:cs="Arial"/>
        </w:rPr>
        <w:t xml:space="preserve"> have already instituted voluntary and mandatory water restrictions to preserve </w:t>
      </w:r>
      <w:r w:rsidR="005B5B27">
        <w:rPr>
          <w:rFonts w:ascii="Arial" w:hAnsi="Arial" w:cs="Arial"/>
        </w:rPr>
        <w:t>their drinking water supplies,” DEP Acting Sec</w:t>
      </w:r>
      <w:r w:rsidR="00A16CE0">
        <w:rPr>
          <w:rFonts w:ascii="Arial" w:hAnsi="Arial" w:cs="Arial"/>
        </w:rPr>
        <w:t xml:space="preserve">retary Patrick McDonnell said. </w:t>
      </w:r>
      <w:r w:rsidR="005B5B27">
        <w:rPr>
          <w:rFonts w:ascii="Arial" w:hAnsi="Arial" w:cs="Arial"/>
        </w:rPr>
        <w:t>“</w:t>
      </w:r>
      <w:r>
        <w:rPr>
          <w:rFonts w:ascii="Arial" w:hAnsi="Arial" w:cs="Arial"/>
        </w:rPr>
        <w:t xml:space="preserve">We’re asking residents and businesses to use water wisely </w:t>
      </w:r>
      <w:r w:rsidR="005B5B27">
        <w:rPr>
          <w:rFonts w:ascii="Arial" w:hAnsi="Arial" w:cs="Arial"/>
        </w:rPr>
        <w:t>and follow simple water conservation tips to ease the demand for water.”</w:t>
      </w:r>
    </w:p>
    <w:p w:rsidR="005B5B27" w:rsidRPr="000F00C3" w:rsidRDefault="005B5B27" w:rsidP="005B5B27">
      <w:pPr>
        <w:spacing w:after="120" w:line="240" w:lineRule="auto"/>
        <w:rPr>
          <w:rFonts w:ascii="Arial" w:hAnsi="Arial" w:cs="Arial"/>
        </w:rPr>
      </w:pPr>
      <w:r w:rsidRPr="000F00C3">
        <w:rPr>
          <w:rFonts w:ascii="Arial" w:hAnsi="Arial" w:cs="Arial"/>
        </w:rPr>
        <w:t xml:space="preserve">A drought watch is </w:t>
      </w:r>
      <w:r>
        <w:rPr>
          <w:rFonts w:ascii="Arial" w:hAnsi="Arial" w:cs="Arial"/>
        </w:rPr>
        <w:t>the least severe of t</w:t>
      </w:r>
      <w:r w:rsidR="00A16CE0">
        <w:rPr>
          <w:rFonts w:ascii="Arial" w:hAnsi="Arial" w:cs="Arial"/>
        </w:rPr>
        <w:t xml:space="preserve">he three drought declarations. </w:t>
      </w:r>
      <w:r>
        <w:rPr>
          <w:rFonts w:ascii="Arial" w:hAnsi="Arial" w:cs="Arial"/>
        </w:rPr>
        <w:t>It calls for a voluntary 5 percent reduction in non-essential wat</w:t>
      </w:r>
      <w:r w:rsidR="00A16CE0">
        <w:rPr>
          <w:rFonts w:ascii="Arial" w:hAnsi="Arial" w:cs="Arial"/>
        </w:rPr>
        <w:t xml:space="preserve">er use. </w:t>
      </w:r>
      <w:r w:rsidRPr="000F00C3">
        <w:rPr>
          <w:rFonts w:ascii="Arial" w:hAnsi="Arial" w:cs="Arial"/>
        </w:rPr>
        <w:t xml:space="preserve">During a drought warning, citizens are encouraged to voluntarily reduce </w:t>
      </w:r>
      <w:r>
        <w:rPr>
          <w:rFonts w:ascii="Arial" w:hAnsi="Arial" w:cs="Arial"/>
        </w:rPr>
        <w:t xml:space="preserve">their </w:t>
      </w:r>
      <w:r w:rsidRPr="000F00C3">
        <w:rPr>
          <w:rFonts w:ascii="Arial" w:hAnsi="Arial" w:cs="Arial"/>
        </w:rPr>
        <w:t>water use between 10-15</w:t>
      </w:r>
      <w:r>
        <w:rPr>
          <w:rFonts w:ascii="Arial" w:hAnsi="Arial" w:cs="Arial"/>
        </w:rPr>
        <w:t xml:space="preserve"> percent</w:t>
      </w:r>
      <w:r w:rsidRPr="000F00C3">
        <w:rPr>
          <w:rFonts w:ascii="Arial" w:hAnsi="Arial" w:cs="Arial"/>
        </w:rPr>
        <w:t xml:space="preserve"> in affected </w:t>
      </w:r>
      <w:r w:rsidR="007335F6">
        <w:rPr>
          <w:rFonts w:ascii="Arial" w:hAnsi="Arial" w:cs="Arial"/>
        </w:rPr>
        <w:t>counties</w:t>
      </w:r>
      <w:r w:rsidR="00A16CE0">
        <w:rPr>
          <w:rFonts w:ascii="Arial" w:hAnsi="Arial" w:cs="Arial"/>
        </w:rPr>
        <w:t xml:space="preserve">. </w:t>
      </w:r>
      <w:r w:rsidR="00C50361">
        <w:rPr>
          <w:rFonts w:ascii="Arial" w:hAnsi="Arial" w:cs="Arial"/>
        </w:rPr>
        <w:t xml:space="preserve">A drought emergency calls for </w:t>
      </w:r>
      <w:r w:rsidRPr="000F00C3">
        <w:rPr>
          <w:rFonts w:ascii="Arial" w:hAnsi="Arial" w:cs="Arial"/>
        </w:rPr>
        <w:t xml:space="preserve">mandatory restrictions </w:t>
      </w:r>
      <w:r w:rsidR="007335F6">
        <w:rPr>
          <w:rFonts w:ascii="Arial" w:hAnsi="Arial" w:cs="Arial"/>
        </w:rPr>
        <w:t>on nonessential water use</w:t>
      </w:r>
      <w:r>
        <w:rPr>
          <w:rFonts w:ascii="Arial" w:hAnsi="Arial" w:cs="Arial"/>
        </w:rPr>
        <w:t xml:space="preserve"> to protect water </w:t>
      </w:r>
      <w:r w:rsidR="00C50361">
        <w:rPr>
          <w:rFonts w:ascii="Arial" w:hAnsi="Arial" w:cs="Arial"/>
        </w:rPr>
        <w:t>supplies as well as</w:t>
      </w:r>
      <w:r>
        <w:rPr>
          <w:rFonts w:ascii="Arial" w:hAnsi="Arial" w:cs="Arial"/>
        </w:rPr>
        <w:t xml:space="preserve"> public health and safety</w:t>
      </w:r>
      <w:r w:rsidRPr="000F00C3">
        <w:rPr>
          <w:rFonts w:ascii="Arial" w:hAnsi="Arial" w:cs="Arial"/>
        </w:rPr>
        <w:t xml:space="preserve">. </w:t>
      </w:r>
      <w:r w:rsidR="007335F6">
        <w:rPr>
          <w:rFonts w:ascii="Arial" w:hAnsi="Arial" w:cs="Arial"/>
        </w:rPr>
        <w:t>A drought emergency requires a proclamation from the Governor.</w:t>
      </w:r>
    </w:p>
    <w:p w:rsidR="000F00C3" w:rsidRPr="000F00C3" w:rsidRDefault="000F00C3" w:rsidP="000F00C3">
      <w:pPr>
        <w:spacing w:after="120" w:line="240" w:lineRule="auto"/>
        <w:rPr>
          <w:rFonts w:ascii="Arial" w:hAnsi="Arial" w:cs="Arial"/>
        </w:rPr>
      </w:pPr>
      <w:r w:rsidRPr="000F00C3">
        <w:rPr>
          <w:rFonts w:ascii="Arial" w:hAnsi="Arial" w:cs="Arial"/>
        </w:rPr>
        <w:t>Through a cooperative program with the U.S. Geological Survey, DEP helps fund a statewide network of gauges to monitor groundwater levels and stream flows. This network provides the state’s drought coordinator with comprehensive data that is used to determine drought classifications. In addition to precipitation, groundwater and stream flow levels, DEP monitors soil moi</w:t>
      </w:r>
      <w:r w:rsidR="00A16CE0">
        <w:rPr>
          <w:rFonts w:ascii="Arial" w:hAnsi="Arial" w:cs="Arial"/>
        </w:rPr>
        <w:t xml:space="preserve">sture and water supply storage. </w:t>
      </w:r>
      <w:r w:rsidRPr="000F00C3">
        <w:rPr>
          <w:rFonts w:ascii="Arial" w:hAnsi="Arial" w:cs="Arial"/>
        </w:rPr>
        <w:t xml:space="preserve">This data is shared with </w:t>
      </w:r>
      <w:r w:rsidR="007335F6">
        <w:rPr>
          <w:rFonts w:ascii="Arial" w:hAnsi="Arial" w:cs="Arial"/>
        </w:rPr>
        <w:t>other state and federal agency personnel who make up the task force.</w:t>
      </w:r>
      <w:r w:rsidR="00C50361">
        <w:rPr>
          <w:rFonts w:ascii="Arial" w:hAnsi="Arial" w:cs="Arial"/>
        </w:rPr>
        <w:t xml:space="preserve"> </w:t>
      </w:r>
    </w:p>
    <w:p w:rsidR="000F00C3" w:rsidRDefault="000F00C3" w:rsidP="000F00C3">
      <w:pPr>
        <w:spacing w:after="120" w:line="240" w:lineRule="auto"/>
        <w:rPr>
          <w:rFonts w:ascii="Arial" w:hAnsi="Arial" w:cs="Arial"/>
        </w:rPr>
      </w:pPr>
      <w:r w:rsidRPr="000F00C3">
        <w:rPr>
          <w:rFonts w:ascii="Arial" w:hAnsi="Arial" w:cs="Arial"/>
        </w:rPr>
        <w:t>Varying conditions under drought watch and warnings may dictate individual water suppliers or municipalities asking for more stringent conservation actions. DEP is notifying all water suppliers in the affected areas of the need to monitor their supplies and update their drought contingency plans as necessary.</w:t>
      </w:r>
    </w:p>
    <w:p w:rsidR="00EB2CA3" w:rsidRDefault="00EB2CA3" w:rsidP="000F00C3">
      <w:pPr>
        <w:spacing w:after="120" w:line="240" w:lineRule="auto"/>
        <w:rPr>
          <w:rFonts w:ascii="Arial" w:hAnsi="Arial" w:cs="Arial"/>
        </w:rPr>
      </w:pPr>
      <w:r>
        <w:rPr>
          <w:rFonts w:ascii="Arial" w:hAnsi="Arial" w:cs="Arial"/>
        </w:rPr>
        <w:t xml:space="preserve">DEP is also looking at new and innovative ways to improve </w:t>
      </w:r>
      <w:r w:rsidR="00DC3CB3">
        <w:rPr>
          <w:rFonts w:ascii="Arial" w:hAnsi="Arial" w:cs="Arial"/>
        </w:rPr>
        <w:t>the</w:t>
      </w:r>
      <w:r>
        <w:rPr>
          <w:rFonts w:ascii="Arial" w:hAnsi="Arial" w:cs="Arial"/>
        </w:rPr>
        <w:t xml:space="preserve"> management of </w:t>
      </w:r>
      <w:r w:rsidR="00DC3CB3">
        <w:rPr>
          <w:rFonts w:ascii="Arial" w:hAnsi="Arial" w:cs="Arial"/>
        </w:rPr>
        <w:t xml:space="preserve">the state’s </w:t>
      </w:r>
      <w:r>
        <w:rPr>
          <w:rFonts w:ascii="Arial" w:hAnsi="Arial" w:cs="Arial"/>
        </w:rPr>
        <w:t xml:space="preserve">water resources. </w:t>
      </w:r>
    </w:p>
    <w:p w:rsidR="00DC3CB3" w:rsidRDefault="00EB2CA3" w:rsidP="00A16CE0">
      <w:pPr>
        <w:spacing w:after="120" w:line="240" w:lineRule="auto"/>
        <w:rPr>
          <w:rFonts w:ascii="Arial" w:hAnsi="Arial" w:cs="Arial"/>
        </w:rPr>
      </w:pPr>
      <w:r w:rsidRPr="00A16CE0">
        <w:rPr>
          <w:rFonts w:ascii="Arial" w:hAnsi="Arial" w:cs="Arial"/>
        </w:rPr>
        <w:t>“</w:t>
      </w:r>
      <w:r w:rsidR="00A16CE0" w:rsidRPr="00A16CE0">
        <w:rPr>
          <w:rFonts w:ascii="Arial" w:eastAsia="Times New Roman" w:hAnsi="Arial" w:cs="Arial"/>
        </w:rPr>
        <w:t>Historically, stormwater management consisted of getting runoff to streams as quickly as possible, and a</w:t>
      </w:r>
      <w:r w:rsidR="00A16CE0">
        <w:rPr>
          <w:rFonts w:ascii="Arial" w:eastAsia="Times New Roman" w:hAnsi="Arial" w:cs="Arial"/>
        </w:rPr>
        <w:t xml:space="preserve">way from our cities and towns. </w:t>
      </w:r>
      <w:r w:rsidR="00A16CE0" w:rsidRPr="00A16CE0">
        <w:rPr>
          <w:rFonts w:ascii="Arial" w:eastAsia="Times New Roman" w:hAnsi="Arial" w:cs="Arial"/>
        </w:rPr>
        <w:t>Within the past decade, we have begun to see stormwater as a resource to recharge groundwater, and we continue to look for innovative ways to encourage these practices.</w:t>
      </w:r>
      <w:r w:rsidR="00A16CE0">
        <w:rPr>
          <w:rFonts w:ascii="Arial" w:hAnsi="Arial" w:cs="Arial"/>
        </w:rPr>
        <w:t xml:space="preserve">,” McDonnell said. </w:t>
      </w:r>
    </w:p>
    <w:p w:rsidR="000F00C3" w:rsidRPr="000F00C3" w:rsidRDefault="00EB2CA3" w:rsidP="000F00C3">
      <w:pPr>
        <w:spacing w:after="120" w:line="240" w:lineRule="auto"/>
        <w:rPr>
          <w:rFonts w:ascii="Arial" w:hAnsi="Arial" w:cs="Arial"/>
        </w:rPr>
      </w:pPr>
      <w:r>
        <w:rPr>
          <w:rFonts w:ascii="Arial" w:hAnsi="Arial" w:cs="Arial"/>
        </w:rPr>
        <w:t>DEP recommends the following ways to reduce water use</w:t>
      </w:r>
      <w:r w:rsidR="000F00C3" w:rsidRPr="000F00C3">
        <w:rPr>
          <w:rFonts w:ascii="Arial" w:hAnsi="Arial" w:cs="Arial"/>
        </w:rPr>
        <w:t>:</w:t>
      </w:r>
    </w:p>
    <w:p w:rsidR="000F00C3" w:rsidRPr="00C50361" w:rsidRDefault="00C50361" w:rsidP="00C50361">
      <w:pPr>
        <w:pStyle w:val="ListParagraph"/>
        <w:numPr>
          <w:ilvl w:val="0"/>
          <w:numId w:val="2"/>
        </w:numPr>
        <w:spacing w:after="120" w:line="240" w:lineRule="auto"/>
        <w:rPr>
          <w:rFonts w:ascii="Arial" w:hAnsi="Arial" w:cs="Arial"/>
        </w:rPr>
      </w:pPr>
      <w:r>
        <w:rPr>
          <w:rFonts w:ascii="Arial" w:hAnsi="Arial" w:cs="Arial"/>
        </w:rPr>
        <w:lastRenderedPageBreak/>
        <w:t>Run</w:t>
      </w:r>
      <w:r w:rsidR="000F00C3" w:rsidRPr="00C50361">
        <w:rPr>
          <w:rFonts w:ascii="Arial" w:hAnsi="Arial" w:cs="Arial"/>
        </w:rPr>
        <w:t xml:space="preserve"> water only when necessary</w:t>
      </w:r>
      <w:r>
        <w:rPr>
          <w:rFonts w:ascii="Arial" w:hAnsi="Arial" w:cs="Arial"/>
        </w:rPr>
        <w:t>.  Avoid running the faucet while brushing your teeth or shaving, or letting the shower run for several minutes bef</w:t>
      </w:r>
      <w:r w:rsidR="000F00C3" w:rsidRPr="00C50361">
        <w:rPr>
          <w:rFonts w:ascii="Arial" w:hAnsi="Arial" w:cs="Arial"/>
        </w:rPr>
        <w:t>ore use;</w:t>
      </w:r>
    </w:p>
    <w:p w:rsidR="000F00C3" w:rsidRPr="00C50361" w:rsidRDefault="000F00C3" w:rsidP="00C50361">
      <w:pPr>
        <w:pStyle w:val="ListParagraph"/>
        <w:numPr>
          <w:ilvl w:val="0"/>
          <w:numId w:val="2"/>
        </w:numPr>
        <w:spacing w:after="120" w:line="240" w:lineRule="auto"/>
        <w:rPr>
          <w:rFonts w:ascii="Arial" w:hAnsi="Arial" w:cs="Arial"/>
        </w:rPr>
      </w:pPr>
      <w:r w:rsidRPr="00C50361">
        <w:rPr>
          <w:rFonts w:ascii="Arial" w:hAnsi="Arial" w:cs="Arial"/>
        </w:rPr>
        <w:t>Check for household leaks</w:t>
      </w:r>
      <w:r w:rsidR="00C50361">
        <w:rPr>
          <w:rFonts w:ascii="Arial" w:hAnsi="Arial" w:cs="Arial"/>
        </w:rPr>
        <w:t xml:space="preserve">.  A </w:t>
      </w:r>
      <w:r w:rsidRPr="00C50361">
        <w:rPr>
          <w:rFonts w:ascii="Arial" w:hAnsi="Arial" w:cs="Arial"/>
        </w:rPr>
        <w:t>leaking toilet can waste up t</w:t>
      </w:r>
      <w:r w:rsidR="00C50361">
        <w:rPr>
          <w:rFonts w:ascii="Arial" w:hAnsi="Arial" w:cs="Arial"/>
        </w:rPr>
        <w:t>o 200 gallons of water each day!</w:t>
      </w:r>
    </w:p>
    <w:p w:rsidR="000F00C3" w:rsidRPr="00C50361" w:rsidRDefault="000F00C3" w:rsidP="00C50361">
      <w:pPr>
        <w:pStyle w:val="ListParagraph"/>
        <w:numPr>
          <w:ilvl w:val="0"/>
          <w:numId w:val="2"/>
        </w:numPr>
        <w:spacing w:after="120" w:line="240" w:lineRule="auto"/>
        <w:rPr>
          <w:rFonts w:ascii="Arial" w:hAnsi="Arial" w:cs="Arial"/>
        </w:rPr>
      </w:pPr>
      <w:r w:rsidRPr="00C50361">
        <w:rPr>
          <w:rFonts w:ascii="Arial" w:hAnsi="Arial" w:cs="Arial"/>
        </w:rPr>
        <w:t>Run dishwashers and washin</w:t>
      </w:r>
      <w:r w:rsidR="00C50361">
        <w:rPr>
          <w:rFonts w:ascii="Arial" w:hAnsi="Arial" w:cs="Arial"/>
        </w:rPr>
        <w:t>g machines only with full loads.</w:t>
      </w:r>
    </w:p>
    <w:p w:rsidR="000F00C3" w:rsidRPr="00C50361" w:rsidRDefault="000F00C3" w:rsidP="00C50361">
      <w:pPr>
        <w:pStyle w:val="ListParagraph"/>
        <w:numPr>
          <w:ilvl w:val="0"/>
          <w:numId w:val="2"/>
        </w:numPr>
        <w:spacing w:after="120" w:line="240" w:lineRule="auto"/>
        <w:rPr>
          <w:rFonts w:ascii="Arial" w:hAnsi="Arial" w:cs="Arial"/>
        </w:rPr>
      </w:pPr>
      <w:r w:rsidRPr="00C50361">
        <w:rPr>
          <w:rFonts w:ascii="Arial" w:hAnsi="Arial" w:cs="Arial"/>
        </w:rPr>
        <w:t>Replac</w:t>
      </w:r>
      <w:r w:rsidR="00C50361">
        <w:rPr>
          <w:rFonts w:ascii="Arial" w:hAnsi="Arial" w:cs="Arial"/>
        </w:rPr>
        <w:t>e</w:t>
      </w:r>
      <w:r w:rsidRPr="00C50361">
        <w:rPr>
          <w:rFonts w:ascii="Arial" w:hAnsi="Arial" w:cs="Arial"/>
        </w:rPr>
        <w:t xml:space="preserve"> older appliances with high-efficiency, front-loading models that use about 30 percent less water and 40 to 50 percent less energy</w:t>
      </w:r>
      <w:r w:rsidR="00C50361">
        <w:rPr>
          <w:rFonts w:ascii="Arial" w:hAnsi="Arial" w:cs="Arial"/>
        </w:rPr>
        <w:t>.</w:t>
      </w:r>
      <w:r w:rsidRPr="00C50361">
        <w:rPr>
          <w:rFonts w:ascii="Arial" w:hAnsi="Arial" w:cs="Arial"/>
        </w:rPr>
        <w:t xml:space="preserve"> </w:t>
      </w:r>
    </w:p>
    <w:p w:rsidR="000F00C3" w:rsidRPr="00C50361" w:rsidRDefault="00B34FA5" w:rsidP="00C50361">
      <w:pPr>
        <w:pStyle w:val="ListParagraph"/>
        <w:numPr>
          <w:ilvl w:val="0"/>
          <w:numId w:val="2"/>
        </w:numPr>
        <w:spacing w:after="120" w:line="240" w:lineRule="auto"/>
        <w:rPr>
          <w:rFonts w:ascii="Arial" w:hAnsi="Arial" w:cs="Arial"/>
        </w:rPr>
      </w:pPr>
      <w:r w:rsidRPr="00C50361">
        <w:rPr>
          <w:rFonts w:ascii="Arial" w:hAnsi="Arial" w:cs="Arial"/>
        </w:rPr>
        <w:t>Install</w:t>
      </w:r>
      <w:r w:rsidR="000F00C3" w:rsidRPr="00C50361">
        <w:rPr>
          <w:rFonts w:ascii="Arial" w:hAnsi="Arial" w:cs="Arial"/>
        </w:rPr>
        <w:t xml:space="preserve"> low-flow plumbing fixtures and aerators on faucets.</w:t>
      </w:r>
    </w:p>
    <w:p w:rsidR="007C0017" w:rsidRPr="00A16CE0" w:rsidRDefault="000F00C3" w:rsidP="000F00C3">
      <w:pPr>
        <w:spacing w:after="120" w:line="240" w:lineRule="auto"/>
        <w:rPr>
          <w:rFonts w:ascii="Arial" w:hAnsi="Arial" w:cs="Arial"/>
        </w:rPr>
      </w:pPr>
      <w:r w:rsidRPr="000F00C3">
        <w:rPr>
          <w:rFonts w:ascii="Arial" w:hAnsi="Arial" w:cs="Arial"/>
        </w:rPr>
        <w:t xml:space="preserve">DEP also offers other water conservation recommendations and water audit procedures for commercial and industrial users, such as food processors, hotels and educational institutions. These recommendations and additional drought </w:t>
      </w:r>
      <w:r w:rsidR="003A4855">
        <w:rPr>
          <w:rFonts w:ascii="Arial" w:hAnsi="Arial" w:cs="Arial"/>
        </w:rPr>
        <w:t xml:space="preserve">monitoring </w:t>
      </w:r>
      <w:r w:rsidRPr="000F00C3">
        <w:rPr>
          <w:rFonts w:ascii="Arial" w:hAnsi="Arial" w:cs="Arial"/>
        </w:rPr>
        <w:t xml:space="preserve">information are available by </w:t>
      </w:r>
      <w:hyperlink r:id="rId9" w:history="1">
        <w:r w:rsidRPr="00F86674">
          <w:rPr>
            <w:rStyle w:val="Hyperlink"/>
            <w:rFonts w:ascii="Arial" w:hAnsi="Arial" w:cs="Arial"/>
          </w:rPr>
          <w:t>clicking here</w:t>
        </w:r>
      </w:hyperlink>
      <w:r w:rsidRPr="000F00C3">
        <w:rPr>
          <w:rFonts w:ascii="Arial" w:hAnsi="Arial" w:cs="Arial"/>
        </w:rPr>
        <w:t xml:space="preserve"> or visiting DEP’s website</w:t>
      </w:r>
      <w:r w:rsidRPr="00A16CE0">
        <w:rPr>
          <w:rFonts w:ascii="Arial" w:hAnsi="Arial" w:cs="Arial"/>
        </w:rPr>
        <w:t xml:space="preserve">, </w:t>
      </w:r>
      <w:hyperlink r:id="rId10" w:history="1">
        <w:r w:rsidR="00A16CE0" w:rsidRPr="00A16CE0">
          <w:rPr>
            <w:rStyle w:val="Hyperlink"/>
            <w:rFonts w:ascii="Arial" w:hAnsi="Arial" w:cs="Arial"/>
          </w:rPr>
          <w:t>www.dep.pa.gov/drought</w:t>
        </w:r>
      </w:hyperlink>
      <w:r w:rsidR="00AD09CA" w:rsidRPr="00A16CE0">
        <w:rPr>
          <w:rFonts w:ascii="Arial" w:hAnsi="Arial" w:cs="Arial"/>
        </w:rPr>
        <w:t>.</w:t>
      </w:r>
    </w:p>
    <w:p w:rsidR="00AD09CA" w:rsidRDefault="00AD09CA" w:rsidP="000F00C3">
      <w:pPr>
        <w:spacing w:after="120" w:line="240" w:lineRule="auto"/>
        <w:rPr>
          <w:rFonts w:ascii="Arial" w:hAnsi="Arial" w:cs="Arial"/>
        </w:rPr>
      </w:pPr>
    </w:p>
    <w:p w:rsidR="000F00C3" w:rsidRDefault="003A4855" w:rsidP="000F00C3">
      <w:pPr>
        <w:spacing w:after="120" w:line="240" w:lineRule="auto"/>
        <w:rPr>
          <w:rFonts w:ascii="Arial" w:hAnsi="Arial" w:cs="Arial"/>
        </w:rPr>
      </w:pPr>
      <w:r>
        <w:rPr>
          <w:rFonts w:ascii="Helvetica" w:hAnsi="Helvetica" w:cs="Helvetica"/>
          <w:b/>
          <w:bCs/>
        </w:rPr>
        <w:t>MEDIA CONTACT</w:t>
      </w:r>
      <w:r>
        <w:rPr>
          <w:rFonts w:ascii="Helvetica" w:hAnsi="Helvetica" w:cs="Helvetica"/>
        </w:rPr>
        <w:t>: Susan Rickens, 717-787-1323.</w:t>
      </w:r>
      <w:bookmarkStart w:id="0" w:name="_GoBack"/>
      <w:bookmarkEnd w:id="0"/>
    </w:p>
    <w:p w:rsidR="003A4855" w:rsidRDefault="003A4855" w:rsidP="000F00C3">
      <w:pPr>
        <w:spacing w:after="120" w:line="240" w:lineRule="auto"/>
        <w:rPr>
          <w:rFonts w:ascii="Arial" w:hAnsi="Arial" w:cs="Arial"/>
        </w:rPr>
      </w:pPr>
      <w:r>
        <w:rPr>
          <w:rFonts w:ascii="Arial" w:hAnsi="Arial" w:cs="Arial"/>
        </w:rPr>
        <w:t xml:space="preserve">Following is the list of counties under a drought declaration:  </w:t>
      </w:r>
    </w:p>
    <w:p w:rsidR="003A4855" w:rsidRPr="003A4855" w:rsidRDefault="003A4855" w:rsidP="003A4855">
      <w:pPr>
        <w:spacing w:after="0" w:line="240" w:lineRule="auto"/>
        <w:rPr>
          <w:rFonts w:ascii="Arial" w:hAnsi="Arial" w:cs="Arial"/>
          <w:b/>
        </w:rPr>
      </w:pPr>
      <w:r w:rsidRPr="003A4855">
        <w:rPr>
          <w:rFonts w:ascii="Arial" w:hAnsi="Arial" w:cs="Arial"/>
          <w:b/>
        </w:rPr>
        <w:t>Drought Warning</w:t>
      </w:r>
    </w:p>
    <w:p w:rsidR="000F00C3" w:rsidRDefault="000F00C3" w:rsidP="003A4855">
      <w:pPr>
        <w:spacing w:after="0" w:line="240" w:lineRule="auto"/>
        <w:rPr>
          <w:rFonts w:ascii="Arial" w:hAnsi="Arial" w:cs="Arial"/>
        </w:rPr>
      </w:pPr>
      <w:r w:rsidRPr="000F00C3">
        <w:rPr>
          <w:rFonts w:ascii="Arial" w:hAnsi="Arial" w:cs="Arial"/>
        </w:rPr>
        <w:t>Potter</w:t>
      </w:r>
    </w:p>
    <w:p w:rsidR="003A4855" w:rsidRPr="000F00C3" w:rsidRDefault="003A4855" w:rsidP="003A4855">
      <w:pPr>
        <w:spacing w:after="0" w:line="240" w:lineRule="auto"/>
        <w:rPr>
          <w:rFonts w:ascii="Arial" w:hAnsi="Arial" w:cs="Arial"/>
        </w:rPr>
      </w:pPr>
    </w:p>
    <w:p w:rsidR="000F00C3" w:rsidRPr="003A4855" w:rsidRDefault="003A4855" w:rsidP="003A4855">
      <w:pPr>
        <w:spacing w:after="0" w:line="240" w:lineRule="auto"/>
        <w:rPr>
          <w:rFonts w:ascii="Arial" w:hAnsi="Arial" w:cs="Arial"/>
          <w:b/>
        </w:rPr>
      </w:pPr>
      <w:r w:rsidRPr="003A4855">
        <w:rPr>
          <w:rFonts w:ascii="Arial" w:hAnsi="Arial" w:cs="Arial"/>
          <w:b/>
        </w:rPr>
        <w:t>Drought Watch</w:t>
      </w:r>
    </w:p>
    <w:p w:rsidR="000F00C3" w:rsidRPr="000F00C3" w:rsidRDefault="000F00C3" w:rsidP="003A4855">
      <w:pPr>
        <w:spacing w:after="0" w:line="240" w:lineRule="auto"/>
        <w:rPr>
          <w:rFonts w:ascii="Arial" w:hAnsi="Arial" w:cs="Arial"/>
        </w:rPr>
      </w:pPr>
      <w:r w:rsidRPr="000F00C3">
        <w:rPr>
          <w:rFonts w:ascii="Arial" w:hAnsi="Arial" w:cs="Arial"/>
        </w:rPr>
        <w:t>Armstrong</w:t>
      </w:r>
    </w:p>
    <w:p w:rsidR="000F00C3" w:rsidRPr="000F00C3" w:rsidRDefault="000F00C3" w:rsidP="003A4855">
      <w:pPr>
        <w:spacing w:after="0" w:line="240" w:lineRule="auto"/>
        <w:rPr>
          <w:rFonts w:ascii="Arial" w:hAnsi="Arial" w:cs="Arial"/>
        </w:rPr>
      </w:pPr>
      <w:r w:rsidRPr="000F00C3">
        <w:rPr>
          <w:rFonts w:ascii="Arial" w:hAnsi="Arial" w:cs="Arial"/>
        </w:rPr>
        <w:t>Bedford</w:t>
      </w:r>
    </w:p>
    <w:p w:rsidR="000F00C3" w:rsidRPr="000F00C3" w:rsidRDefault="000F00C3" w:rsidP="003A4855">
      <w:pPr>
        <w:spacing w:after="0" w:line="240" w:lineRule="auto"/>
        <w:rPr>
          <w:rFonts w:ascii="Arial" w:hAnsi="Arial" w:cs="Arial"/>
        </w:rPr>
      </w:pPr>
      <w:r w:rsidRPr="000F00C3">
        <w:rPr>
          <w:rFonts w:ascii="Arial" w:hAnsi="Arial" w:cs="Arial"/>
        </w:rPr>
        <w:t>Berks</w:t>
      </w:r>
    </w:p>
    <w:p w:rsidR="000F00C3" w:rsidRPr="000F00C3" w:rsidRDefault="000F00C3" w:rsidP="003A4855">
      <w:pPr>
        <w:spacing w:after="0" w:line="240" w:lineRule="auto"/>
        <w:rPr>
          <w:rFonts w:ascii="Arial" w:hAnsi="Arial" w:cs="Arial"/>
        </w:rPr>
      </w:pPr>
      <w:r w:rsidRPr="000F00C3">
        <w:rPr>
          <w:rFonts w:ascii="Arial" w:hAnsi="Arial" w:cs="Arial"/>
        </w:rPr>
        <w:t>Blair</w:t>
      </w:r>
    </w:p>
    <w:p w:rsidR="000F00C3" w:rsidRPr="000F00C3" w:rsidRDefault="000F00C3" w:rsidP="003A4855">
      <w:pPr>
        <w:spacing w:after="0" w:line="240" w:lineRule="auto"/>
        <w:rPr>
          <w:rFonts w:ascii="Arial" w:hAnsi="Arial" w:cs="Arial"/>
        </w:rPr>
      </w:pPr>
      <w:r w:rsidRPr="000F00C3">
        <w:rPr>
          <w:rFonts w:ascii="Arial" w:hAnsi="Arial" w:cs="Arial"/>
        </w:rPr>
        <w:t>Bradford</w:t>
      </w:r>
    </w:p>
    <w:p w:rsidR="000F00C3" w:rsidRPr="000F00C3" w:rsidRDefault="000F00C3" w:rsidP="003A4855">
      <w:pPr>
        <w:spacing w:after="0" w:line="240" w:lineRule="auto"/>
        <w:rPr>
          <w:rFonts w:ascii="Arial" w:hAnsi="Arial" w:cs="Arial"/>
        </w:rPr>
      </w:pPr>
      <w:r w:rsidRPr="000F00C3">
        <w:rPr>
          <w:rFonts w:ascii="Arial" w:hAnsi="Arial" w:cs="Arial"/>
        </w:rPr>
        <w:t>Cameron</w:t>
      </w:r>
    </w:p>
    <w:p w:rsidR="000F00C3" w:rsidRPr="000F00C3" w:rsidRDefault="000F00C3" w:rsidP="003A4855">
      <w:pPr>
        <w:spacing w:after="0" w:line="240" w:lineRule="auto"/>
        <w:rPr>
          <w:rFonts w:ascii="Arial" w:hAnsi="Arial" w:cs="Arial"/>
        </w:rPr>
      </w:pPr>
      <w:r w:rsidRPr="000F00C3">
        <w:rPr>
          <w:rFonts w:ascii="Arial" w:hAnsi="Arial" w:cs="Arial"/>
        </w:rPr>
        <w:t>Carbon</w:t>
      </w:r>
    </w:p>
    <w:p w:rsidR="000F00C3" w:rsidRPr="000F00C3" w:rsidRDefault="000F00C3" w:rsidP="003A4855">
      <w:pPr>
        <w:spacing w:after="0" w:line="240" w:lineRule="auto"/>
        <w:rPr>
          <w:rFonts w:ascii="Arial" w:hAnsi="Arial" w:cs="Arial"/>
        </w:rPr>
      </w:pPr>
      <w:r w:rsidRPr="000F00C3">
        <w:rPr>
          <w:rFonts w:ascii="Arial" w:hAnsi="Arial" w:cs="Arial"/>
        </w:rPr>
        <w:t>Centre</w:t>
      </w:r>
    </w:p>
    <w:p w:rsidR="000F00C3" w:rsidRPr="000F00C3" w:rsidRDefault="000F00C3" w:rsidP="003A4855">
      <w:pPr>
        <w:spacing w:after="0" w:line="240" w:lineRule="auto"/>
        <w:rPr>
          <w:rFonts w:ascii="Arial" w:hAnsi="Arial" w:cs="Arial"/>
        </w:rPr>
      </w:pPr>
      <w:r w:rsidRPr="000F00C3">
        <w:rPr>
          <w:rFonts w:ascii="Arial" w:hAnsi="Arial" w:cs="Arial"/>
        </w:rPr>
        <w:t>Clarion</w:t>
      </w:r>
    </w:p>
    <w:p w:rsidR="000F00C3" w:rsidRPr="000F00C3" w:rsidRDefault="000F00C3" w:rsidP="003A4855">
      <w:pPr>
        <w:spacing w:after="0" w:line="240" w:lineRule="auto"/>
        <w:rPr>
          <w:rFonts w:ascii="Arial" w:hAnsi="Arial" w:cs="Arial"/>
        </w:rPr>
      </w:pPr>
      <w:r w:rsidRPr="000F00C3">
        <w:rPr>
          <w:rFonts w:ascii="Arial" w:hAnsi="Arial" w:cs="Arial"/>
        </w:rPr>
        <w:t>Clearfield</w:t>
      </w:r>
    </w:p>
    <w:p w:rsidR="000F00C3" w:rsidRPr="000F00C3" w:rsidRDefault="000F00C3" w:rsidP="003A4855">
      <w:pPr>
        <w:spacing w:after="0" w:line="240" w:lineRule="auto"/>
        <w:rPr>
          <w:rFonts w:ascii="Arial" w:hAnsi="Arial" w:cs="Arial"/>
        </w:rPr>
      </w:pPr>
      <w:r w:rsidRPr="000F00C3">
        <w:rPr>
          <w:rFonts w:ascii="Arial" w:hAnsi="Arial" w:cs="Arial"/>
        </w:rPr>
        <w:t>Clinton</w:t>
      </w:r>
    </w:p>
    <w:p w:rsidR="000F00C3" w:rsidRDefault="000F00C3" w:rsidP="003A4855">
      <w:pPr>
        <w:spacing w:after="0" w:line="240" w:lineRule="auto"/>
        <w:rPr>
          <w:rFonts w:ascii="Arial" w:hAnsi="Arial" w:cs="Arial"/>
        </w:rPr>
      </w:pPr>
      <w:r w:rsidRPr="000F00C3">
        <w:rPr>
          <w:rFonts w:ascii="Arial" w:hAnsi="Arial" w:cs="Arial"/>
        </w:rPr>
        <w:t>Dauphin</w:t>
      </w:r>
    </w:p>
    <w:p w:rsidR="00CA20C6" w:rsidRPr="000F00C3" w:rsidRDefault="00CA20C6" w:rsidP="003A4855">
      <w:pPr>
        <w:spacing w:after="0" w:line="240" w:lineRule="auto"/>
        <w:rPr>
          <w:rFonts w:ascii="Arial" w:hAnsi="Arial" w:cs="Arial"/>
        </w:rPr>
      </w:pPr>
      <w:r>
        <w:rPr>
          <w:rFonts w:ascii="Arial" w:hAnsi="Arial" w:cs="Arial"/>
        </w:rPr>
        <w:t>Elk</w:t>
      </w:r>
    </w:p>
    <w:p w:rsidR="000F00C3" w:rsidRPr="000F00C3" w:rsidRDefault="000F00C3" w:rsidP="003A4855">
      <w:pPr>
        <w:spacing w:after="0" w:line="240" w:lineRule="auto"/>
        <w:rPr>
          <w:rFonts w:ascii="Arial" w:hAnsi="Arial" w:cs="Arial"/>
        </w:rPr>
      </w:pPr>
      <w:r w:rsidRPr="000F00C3">
        <w:rPr>
          <w:rFonts w:ascii="Arial" w:hAnsi="Arial" w:cs="Arial"/>
        </w:rPr>
        <w:t>Forest</w:t>
      </w:r>
    </w:p>
    <w:p w:rsidR="000F00C3" w:rsidRPr="000F00C3" w:rsidRDefault="000F00C3" w:rsidP="003A4855">
      <w:pPr>
        <w:spacing w:after="0" w:line="240" w:lineRule="auto"/>
        <w:rPr>
          <w:rFonts w:ascii="Arial" w:hAnsi="Arial" w:cs="Arial"/>
        </w:rPr>
      </w:pPr>
      <w:r w:rsidRPr="000F00C3">
        <w:rPr>
          <w:rFonts w:ascii="Arial" w:hAnsi="Arial" w:cs="Arial"/>
        </w:rPr>
        <w:t>Fulton</w:t>
      </w:r>
    </w:p>
    <w:p w:rsidR="000F00C3" w:rsidRPr="000F00C3" w:rsidRDefault="000F00C3" w:rsidP="003A4855">
      <w:pPr>
        <w:spacing w:after="0" w:line="240" w:lineRule="auto"/>
        <w:rPr>
          <w:rFonts w:ascii="Arial" w:hAnsi="Arial" w:cs="Arial"/>
        </w:rPr>
      </w:pPr>
      <w:r w:rsidRPr="000F00C3">
        <w:rPr>
          <w:rFonts w:ascii="Arial" w:hAnsi="Arial" w:cs="Arial"/>
        </w:rPr>
        <w:t>Huntingdon</w:t>
      </w:r>
    </w:p>
    <w:p w:rsidR="000F00C3" w:rsidRPr="000F00C3" w:rsidRDefault="000F00C3" w:rsidP="003A4855">
      <w:pPr>
        <w:spacing w:after="0" w:line="240" w:lineRule="auto"/>
        <w:rPr>
          <w:rFonts w:ascii="Arial" w:hAnsi="Arial" w:cs="Arial"/>
        </w:rPr>
      </w:pPr>
      <w:r w:rsidRPr="000F00C3">
        <w:rPr>
          <w:rFonts w:ascii="Arial" w:hAnsi="Arial" w:cs="Arial"/>
        </w:rPr>
        <w:t>Indiana</w:t>
      </w:r>
    </w:p>
    <w:p w:rsidR="000F00C3" w:rsidRPr="000F00C3" w:rsidRDefault="000F00C3" w:rsidP="003A4855">
      <w:pPr>
        <w:spacing w:after="0" w:line="240" w:lineRule="auto"/>
        <w:rPr>
          <w:rFonts w:ascii="Arial" w:hAnsi="Arial" w:cs="Arial"/>
        </w:rPr>
      </w:pPr>
      <w:r w:rsidRPr="000F00C3">
        <w:rPr>
          <w:rFonts w:ascii="Arial" w:hAnsi="Arial" w:cs="Arial"/>
        </w:rPr>
        <w:t>Jefferson</w:t>
      </w:r>
    </w:p>
    <w:p w:rsidR="000F00C3" w:rsidRPr="000F00C3" w:rsidRDefault="000F00C3" w:rsidP="003A4855">
      <w:pPr>
        <w:spacing w:after="0" w:line="240" w:lineRule="auto"/>
        <w:rPr>
          <w:rFonts w:ascii="Arial" w:hAnsi="Arial" w:cs="Arial"/>
        </w:rPr>
      </w:pPr>
      <w:r w:rsidRPr="000F00C3">
        <w:rPr>
          <w:rFonts w:ascii="Arial" w:hAnsi="Arial" w:cs="Arial"/>
        </w:rPr>
        <w:t>Juniata</w:t>
      </w:r>
    </w:p>
    <w:p w:rsidR="000F00C3" w:rsidRPr="000F00C3" w:rsidRDefault="000F00C3" w:rsidP="003A4855">
      <w:pPr>
        <w:spacing w:after="0" w:line="240" w:lineRule="auto"/>
        <w:rPr>
          <w:rFonts w:ascii="Arial" w:hAnsi="Arial" w:cs="Arial"/>
        </w:rPr>
      </w:pPr>
      <w:r w:rsidRPr="000F00C3">
        <w:rPr>
          <w:rFonts w:ascii="Arial" w:hAnsi="Arial" w:cs="Arial"/>
        </w:rPr>
        <w:t>Lawrence</w:t>
      </w:r>
    </w:p>
    <w:p w:rsidR="000F00C3" w:rsidRPr="000F00C3" w:rsidRDefault="000F00C3" w:rsidP="003A4855">
      <w:pPr>
        <w:spacing w:after="0" w:line="240" w:lineRule="auto"/>
        <w:rPr>
          <w:rFonts w:ascii="Arial" w:hAnsi="Arial" w:cs="Arial"/>
        </w:rPr>
      </w:pPr>
      <w:r w:rsidRPr="000F00C3">
        <w:rPr>
          <w:rFonts w:ascii="Arial" w:hAnsi="Arial" w:cs="Arial"/>
        </w:rPr>
        <w:t>Lebanon</w:t>
      </w:r>
    </w:p>
    <w:p w:rsidR="000F00C3" w:rsidRPr="000F00C3" w:rsidRDefault="000F00C3" w:rsidP="003A4855">
      <w:pPr>
        <w:spacing w:after="0" w:line="240" w:lineRule="auto"/>
        <w:rPr>
          <w:rFonts w:ascii="Arial" w:hAnsi="Arial" w:cs="Arial"/>
        </w:rPr>
      </w:pPr>
      <w:r w:rsidRPr="000F00C3">
        <w:rPr>
          <w:rFonts w:ascii="Arial" w:hAnsi="Arial" w:cs="Arial"/>
        </w:rPr>
        <w:t>Lehigh</w:t>
      </w:r>
    </w:p>
    <w:p w:rsidR="000F00C3" w:rsidRPr="000F00C3" w:rsidRDefault="000F00C3" w:rsidP="003A4855">
      <w:pPr>
        <w:spacing w:after="0" w:line="240" w:lineRule="auto"/>
        <w:rPr>
          <w:rFonts w:ascii="Arial" w:hAnsi="Arial" w:cs="Arial"/>
        </w:rPr>
      </w:pPr>
      <w:r w:rsidRPr="000F00C3">
        <w:rPr>
          <w:rFonts w:ascii="Arial" w:hAnsi="Arial" w:cs="Arial"/>
        </w:rPr>
        <w:t>Lycoming</w:t>
      </w:r>
    </w:p>
    <w:p w:rsidR="000F00C3" w:rsidRPr="000F00C3" w:rsidRDefault="000F00C3" w:rsidP="003A4855">
      <w:pPr>
        <w:spacing w:after="0" w:line="240" w:lineRule="auto"/>
        <w:rPr>
          <w:rFonts w:ascii="Arial" w:hAnsi="Arial" w:cs="Arial"/>
        </w:rPr>
      </w:pPr>
      <w:r w:rsidRPr="000F00C3">
        <w:rPr>
          <w:rFonts w:ascii="Arial" w:hAnsi="Arial" w:cs="Arial"/>
        </w:rPr>
        <w:t>McKean</w:t>
      </w:r>
    </w:p>
    <w:p w:rsidR="000F00C3" w:rsidRPr="000F00C3" w:rsidRDefault="000F00C3" w:rsidP="003A4855">
      <w:pPr>
        <w:spacing w:after="0" w:line="240" w:lineRule="auto"/>
        <w:rPr>
          <w:rFonts w:ascii="Arial" w:hAnsi="Arial" w:cs="Arial"/>
        </w:rPr>
      </w:pPr>
      <w:r w:rsidRPr="000F00C3">
        <w:rPr>
          <w:rFonts w:ascii="Arial" w:hAnsi="Arial" w:cs="Arial"/>
        </w:rPr>
        <w:t>Mercer</w:t>
      </w:r>
    </w:p>
    <w:p w:rsidR="000F00C3" w:rsidRPr="000F00C3" w:rsidRDefault="000F00C3" w:rsidP="003A4855">
      <w:pPr>
        <w:spacing w:after="0" w:line="240" w:lineRule="auto"/>
        <w:rPr>
          <w:rFonts w:ascii="Arial" w:hAnsi="Arial" w:cs="Arial"/>
        </w:rPr>
      </w:pPr>
      <w:r w:rsidRPr="000F00C3">
        <w:rPr>
          <w:rFonts w:ascii="Arial" w:hAnsi="Arial" w:cs="Arial"/>
        </w:rPr>
        <w:t>Mifflin</w:t>
      </w:r>
    </w:p>
    <w:p w:rsidR="000F00C3" w:rsidRPr="000F00C3" w:rsidRDefault="000F00C3" w:rsidP="003A4855">
      <w:pPr>
        <w:spacing w:after="0" w:line="240" w:lineRule="auto"/>
        <w:rPr>
          <w:rFonts w:ascii="Arial" w:hAnsi="Arial" w:cs="Arial"/>
        </w:rPr>
      </w:pPr>
      <w:r w:rsidRPr="000F00C3">
        <w:rPr>
          <w:rFonts w:ascii="Arial" w:hAnsi="Arial" w:cs="Arial"/>
        </w:rPr>
        <w:t>Northampton</w:t>
      </w:r>
    </w:p>
    <w:p w:rsidR="000F00C3" w:rsidRPr="000F00C3" w:rsidRDefault="000F00C3" w:rsidP="003A4855">
      <w:pPr>
        <w:spacing w:after="0" w:line="240" w:lineRule="auto"/>
        <w:rPr>
          <w:rFonts w:ascii="Arial" w:hAnsi="Arial" w:cs="Arial"/>
        </w:rPr>
      </w:pPr>
      <w:r w:rsidRPr="000F00C3">
        <w:rPr>
          <w:rFonts w:ascii="Arial" w:hAnsi="Arial" w:cs="Arial"/>
        </w:rPr>
        <w:t>Perry</w:t>
      </w:r>
    </w:p>
    <w:p w:rsidR="000F00C3" w:rsidRPr="000F00C3" w:rsidRDefault="000F00C3" w:rsidP="003A4855">
      <w:pPr>
        <w:spacing w:after="0" w:line="240" w:lineRule="auto"/>
        <w:rPr>
          <w:rFonts w:ascii="Arial" w:hAnsi="Arial" w:cs="Arial"/>
        </w:rPr>
      </w:pPr>
      <w:r w:rsidRPr="000F00C3">
        <w:rPr>
          <w:rFonts w:ascii="Arial" w:hAnsi="Arial" w:cs="Arial"/>
        </w:rPr>
        <w:t>Schuylkill</w:t>
      </w:r>
    </w:p>
    <w:p w:rsidR="000F00C3" w:rsidRPr="000F00C3" w:rsidRDefault="000F00C3" w:rsidP="003A4855">
      <w:pPr>
        <w:spacing w:after="0" w:line="240" w:lineRule="auto"/>
        <w:rPr>
          <w:rFonts w:ascii="Arial" w:hAnsi="Arial" w:cs="Arial"/>
        </w:rPr>
      </w:pPr>
      <w:r w:rsidRPr="000F00C3">
        <w:rPr>
          <w:rFonts w:ascii="Arial" w:hAnsi="Arial" w:cs="Arial"/>
        </w:rPr>
        <w:lastRenderedPageBreak/>
        <w:t>Snyder</w:t>
      </w:r>
    </w:p>
    <w:p w:rsidR="000F00C3" w:rsidRPr="000F00C3" w:rsidRDefault="000F00C3" w:rsidP="003A4855">
      <w:pPr>
        <w:spacing w:after="0" w:line="240" w:lineRule="auto"/>
        <w:rPr>
          <w:rFonts w:ascii="Arial" w:hAnsi="Arial" w:cs="Arial"/>
        </w:rPr>
      </w:pPr>
      <w:r w:rsidRPr="000F00C3">
        <w:rPr>
          <w:rFonts w:ascii="Arial" w:hAnsi="Arial" w:cs="Arial"/>
        </w:rPr>
        <w:t>Sullivan</w:t>
      </w:r>
    </w:p>
    <w:p w:rsidR="000F00C3" w:rsidRPr="000F00C3" w:rsidRDefault="000F00C3" w:rsidP="003A4855">
      <w:pPr>
        <w:spacing w:after="0" w:line="240" w:lineRule="auto"/>
        <w:rPr>
          <w:rFonts w:ascii="Arial" w:hAnsi="Arial" w:cs="Arial"/>
        </w:rPr>
      </w:pPr>
      <w:r w:rsidRPr="000F00C3">
        <w:rPr>
          <w:rFonts w:ascii="Arial" w:hAnsi="Arial" w:cs="Arial"/>
        </w:rPr>
        <w:t>Tioga</w:t>
      </w:r>
    </w:p>
    <w:p w:rsidR="000F00C3" w:rsidRPr="000F00C3" w:rsidRDefault="000F00C3" w:rsidP="003A4855">
      <w:pPr>
        <w:spacing w:after="0" w:line="240" w:lineRule="auto"/>
        <w:rPr>
          <w:rFonts w:ascii="Arial" w:hAnsi="Arial" w:cs="Arial"/>
        </w:rPr>
      </w:pPr>
      <w:r w:rsidRPr="000F00C3">
        <w:rPr>
          <w:rFonts w:ascii="Arial" w:hAnsi="Arial" w:cs="Arial"/>
        </w:rPr>
        <w:t>Union</w:t>
      </w:r>
    </w:p>
    <w:p w:rsidR="000F00C3" w:rsidRPr="000F00C3" w:rsidRDefault="000F00C3" w:rsidP="003A4855">
      <w:pPr>
        <w:spacing w:after="0" w:line="240" w:lineRule="auto"/>
        <w:rPr>
          <w:rFonts w:ascii="Arial" w:hAnsi="Arial" w:cs="Arial"/>
        </w:rPr>
      </w:pPr>
      <w:r w:rsidRPr="000F00C3">
        <w:rPr>
          <w:rFonts w:ascii="Arial" w:hAnsi="Arial" w:cs="Arial"/>
        </w:rPr>
        <w:t>Venango</w:t>
      </w:r>
    </w:p>
    <w:p w:rsidR="000F00C3" w:rsidRPr="005615A4" w:rsidRDefault="000F00C3" w:rsidP="003A4855">
      <w:pPr>
        <w:spacing w:after="0" w:line="240" w:lineRule="auto"/>
        <w:rPr>
          <w:rFonts w:ascii="Arial" w:hAnsi="Arial" w:cs="Arial"/>
        </w:rPr>
      </w:pPr>
    </w:p>
    <w:sectPr w:rsidR="000F00C3" w:rsidRPr="005615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910" w:rsidRDefault="00007910" w:rsidP="00A412B2">
      <w:pPr>
        <w:spacing w:after="0" w:line="240" w:lineRule="auto"/>
      </w:pPr>
      <w:r>
        <w:separator/>
      </w:r>
    </w:p>
  </w:endnote>
  <w:endnote w:type="continuationSeparator" w:id="0">
    <w:p w:rsidR="00007910" w:rsidRDefault="00007910" w:rsidP="00A4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910" w:rsidRDefault="00007910" w:rsidP="00A412B2">
      <w:pPr>
        <w:spacing w:after="0" w:line="240" w:lineRule="auto"/>
      </w:pPr>
      <w:r>
        <w:separator/>
      </w:r>
    </w:p>
  </w:footnote>
  <w:footnote w:type="continuationSeparator" w:id="0">
    <w:p w:rsidR="00007910" w:rsidRDefault="00007910" w:rsidP="00A41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5456"/>
    <w:multiLevelType w:val="hybridMultilevel"/>
    <w:tmpl w:val="44F2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E00D00"/>
    <w:multiLevelType w:val="hybridMultilevel"/>
    <w:tmpl w:val="E5DCAAEC"/>
    <w:lvl w:ilvl="0" w:tplc="90FA4B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41"/>
    <w:rsid w:val="00007910"/>
    <w:rsid w:val="00041DEC"/>
    <w:rsid w:val="000C2533"/>
    <w:rsid w:val="000F00C3"/>
    <w:rsid w:val="0010525E"/>
    <w:rsid w:val="0014337E"/>
    <w:rsid w:val="00280DC8"/>
    <w:rsid w:val="00293152"/>
    <w:rsid w:val="002F0332"/>
    <w:rsid w:val="003A4855"/>
    <w:rsid w:val="003D0C4B"/>
    <w:rsid w:val="004A2955"/>
    <w:rsid w:val="004E07A6"/>
    <w:rsid w:val="00511B74"/>
    <w:rsid w:val="005615A4"/>
    <w:rsid w:val="005B3A94"/>
    <w:rsid w:val="005B5B27"/>
    <w:rsid w:val="00643651"/>
    <w:rsid w:val="006F5142"/>
    <w:rsid w:val="007265EE"/>
    <w:rsid w:val="007335F6"/>
    <w:rsid w:val="00754983"/>
    <w:rsid w:val="00757941"/>
    <w:rsid w:val="007C0017"/>
    <w:rsid w:val="00825EAA"/>
    <w:rsid w:val="00A045DF"/>
    <w:rsid w:val="00A16CE0"/>
    <w:rsid w:val="00A412B2"/>
    <w:rsid w:val="00AD09CA"/>
    <w:rsid w:val="00AD6F1A"/>
    <w:rsid w:val="00B31752"/>
    <w:rsid w:val="00B34FA5"/>
    <w:rsid w:val="00BB3340"/>
    <w:rsid w:val="00C374F5"/>
    <w:rsid w:val="00C46415"/>
    <w:rsid w:val="00C467D1"/>
    <w:rsid w:val="00C50361"/>
    <w:rsid w:val="00CA20C6"/>
    <w:rsid w:val="00CD2E39"/>
    <w:rsid w:val="00D055BF"/>
    <w:rsid w:val="00D27E54"/>
    <w:rsid w:val="00D47CE1"/>
    <w:rsid w:val="00DC3CB3"/>
    <w:rsid w:val="00E2734A"/>
    <w:rsid w:val="00E325A1"/>
    <w:rsid w:val="00E55FFD"/>
    <w:rsid w:val="00E91C26"/>
    <w:rsid w:val="00EB2CA3"/>
    <w:rsid w:val="00EC0994"/>
    <w:rsid w:val="00F8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6E58"/>
  <w15:chartTrackingRefBased/>
  <w15:docId w15:val="{E38296F6-208E-4A2A-BF64-FD2CA1E6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12B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412B2"/>
    <w:rPr>
      <w:color w:val="0563C1" w:themeColor="hyperlink"/>
      <w:u w:val="single"/>
    </w:rPr>
  </w:style>
  <w:style w:type="character" w:styleId="FollowedHyperlink">
    <w:name w:val="FollowedHyperlink"/>
    <w:basedOn w:val="DefaultParagraphFont"/>
    <w:uiPriority w:val="99"/>
    <w:semiHidden/>
    <w:unhideWhenUsed/>
    <w:rsid w:val="00A412B2"/>
    <w:rPr>
      <w:color w:val="954F72" w:themeColor="followedHyperlink"/>
      <w:u w:val="single"/>
    </w:rPr>
  </w:style>
  <w:style w:type="paragraph" w:styleId="Header">
    <w:name w:val="header"/>
    <w:basedOn w:val="Normal"/>
    <w:link w:val="HeaderChar"/>
    <w:uiPriority w:val="99"/>
    <w:unhideWhenUsed/>
    <w:rsid w:val="00A41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2B2"/>
  </w:style>
  <w:style w:type="paragraph" w:styleId="Footer">
    <w:name w:val="footer"/>
    <w:basedOn w:val="Normal"/>
    <w:link w:val="FooterChar"/>
    <w:uiPriority w:val="99"/>
    <w:unhideWhenUsed/>
    <w:rsid w:val="00A41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2B2"/>
  </w:style>
  <w:style w:type="character" w:styleId="CommentReference">
    <w:name w:val="annotation reference"/>
    <w:basedOn w:val="DefaultParagraphFont"/>
    <w:uiPriority w:val="99"/>
    <w:semiHidden/>
    <w:unhideWhenUsed/>
    <w:rsid w:val="00AD6F1A"/>
    <w:rPr>
      <w:sz w:val="16"/>
      <w:szCs w:val="16"/>
    </w:rPr>
  </w:style>
  <w:style w:type="paragraph" w:styleId="CommentText">
    <w:name w:val="annotation text"/>
    <w:basedOn w:val="Normal"/>
    <w:link w:val="CommentTextChar"/>
    <w:uiPriority w:val="99"/>
    <w:semiHidden/>
    <w:unhideWhenUsed/>
    <w:rsid w:val="00AD6F1A"/>
    <w:pPr>
      <w:spacing w:line="240" w:lineRule="auto"/>
    </w:pPr>
    <w:rPr>
      <w:sz w:val="20"/>
      <w:szCs w:val="20"/>
    </w:rPr>
  </w:style>
  <w:style w:type="character" w:customStyle="1" w:styleId="CommentTextChar">
    <w:name w:val="Comment Text Char"/>
    <w:basedOn w:val="DefaultParagraphFont"/>
    <w:link w:val="CommentText"/>
    <w:uiPriority w:val="99"/>
    <w:semiHidden/>
    <w:rsid w:val="00AD6F1A"/>
    <w:rPr>
      <w:sz w:val="20"/>
      <w:szCs w:val="20"/>
    </w:rPr>
  </w:style>
  <w:style w:type="paragraph" w:styleId="CommentSubject">
    <w:name w:val="annotation subject"/>
    <w:basedOn w:val="CommentText"/>
    <w:next w:val="CommentText"/>
    <w:link w:val="CommentSubjectChar"/>
    <w:uiPriority w:val="99"/>
    <w:semiHidden/>
    <w:unhideWhenUsed/>
    <w:rsid w:val="00AD6F1A"/>
    <w:rPr>
      <w:b/>
      <w:bCs/>
    </w:rPr>
  </w:style>
  <w:style w:type="character" w:customStyle="1" w:styleId="CommentSubjectChar">
    <w:name w:val="Comment Subject Char"/>
    <w:basedOn w:val="CommentTextChar"/>
    <w:link w:val="CommentSubject"/>
    <w:uiPriority w:val="99"/>
    <w:semiHidden/>
    <w:rsid w:val="00AD6F1A"/>
    <w:rPr>
      <w:b/>
      <w:bCs/>
      <w:sz w:val="20"/>
      <w:szCs w:val="20"/>
    </w:rPr>
  </w:style>
  <w:style w:type="paragraph" w:styleId="BalloonText">
    <w:name w:val="Balloon Text"/>
    <w:basedOn w:val="Normal"/>
    <w:link w:val="BalloonTextChar"/>
    <w:uiPriority w:val="99"/>
    <w:semiHidden/>
    <w:unhideWhenUsed/>
    <w:rsid w:val="00AD6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F1A"/>
    <w:rPr>
      <w:rFonts w:ascii="Segoe UI" w:hAnsi="Segoe UI" w:cs="Segoe UI"/>
      <w:sz w:val="18"/>
      <w:szCs w:val="18"/>
    </w:rPr>
  </w:style>
  <w:style w:type="character" w:customStyle="1" w:styleId="tgc">
    <w:name w:val="_tgc"/>
    <w:basedOn w:val="DefaultParagraphFont"/>
    <w:rsid w:val="00AD6F1A"/>
  </w:style>
  <w:style w:type="paragraph" w:styleId="NoSpacing">
    <w:name w:val="No Spacing"/>
    <w:uiPriority w:val="1"/>
    <w:qFormat/>
    <w:rsid w:val="007C0017"/>
    <w:pPr>
      <w:spacing w:after="0" w:line="240" w:lineRule="auto"/>
    </w:pPr>
  </w:style>
  <w:style w:type="paragraph" w:styleId="ListParagraph">
    <w:name w:val="List Paragraph"/>
    <w:basedOn w:val="Normal"/>
    <w:uiPriority w:val="34"/>
    <w:qFormat/>
    <w:rsid w:val="00C50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1AA0E.C58002E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ep.pa.gov/drought" TargetMode="External"/><Relationship Id="rId4" Type="http://schemas.openxmlformats.org/officeDocument/2006/relationships/webSettings" Target="webSettings.xml"/><Relationship Id="rId9" Type="http://schemas.openxmlformats.org/officeDocument/2006/relationships/hyperlink" Target="http://www.dep.pa.gov/drou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Noll, Meredith</dc:creator>
  <cp:keywords/>
  <dc:description/>
  <cp:lastModifiedBy>Noll, Meredith</cp:lastModifiedBy>
  <cp:revision>2</cp:revision>
  <dcterms:created xsi:type="dcterms:W3CDTF">2016-08-02T19:53:00Z</dcterms:created>
  <dcterms:modified xsi:type="dcterms:W3CDTF">2016-08-02T19:53:00Z</dcterms:modified>
</cp:coreProperties>
</file>